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054"/>
        <w:gridCol w:w="283"/>
        <w:gridCol w:w="6018"/>
      </w:tblGrid>
      <w:tr w:rsidR="007204EE" w:rsidRPr="00AE2A95" w14:paraId="30BDFF8C" w14:textId="77777777" w:rsidTr="00AE2A95">
        <w:tc>
          <w:tcPr>
            <w:tcW w:w="3085" w:type="dxa"/>
          </w:tcPr>
          <w:p w14:paraId="4BF2AFBE" w14:textId="77777777" w:rsidR="007204EE" w:rsidRPr="005D1990" w:rsidRDefault="007204EE" w:rsidP="00AE2A95">
            <w:pPr>
              <w:widowControl w:val="0"/>
              <w:jc w:val="center"/>
              <w:rPr>
                <w:b/>
                <w:bCs/>
                <w:sz w:val="26"/>
                <w:szCs w:val="26"/>
                <w:lang w:val="nl-NL"/>
              </w:rPr>
            </w:pPr>
            <w:r w:rsidRPr="005D1990">
              <w:rPr>
                <w:b/>
                <w:bCs/>
                <w:sz w:val="26"/>
                <w:szCs w:val="26"/>
                <w:lang w:val="nl-NL"/>
              </w:rPr>
              <w:t>BỘ TÀI CHÍNH</w:t>
            </w:r>
          </w:p>
        </w:tc>
        <w:tc>
          <w:tcPr>
            <w:tcW w:w="284" w:type="dxa"/>
          </w:tcPr>
          <w:p w14:paraId="384CDE38" w14:textId="77777777" w:rsidR="007204EE" w:rsidRPr="005D1990" w:rsidRDefault="007204EE" w:rsidP="00AE2A95">
            <w:pPr>
              <w:widowControl w:val="0"/>
              <w:jc w:val="center"/>
              <w:rPr>
                <w:b/>
                <w:bCs/>
                <w:sz w:val="26"/>
                <w:szCs w:val="26"/>
                <w:lang w:val="nl-NL"/>
              </w:rPr>
            </w:pPr>
          </w:p>
        </w:tc>
        <w:tc>
          <w:tcPr>
            <w:tcW w:w="6095" w:type="dxa"/>
          </w:tcPr>
          <w:p w14:paraId="77F5EE25" w14:textId="77777777" w:rsidR="007204EE" w:rsidRPr="005D1990" w:rsidRDefault="007204EE" w:rsidP="00AE2A95">
            <w:pPr>
              <w:widowControl w:val="0"/>
              <w:jc w:val="center"/>
              <w:rPr>
                <w:b/>
                <w:bCs/>
                <w:sz w:val="26"/>
                <w:szCs w:val="26"/>
                <w:lang w:val="nl-NL"/>
              </w:rPr>
            </w:pPr>
            <w:r w:rsidRPr="005D1990">
              <w:rPr>
                <w:b/>
                <w:bCs/>
                <w:sz w:val="26"/>
                <w:szCs w:val="26"/>
                <w:lang w:val="nl-NL"/>
              </w:rPr>
              <w:t>CỘNG HOÀ XÃ HỘI CHỦ NGHĨA VIỆT NAM</w:t>
            </w:r>
          </w:p>
        </w:tc>
      </w:tr>
      <w:tr w:rsidR="007204EE" w:rsidRPr="005D1990" w14:paraId="26F1CB47" w14:textId="77777777" w:rsidTr="00AE2A95">
        <w:tc>
          <w:tcPr>
            <w:tcW w:w="3085" w:type="dxa"/>
          </w:tcPr>
          <w:p w14:paraId="04016C50" w14:textId="77777777" w:rsidR="007204EE" w:rsidRPr="005D1990" w:rsidRDefault="007204EE" w:rsidP="00AE2A95">
            <w:pPr>
              <w:widowControl w:val="0"/>
              <w:jc w:val="center"/>
              <w:rPr>
                <w:bCs/>
                <w:sz w:val="26"/>
                <w:szCs w:val="26"/>
                <w:lang w:val="nl-NL"/>
              </w:rPr>
            </w:pPr>
            <w:r w:rsidRPr="005D1990">
              <w:rPr>
                <w:bCs/>
                <w:sz w:val="26"/>
                <w:szCs w:val="26"/>
                <w:lang w:val="nl-NL"/>
              </w:rPr>
              <w:t>–––––</w:t>
            </w:r>
          </w:p>
        </w:tc>
        <w:tc>
          <w:tcPr>
            <w:tcW w:w="284" w:type="dxa"/>
          </w:tcPr>
          <w:p w14:paraId="45A4F35B" w14:textId="77777777" w:rsidR="007204EE" w:rsidRPr="005D1990" w:rsidRDefault="007204EE" w:rsidP="00AE2A95">
            <w:pPr>
              <w:widowControl w:val="0"/>
              <w:jc w:val="center"/>
              <w:rPr>
                <w:b/>
                <w:bCs/>
                <w:sz w:val="26"/>
                <w:szCs w:val="26"/>
                <w:lang w:val="nl-NL"/>
              </w:rPr>
            </w:pPr>
          </w:p>
        </w:tc>
        <w:tc>
          <w:tcPr>
            <w:tcW w:w="6095" w:type="dxa"/>
          </w:tcPr>
          <w:p w14:paraId="6418D009" w14:textId="77777777" w:rsidR="007204EE" w:rsidRPr="005D1990" w:rsidRDefault="007204EE" w:rsidP="00AE2A95">
            <w:pPr>
              <w:widowControl w:val="0"/>
              <w:jc w:val="center"/>
              <w:rPr>
                <w:b/>
                <w:bCs/>
                <w:szCs w:val="28"/>
                <w:lang w:val="nl-NL"/>
              </w:rPr>
            </w:pPr>
            <w:r w:rsidRPr="005D1990">
              <w:rPr>
                <w:b/>
                <w:bCs/>
                <w:szCs w:val="28"/>
                <w:lang w:val="nl-NL"/>
              </w:rPr>
              <w:t xml:space="preserve">Độc lập </w:t>
            </w:r>
            <w:r w:rsidRPr="005D1990">
              <w:rPr>
                <w:bCs/>
                <w:szCs w:val="28"/>
                <w:lang w:val="nl-NL"/>
              </w:rPr>
              <w:t>–</w:t>
            </w:r>
            <w:r w:rsidRPr="005D1990">
              <w:rPr>
                <w:b/>
                <w:bCs/>
                <w:szCs w:val="28"/>
                <w:lang w:val="nl-NL"/>
              </w:rPr>
              <w:t xml:space="preserve"> Tự do </w:t>
            </w:r>
            <w:r w:rsidRPr="005D1990">
              <w:rPr>
                <w:bCs/>
                <w:szCs w:val="28"/>
                <w:lang w:val="nl-NL"/>
              </w:rPr>
              <w:t>–</w:t>
            </w:r>
            <w:r w:rsidRPr="005D1990">
              <w:rPr>
                <w:b/>
                <w:bCs/>
                <w:szCs w:val="28"/>
                <w:lang w:val="nl-NL"/>
              </w:rPr>
              <w:t xml:space="preserve"> Hạnh phúc</w:t>
            </w:r>
          </w:p>
        </w:tc>
      </w:tr>
      <w:tr w:rsidR="007204EE" w:rsidRPr="005D1990" w14:paraId="15308FDB" w14:textId="77777777" w:rsidTr="00AE2A95">
        <w:tc>
          <w:tcPr>
            <w:tcW w:w="3085" w:type="dxa"/>
          </w:tcPr>
          <w:p w14:paraId="25102CC0" w14:textId="77777777" w:rsidR="007204EE" w:rsidRPr="005D1990" w:rsidRDefault="007204EE" w:rsidP="00AE2A95">
            <w:pPr>
              <w:widowControl w:val="0"/>
              <w:jc w:val="center"/>
              <w:rPr>
                <w:sz w:val="26"/>
                <w:szCs w:val="26"/>
                <w:lang w:val="nl-NL"/>
              </w:rPr>
            </w:pPr>
            <w:r w:rsidRPr="005D1990">
              <w:rPr>
                <w:sz w:val="26"/>
                <w:szCs w:val="26"/>
                <w:lang w:val="nl-NL"/>
              </w:rPr>
              <w:t xml:space="preserve">Số: </w:t>
            </w:r>
            <w:r w:rsidRPr="005D1990">
              <w:rPr>
                <w:b/>
                <w:sz w:val="26"/>
                <w:szCs w:val="26"/>
                <w:lang w:val="nl-NL"/>
              </w:rPr>
              <w:t xml:space="preserve">         </w:t>
            </w:r>
            <w:r w:rsidRPr="005D1990">
              <w:rPr>
                <w:sz w:val="26"/>
                <w:szCs w:val="26"/>
                <w:lang w:val="nl-NL"/>
              </w:rPr>
              <w:t>/TTr-BTC</w:t>
            </w:r>
          </w:p>
        </w:tc>
        <w:tc>
          <w:tcPr>
            <w:tcW w:w="284" w:type="dxa"/>
          </w:tcPr>
          <w:p w14:paraId="78917FF0" w14:textId="77777777" w:rsidR="007204EE" w:rsidRPr="005D1990" w:rsidRDefault="007204EE" w:rsidP="00AE2A95">
            <w:pPr>
              <w:widowControl w:val="0"/>
              <w:jc w:val="center"/>
              <w:rPr>
                <w:sz w:val="26"/>
                <w:szCs w:val="26"/>
                <w:lang w:val="nl-NL"/>
              </w:rPr>
            </w:pPr>
          </w:p>
        </w:tc>
        <w:tc>
          <w:tcPr>
            <w:tcW w:w="6095" w:type="dxa"/>
          </w:tcPr>
          <w:p w14:paraId="00E61141" w14:textId="77777777" w:rsidR="007204EE" w:rsidRPr="005D1990" w:rsidRDefault="007204EE" w:rsidP="00AE2A95">
            <w:pPr>
              <w:widowControl w:val="0"/>
              <w:jc w:val="center"/>
              <w:rPr>
                <w:sz w:val="26"/>
                <w:szCs w:val="26"/>
                <w:lang w:val="nl-NL"/>
              </w:rPr>
            </w:pPr>
            <w:r w:rsidRPr="005D1990">
              <w:rPr>
                <w:bCs/>
                <w:sz w:val="26"/>
                <w:szCs w:val="26"/>
                <w:lang w:val="nl-NL"/>
              </w:rPr>
              <w:t>––––––––––––––––––––––––––</w:t>
            </w:r>
          </w:p>
        </w:tc>
      </w:tr>
      <w:tr w:rsidR="007204EE" w:rsidRPr="00AE2A95" w14:paraId="26D95DB3" w14:textId="77777777" w:rsidTr="00AE2A95">
        <w:tc>
          <w:tcPr>
            <w:tcW w:w="3085" w:type="dxa"/>
          </w:tcPr>
          <w:p w14:paraId="030B829B" w14:textId="77777777" w:rsidR="007204EE" w:rsidRPr="005D1990" w:rsidRDefault="007204EE" w:rsidP="00AE2A95">
            <w:pPr>
              <w:widowControl w:val="0"/>
              <w:jc w:val="center"/>
              <w:rPr>
                <w:sz w:val="26"/>
                <w:szCs w:val="26"/>
                <w:lang w:val="nl-NL"/>
              </w:rPr>
            </w:pPr>
          </w:p>
        </w:tc>
        <w:tc>
          <w:tcPr>
            <w:tcW w:w="284" w:type="dxa"/>
          </w:tcPr>
          <w:p w14:paraId="6B9E1C35" w14:textId="77777777" w:rsidR="007204EE" w:rsidRPr="005D1990" w:rsidRDefault="007204EE" w:rsidP="00AE2A95">
            <w:pPr>
              <w:widowControl w:val="0"/>
              <w:jc w:val="center"/>
              <w:rPr>
                <w:sz w:val="26"/>
                <w:szCs w:val="26"/>
                <w:lang w:val="nl-NL"/>
              </w:rPr>
            </w:pPr>
          </w:p>
        </w:tc>
        <w:tc>
          <w:tcPr>
            <w:tcW w:w="6095" w:type="dxa"/>
          </w:tcPr>
          <w:p w14:paraId="2BACFFAD" w14:textId="77777777" w:rsidR="007204EE" w:rsidRPr="005D1990" w:rsidRDefault="007204EE" w:rsidP="00AE2A95">
            <w:pPr>
              <w:pStyle w:val="Heading7"/>
              <w:keepNext w:val="0"/>
              <w:widowControl w:val="0"/>
              <w:rPr>
                <w:rFonts w:ascii="Times New Roman" w:hAnsi="Times New Roman"/>
                <w:sz w:val="26"/>
                <w:szCs w:val="26"/>
                <w:lang w:val="nl-NL" w:eastAsia="en-US"/>
              </w:rPr>
            </w:pPr>
            <w:r w:rsidRPr="005D1990">
              <w:rPr>
                <w:rFonts w:ascii="Times New Roman" w:hAnsi="Times New Roman"/>
                <w:sz w:val="26"/>
                <w:szCs w:val="26"/>
                <w:lang w:val="nl-NL" w:eastAsia="en-US"/>
              </w:rPr>
              <w:t>Hà Nội, ngày        tháng      năm 20</w:t>
            </w:r>
            <w:r>
              <w:rPr>
                <w:rFonts w:ascii="Times New Roman" w:hAnsi="Times New Roman"/>
                <w:sz w:val="26"/>
                <w:szCs w:val="26"/>
                <w:lang w:val="nl-NL" w:eastAsia="en-US"/>
              </w:rPr>
              <w:t>20</w:t>
            </w:r>
          </w:p>
        </w:tc>
      </w:tr>
    </w:tbl>
    <w:p w14:paraId="7BEC6B4C" w14:textId="77777777" w:rsidR="007204EE" w:rsidRPr="00AE2A95" w:rsidRDefault="007204EE" w:rsidP="007204EE">
      <w:pPr>
        <w:rPr>
          <w:vanish/>
          <w:lang w:val="nl-N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tblGrid>
      <w:tr w:rsidR="007204EE" w:rsidRPr="005D1990" w14:paraId="3F5BABAC" w14:textId="77777777" w:rsidTr="00AE2A95">
        <w:tc>
          <w:tcPr>
            <w:tcW w:w="2093" w:type="dxa"/>
          </w:tcPr>
          <w:p w14:paraId="37DD498E" w14:textId="77777777" w:rsidR="007204EE" w:rsidRPr="005D1990" w:rsidRDefault="007204EE" w:rsidP="00AE2A95">
            <w:pPr>
              <w:widowControl w:val="0"/>
              <w:spacing w:before="120" w:after="120"/>
              <w:jc w:val="center"/>
              <w:rPr>
                <w:b/>
              </w:rPr>
            </w:pPr>
            <w:r w:rsidRPr="005D1990">
              <w:rPr>
                <w:b/>
              </w:rPr>
              <w:t>Dự thảo</w:t>
            </w:r>
            <w:r>
              <w:rPr>
                <w:b/>
              </w:rPr>
              <w:t xml:space="preserve"> 12.02</w:t>
            </w:r>
          </w:p>
        </w:tc>
      </w:tr>
    </w:tbl>
    <w:p w14:paraId="3AD5AC38" w14:textId="77777777" w:rsidR="007204EE" w:rsidRPr="005D1990" w:rsidRDefault="007204EE" w:rsidP="007204EE">
      <w:pPr>
        <w:widowControl w:val="0"/>
        <w:rPr>
          <w:b/>
        </w:rPr>
      </w:pPr>
    </w:p>
    <w:p w14:paraId="323CA5CE" w14:textId="77777777" w:rsidR="007204EE" w:rsidRPr="005D1990" w:rsidRDefault="007204EE" w:rsidP="007204EE">
      <w:pPr>
        <w:widowControl w:val="0"/>
        <w:rPr>
          <w:b/>
        </w:rPr>
      </w:pPr>
    </w:p>
    <w:p w14:paraId="5BB191EC" w14:textId="77777777" w:rsidR="007204EE" w:rsidRPr="005D1990" w:rsidRDefault="007204EE" w:rsidP="007204EE">
      <w:pPr>
        <w:widowControl w:val="0"/>
        <w:jc w:val="center"/>
        <w:rPr>
          <w:b/>
        </w:rPr>
      </w:pPr>
      <w:r w:rsidRPr="005D1990">
        <w:rPr>
          <w:b/>
        </w:rPr>
        <w:t>TỜ TRÌNH</w:t>
      </w:r>
    </w:p>
    <w:p w14:paraId="4637EC84" w14:textId="77777777" w:rsidR="007204EE" w:rsidRDefault="007204EE" w:rsidP="007204EE">
      <w:pPr>
        <w:widowControl w:val="0"/>
        <w:jc w:val="center"/>
        <w:rPr>
          <w:b/>
        </w:rPr>
      </w:pPr>
      <w:r w:rsidRPr="005D1990">
        <w:rPr>
          <w:b/>
        </w:rPr>
        <w:t xml:space="preserve">Về ban hành Nghị định quy định </w:t>
      </w:r>
      <w:r>
        <w:rPr>
          <w:b/>
        </w:rPr>
        <w:t>v</w:t>
      </w:r>
      <w:r w:rsidRPr="00F144B9">
        <w:rPr>
          <w:b/>
        </w:rPr>
        <w:t>ề</w:t>
      </w:r>
      <w:r>
        <w:rPr>
          <w:b/>
        </w:rPr>
        <w:t xml:space="preserve"> h</w:t>
      </w:r>
      <w:r w:rsidRPr="00F144B9">
        <w:rPr>
          <w:b/>
        </w:rPr>
        <w:t>ó</w:t>
      </w:r>
      <w:r>
        <w:rPr>
          <w:b/>
        </w:rPr>
        <w:t xml:space="preserve">a </w:t>
      </w:r>
      <w:r w:rsidRPr="00F144B9">
        <w:rPr>
          <w:b/>
        </w:rPr>
        <w:t>đơ</w:t>
      </w:r>
      <w:r>
        <w:rPr>
          <w:b/>
        </w:rPr>
        <w:t>n, ch</w:t>
      </w:r>
      <w:r w:rsidRPr="00F144B9">
        <w:rPr>
          <w:b/>
        </w:rPr>
        <w:t>ứng</w:t>
      </w:r>
      <w:r>
        <w:rPr>
          <w:b/>
        </w:rPr>
        <w:t xml:space="preserve"> t</w:t>
      </w:r>
      <w:r w:rsidRPr="00F144B9">
        <w:rPr>
          <w:b/>
        </w:rPr>
        <w:t>ừ</w:t>
      </w:r>
      <w:r>
        <w:rPr>
          <w:b/>
        </w:rPr>
        <w:t xml:space="preserve"> </w:t>
      </w:r>
    </w:p>
    <w:p w14:paraId="6A795F5D" w14:textId="77777777" w:rsidR="007204EE" w:rsidRPr="005D1990" w:rsidRDefault="007204EE" w:rsidP="007204EE">
      <w:pPr>
        <w:widowControl w:val="0"/>
        <w:jc w:val="center"/>
      </w:pPr>
      <w:r>
        <w:rPr>
          <w:b/>
        </w:rPr>
        <w:t xml:space="preserve"> </w:t>
      </w:r>
      <w:r w:rsidRPr="005D1990">
        <w:t>––––––––</w:t>
      </w:r>
    </w:p>
    <w:p w14:paraId="4D4C63B4" w14:textId="77777777" w:rsidR="007204EE" w:rsidRPr="005D1990" w:rsidRDefault="007204EE" w:rsidP="007204EE">
      <w:pPr>
        <w:widowControl w:val="0"/>
        <w:jc w:val="center"/>
      </w:pPr>
    </w:p>
    <w:p w14:paraId="0699BFF8" w14:textId="77777777" w:rsidR="007204EE" w:rsidRPr="005D1990" w:rsidRDefault="007204EE" w:rsidP="007204EE">
      <w:pPr>
        <w:widowControl w:val="0"/>
        <w:jc w:val="center"/>
        <w:rPr>
          <w:bCs/>
          <w:lang w:val="nl-NL"/>
        </w:rPr>
      </w:pPr>
      <w:r w:rsidRPr="005D1990">
        <w:t xml:space="preserve">Kính gửi: </w:t>
      </w:r>
      <w:r w:rsidRPr="005D1990">
        <w:rPr>
          <w:bCs/>
          <w:lang w:val="nl-NL"/>
        </w:rPr>
        <w:t>Chính phủ</w:t>
      </w:r>
    </w:p>
    <w:p w14:paraId="53663CD2" w14:textId="77777777" w:rsidR="007204EE" w:rsidRPr="005D1990" w:rsidRDefault="007204EE" w:rsidP="007204EE">
      <w:pPr>
        <w:widowControl w:val="0"/>
        <w:jc w:val="center"/>
        <w:rPr>
          <w:bCs/>
          <w:lang w:val="nl-NL"/>
        </w:rPr>
      </w:pPr>
    </w:p>
    <w:p w14:paraId="1438392E" w14:textId="77777777" w:rsidR="007204EE" w:rsidRDefault="007204EE" w:rsidP="007204EE">
      <w:pPr>
        <w:widowControl w:val="0"/>
        <w:spacing w:before="120" w:after="120"/>
        <w:ind w:firstLine="720"/>
        <w:rPr>
          <w:szCs w:val="28"/>
        </w:rPr>
      </w:pPr>
      <w:r w:rsidRPr="005D1990">
        <w:rPr>
          <w:szCs w:val="28"/>
          <w:lang w:val="nl-NL"/>
        </w:rPr>
        <w:t>Ngày 13 tháng 06 năm 2019, Quốc hội khoá XIV đã thông qua Luật quản lý thuế số 38/2019/QH14 với hiệu lực thi hành kể từ ngày 01 tháng 7 năm 2020.</w:t>
      </w:r>
      <w:r>
        <w:rPr>
          <w:szCs w:val="28"/>
          <w:lang w:val="vi-VN"/>
        </w:rPr>
        <w:t xml:space="preserve"> Để triển khai Luật quản lý thuế số </w:t>
      </w:r>
      <w:r w:rsidRPr="00790798">
        <w:rPr>
          <w:szCs w:val="28"/>
          <w:lang w:val="nl-NL"/>
        </w:rPr>
        <w:t>38/2019/QH14</w:t>
      </w:r>
      <w:r>
        <w:rPr>
          <w:szCs w:val="28"/>
          <w:lang w:val="vi-VN"/>
        </w:rPr>
        <w:t>,</w:t>
      </w:r>
      <w:r>
        <w:rPr>
          <w:szCs w:val="28"/>
        </w:rPr>
        <w:t xml:space="preserve"> </w:t>
      </w:r>
      <w:r>
        <w:rPr>
          <w:szCs w:val="28"/>
          <w:lang w:val="vi-VN"/>
        </w:rPr>
        <w:t>n</w:t>
      </w:r>
      <w:r w:rsidRPr="00AE2A95">
        <w:rPr>
          <w:szCs w:val="28"/>
          <w:lang w:val="vi-VN"/>
        </w:rPr>
        <w:t>gày 26 tháng 7 năm 2019, Thủ tướng Chính phủ có Quyết định số 936/QĐ-TTg về việc ban hành danh mục và phân công cơ quan chủ trì soạn thảo văn bản quy định chi tiết thi hành các Luật được Quốc hội thông qua tại Kỳ họp thứ 7</w:t>
      </w:r>
      <w:r>
        <w:rPr>
          <w:szCs w:val="28"/>
          <w:lang w:val="vi-VN"/>
        </w:rPr>
        <w:t xml:space="preserve">, trong đó có Nghị định về hóa đơn điện tử khi bán hàng hóa cung cấp dịch vụ. </w:t>
      </w:r>
    </w:p>
    <w:p w14:paraId="4BF65AF9" w14:textId="77777777" w:rsidR="007204EE" w:rsidRPr="00AE2A95" w:rsidRDefault="007204EE" w:rsidP="007204EE">
      <w:pPr>
        <w:widowControl w:val="0"/>
        <w:spacing w:before="120" w:after="120"/>
        <w:ind w:firstLine="720"/>
        <w:rPr>
          <w:lang w:val="vi-VN"/>
        </w:rPr>
      </w:pPr>
      <w:r>
        <w:rPr>
          <w:szCs w:val="28"/>
          <w:lang w:val="vi-VN"/>
        </w:rPr>
        <w:t>Qua rà soát cân đối các nội dung hướng dẫn Luật quản lý thuế, Bộ Tài chính trình Chính phủ về việc ban hành Nghị định quy định về hóa đơn, chứng từ điện tử như sau:</w:t>
      </w:r>
    </w:p>
    <w:p w14:paraId="450CE450" w14:textId="77777777" w:rsidR="007204EE" w:rsidRDefault="007204EE" w:rsidP="007204EE">
      <w:pPr>
        <w:widowControl w:val="0"/>
        <w:spacing w:before="120" w:after="120"/>
        <w:ind w:firstLine="720"/>
        <w:rPr>
          <w:b/>
          <w:color w:val="000000"/>
          <w:szCs w:val="28"/>
        </w:rPr>
      </w:pPr>
      <w:r w:rsidRPr="00AE2A95">
        <w:rPr>
          <w:b/>
          <w:color w:val="000000"/>
          <w:szCs w:val="28"/>
          <w:lang w:val="vi-VN"/>
        </w:rPr>
        <w:t xml:space="preserve">I. Đánh giá tình hình </w:t>
      </w:r>
      <w:r w:rsidRPr="00BF519C">
        <w:rPr>
          <w:b/>
          <w:color w:val="000000"/>
          <w:szCs w:val="28"/>
          <w:lang w:val="nl-NL"/>
        </w:rPr>
        <w:t>thực hiện</w:t>
      </w:r>
      <w:r w:rsidRPr="00AE2A95">
        <w:rPr>
          <w:b/>
          <w:color w:val="000000"/>
          <w:szCs w:val="28"/>
          <w:lang w:val="vi-VN"/>
        </w:rPr>
        <w:t xml:space="preserve"> pháp luật</w:t>
      </w:r>
      <w:r w:rsidRPr="00BF519C">
        <w:rPr>
          <w:b/>
          <w:bCs/>
          <w:color w:val="000000"/>
          <w:szCs w:val="28"/>
          <w:lang w:val="nl-NL"/>
        </w:rPr>
        <w:t xml:space="preserve"> về hoá đơn</w:t>
      </w:r>
      <w:r>
        <w:rPr>
          <w:b/>
          <w:bCs/>
          <w:color w:val="000000"/>
          <w:szCs w:val="28"/>
          <w:lang w:val="nl-NL"/>
        </w:rPr>
        <w:t>, ch</w:t>
      </w:r>
      <w:r w:rsidRPr="00790798">
        <w:rPr>
          <w:b/>
          <w:bCs/>
          <w:color w:val="000000"/>
          <w:szCs w:val="28"/>
          <w:lang w:val="nl-NL"/>
        </w:rPr>
        <w:t>ứng</w:t>
      </w:r>
      <w:r>
        <w:rPr>
          <w:b/>
          <w:bCs/>
          <w:color w:val="000000"/>
          <w:szCs w:val="28"/>
          <w:lang w:val="nl-NL"/>
        </w:rPr>
        <w:t xml:space="preserve"> t</w:t>
      </w:r>
      <w:r w:rsidRPr="00790798">
        <w:rPr>
          <w:b/>
          <w:bCs/>
          <w:color w:val="000000"/>
          <w:szCs w:val="28"/>
          <w:lang w:val="nl-NL"/>
        </w:rPr>
        <w:t>ừ</w:t>
      </w:r>
      <w:r>
        <w:rPr>
          <w:b/>
          <w:bCs/>
          <w:color w:val="000000"/>
          <w:szCs w:val="28"/>
          <w:lang w:val="vi-VN"/>
        </w:rPr>
        <w:t>:</w:t>
      </w:r>
      <w:r w:rsidRPr="00AE2A95">
        <w:rPr>
          <w:b/>
          <w:color w:val="000000"/>
          <w:szCs w:val="28"/>
          <w:lang w:val="vi-VN"/>
        </w:rPr>
        <w:t xml:space="preserve"> </w:t>
      </w:r>
    </w:p>
    <w:p w14:paraId="1A9FB372" w14:textId="77777777" w:rsidR="007204EE" w:rsidRPr="00AE2A95" w:rsidRDefault="007204EE" w:rsidP="007204EE">
      <w:pPr>
        <w:widowControl w:val="0"/>
        <w:spacing w:before="120" w:after="120"/>
        <w:ind w:firstLine="720"/>
        <w:rPr>
          <w:b/>
          <w:color w:val="000000"/>
          <w:szCs w:val="28"/>
          <w:lang w:val="vi-VN"/>
        </w:rPr>
      </w:pPr>
      <w:r w:rsidRPr="00AE2A95">
        <w:rPr>
          <w:b/>
          <w:color w:val="000000"/>
          <w:szCs w:val="28"/>
          <w:lang w:val="vi-VN"/>
        </w:rPr>
        <w:t>1. Tình hình thực hiện pháp luật về hóa đơn</w:t>
      </w:r>
    </w:p>
    <w:p w14:paraId="7BB3E2D8" w14:textId="77777777" w:rsidR="007204EE" w:rsidRPr="00AE2A95" w:rsidRDefault="007204EE" w:rsidP="007204EE">
      <w:pPr>
        <w:widowControl w:val="0"/>
        <w:spacing w:before="120" w:after="120"/>
        <w:ind w:firstLine="720"/>
        <w:rPr>
          <w:b/>
          <w:i/>
          <w:color w:val="000000"/>
          <w:szCs w:val="28"/>
        </w:rPr>
      </w:pPr>
      <w:r w:rsidRPr="00AE2A95">
        <w:rPr>
          <w:b/>
          <w:i/>
          <w:color w:val="000000"/>
          <w:szCs w:val="28"/>
          <w:lang w:val="vi-VN"/>
        </w:rPr>
        <w:t>(1) Về chính sách chế độ</w:t>
      </w:r>
    </w:p>
    <w:p w14:paraId="3F126EC8" w14:textId="77777777" w:rsidR="007204EE" w:rsidRDefault="007204EE" w:rsidP="007204EE">
      <w:pPr>
        <w:widowControl w:val="0"/>
        <w:spacing w:before="120" w:after="120"/>
        <w:ind w:firstLine="720"/>
        <w:rPr>
          <w:color w:val="000000"/>
          <w:szCs w:val="28"/>
          <w:lang w:val="vi-VN"/>
        </w:rPr>
      </w:pPr>
      <w:r>
        <w:rPr>
          <w:color w:val="000000"/>
          <w:szCs w:val="28"/>
        </w:rPr>
        <w:t xml:space="preserve">- </w:t>
      </w:r>
      <w:r w:rsidRPr="00AE2A95">
        <w:rPr>
          <w:color w:val="000000"/>
          <w:szCs w:val="28"/>
          <w:lang w:val="vi-VN"/>
        </w:rPr>
        <w:t xml:space="preserve">Ngày 14/5/2010 </w:t>
      </w:r>
      <w:r w:rsidRPr="00BF519C">
        <w:rPr>
          <w:bCs/>
          <w:color w:val="000000"/>
          <w:szCs w:val="28"/>
          <w:lang w:val="nl-NL"/>
        </w:rPr>
        <w:t>Chính phủ</w:t>
      </w:r>
      <w:r w:rsidRPr="00AE2A95">
        <w:rPr>
          <w:color w:val="000000"/>
          <w:szCs w:val="28"/>
          <w:lang w:val="vi-VN"/>
        </w:rPr>
        <w:t xml:space="preserve"> ban hành Nghị định số 51/2010/NĐ-CP </w:t>
      </w:r>
      <w:r w:rsidRPr="00BF519C">
        <w:rPr>
          <w:bCs/>
          <w:color w:val="000000"/>
          <w:szCs w:val="28"/>
          <w:lang w:val="nl-NL"/>
        </w:rPr>
        <w:t>quy định</w:t>
      </w:r>
      <w:r w:rsidRPr="00AE2A95">
        <w:rPr>
          <w:color w:val="000000"/>
          <w:szCs w:val="28"/>
          <w:lang w:val="vi-VN"/>
        </w:rPr>
        <w:t xml:space="preserve"> về hoá đơn bán hàng hoá, cung ứng </w:t>
      </w:r>
      <w:r w:rsidRPr="00BF519C">
        <w:rPr>
          <w:bCs/>
          <w:color w:val="000000"/>
          <w:szCs w:val="28"/>
          <w:lang w:val="nl-NL"/>
        </w:rPr>
        <w:t>dịch vụ</w:t>
      </w:r>
      <w:r w:rsidRPr="00AE2A95">
        <w:rPr>
          <w:color w:val="000000"/>
          <w:szCs w:val="28"/>
          <w:lang w:val="vi-VN"/>
        </w:rPr>
        <w:t xml:space="preserve"> (</w:t>
      </w:r>
      <w:r w:rsidRPr="00AE2A95">
        <w:rPr>
          <w:i/>
          <w:color w:val="000000"/>
          <w:szCs w:val="28"/>
          <w:lang w:val="vi-VN"/>
        </w:rPr>
        <w:t>có hiệu lực thi hành từ ngày 01/01/2011</w:t>
      </w:r>
      <w:r w:rsidRPr="00AE2A95">
        <w:rPr>
          <w:color w:val="000000"/>
          <w:szCs w:val="28"/>
          <w:lang w:val="vi-VN"/>
        </w:rPr>
        <w:t>)</w:t>
      </w:r>
      <w:r w:rsidRPr="00BF519C">
        <w:rPr>
          <w:rStyle w:val="FootnoteReference"/>
          <w:b/>
          <w:color w:val="000000"/>
          <w:szCs w:val="28"/>
        </w:rPr>
        <w:footnoteReference w:id="1"/>
      </w:r>
      <w:r w:rsidRPr="00AE2A95">
        <w:rPr>
          <w:color w:val="000000"/>
          <w:szCs w:val="28"/>
          <w:lang w:val="vi-VN"/>
        </w:rPr>
        <w:t xml:space="preserve"> và ngày 17/01/2014, </w:t>
      </w:r>
      <w:r w:rsidRPr="00BF519C">
        <w:rPr>
          <w:bCs/>
          <w:color w:val="000000"/>
          <w:szCs w:val="28"/>
          <w:lang w:val="nl-NL"/>
        </w:rPr>
        <w:t>Chính phủ</w:t>
      </w:r>
      <w:r w:rsidRPr="00AE2A95">
        <w:rPr>
          <w:color w:val="000000"/>
          <w:szCs w:val="28"/>
          <w:lang w:val="vi-VN"/>
        </w:rPr>
        <w:t xml:space="preserve"> ban hành Nghị định số 04/2014/NĐ-CP </w:t>
      </w:r>
      <w:r w:rsidRPr="00BF519C">
        <w:rPr>
          <w:color w:val="000000"/>
          <w:szCs w:val="28"/>
          <w:lang w:val="nl-NL"/>
        </w:rPr>
        <w:t xml:space="preserve">sửa đổi, </w:t>
      </w:r>
      <w:r w:rsidRPr="00BF519C">
        <w:rPr>
          <w:bCs/>
          <w:color w:val="000000"/>
          <w:szCs w:val="28"/>
          <w:lang w:val="nl-NL"/>
        </w:rPr>
        <w:t>bổ sung</w:t>
      </w:r>
      <w:r w:rsidRPr="00BF519C">
        <w:rPr>
          <w:color w:val="000000"/>
          <w:szCs w:val="28"/>
          <w:lang w:val="nl-NL"/>
        </w:rPr>
        <w:t xml:space="preserve"> một số điều </w:t>
      </w:r>
      <w:r w:rsidRPr="00BF519C">
        <w:rPr>
          <w:iCs/>
          <w:color w:val="000000"/>
          <w:szCs w:val="28"/>
          <w:lang w:val="nl-NL"/>
        </w:rPr>
        <w:t>của</w:t>
      </w:r>
      <w:r w:rsidRPr="00BF519C">
        <w:rPr>
          <w:color w:val="000000"/>
          <w:szCs w:val="28"/>
          <w:lang w:val="nl-NL"/>
        </w:rPr>
        <w:t xml:space="preserve"> </w:t>
      </w:r>
      <w:r w:rsidRPr="00AE2A95">
        <w:rPr>
          <w:color w:val="000000"/>
          <w:szCs w:val="28"/>
          <w:lang w:val="vi-VN"/>
        </w:rPr>
        <w:t>Nghị định số 51/2010/NĐ-CP (</w:t>
      </w:r>
      <w:r w:rsidRPr="00AE2A95">
        <w:rPr>
          <w:i/>
          <w:color w:val="000000"/>
          <w:szCs w:val="28"/>
          <w:lang w:val="vi-VN"/>
        </w:rPr>
        <w:t>có hiệu lực thi hành từ ngày 01/3/2014</w:t>
      </w:r>
      <w:r w:rsidRPr="00AE2A95">
        <w:rPr>
          <w:color w:val="000000"/>
          <w:szCs w:val="28"/>
          <w:lang w:val="vi-VN"/>
        </w:rPr>
        <w:t>).</w:t>
      </w:r>
    </w:p>
    <w:p w14:paraId="4130C14D" w14:textId="77777777" w:rsidR="007204EE" w:rsidRDefault="007204EE" w:rsidP="007204EE">
      <w:pPr>
        <w:widowControl w:val="0"/>
        <w:spacing w:before="120" w:after="120"/>
        <w:ind w:firstLine="720"/>
        <w:rPr>
          <w:color w:val="000000"/>
          <w:szCs w:val="28"/>
          <w:lang w:val="vi-VN"/>
        </w:rPr>
      </w:pPr>
      <w:r>
        <w:rPr>
          <w:color w:val="000000"/>
          <w:szCs w:val="28"/>
        </w:rPr>
        <w:t xml:space="preserve">- </w:t>
      </w:r>
      <w:r>
        <w:rPr>
          <w:color w:val="000000"/>
          <w:szCs w:val="28"/>
          <w:lang w:val="vi-VN"/>
        </w:rPr>
        <w:t>Để h</w:t>
      </w:r>
      <w:r w:rsidRPr="00AE2A95">
        <w:rPr>
          <w:color w:val="000000"/>
          <w:szCs w:val="28"/>
          <w:lang w:val="vi-VN"/>
        </w:rPr>
        <w:t>ướng dẫn thực hiện Nghị định số 51/2010/NĐ-CP và Nghị định số 04/2014/NĐ-CP (</w:t>
      </w:r>
      <w:r w:rsidRPr="00AE2A95">
        <w:rPr>
          <w:i/>
          <w:color w:val="000000"/>
          <w:szCs w:val="28"/>
          <w:lang w:val="vi-VN"/>
        </w:rPr>
        <w:t>dưới đây gọi chung là Nghị định số 51 và 04 về hoá đơn</w:t>
      </w:r>
      <w:r w:rsidRPr="00AE2A95">
        <w:rPr>
          <w:color w:val="000000"/>
          <w:szCs w:val="28"/>
          <w:lang w:val="vi-VN"/>
        </w:rPr>
        <w:t>), Bộ Tài chính đã ban hành: Thông tư số 39/2014/TT-BTC ngày 31/3/2014 hướng dẫn chung về hóa đơn (cả hóa đơn giấy và hóa đơn điện tử); Thông tư số 191/2010/TT-BTC ngày 01/12/2010 hướng dẫn về hoá đơn vận tải hành khách bằng xe ôtô; Thông tư số 32/2011/TT-BTC ngày 14/3/2011 hướng dẫn về hoá đơn điện tử do doanh nghiệp phát hành (không có mã xác thực của cơ quan thuế); Quyết định số 1209/QĐ-BTC ngày 23/6/2015 thí điểm sử dụng hóa đơn điện tử do doanh nghiệp phát hành nhưng có mã xác thực của cơ quan thuế; Quyết định số 2660/QĐ-BTC ngày 14/12/2016 về việc gia hạn áp dụng Quyết định số 1209/QĐ-BTC.</w:t>
      </w:r>
    </w:p>
    <w:p w14:paraId="06748E3A" w14:textId="77777777" w:rsidR="007204EE" w:rsidRPr="00AE2A95" w:rsidRDefault="007204EE" w:rsidP="007204EE">
      <w:pPr>
        <w:widowControl w:val="0"/>
        <w:spacing w:before="120" w:after="120"/>
        <w:ind w:firstLine="720"/>
        <w:rPr>
          <w:b/>
          <w:i/>
          <w:color w:val="000000"/>
          <w:szCs w:val="28"/>
          <w:lang w:val="vi-VN"/>
        </w:rPr>
      </w:pPr>
      <w:r w:rsidRPr="00AE2A95">
        <w:rPr>
          <w:b/>
          <w:i/>
          <w:color w:val="000000"/>
          <w:szCs w:val="28"/>
          <w:lang w:val="vi-VN"/>
        </w:rPr>
        <w:lastRenderedPageBreak/>
        <w:t>(2) Về kết quả thực hiện.</w:t>
      </w:r>
    </w:p>
    <w:p w14:paraId="40810616" w14:textId="77777777" w:rsidR="007204EE" w:rsidRDefault="007204EE" w:rsidP="007204EE">
      <w:pPr>
        <w:widowControl w:val="0"/>
        <w:spacing w:after="120"/>
        <w:ind w:firstLine="720"/>
        <w:rPr>
          <w:color w:val="000000"/>
          <w:szCs w:val="28"/>
        </w:rPr>
      </w:pPr>
      <w:r w:rsidRPr="00DA7E34" w:rsidDel="00936902">
        <w:rPr>
          <w:color w:val="000000"/>
          <w:szCs w:val="28"/>
          <w:lang w:val="vi-VN"/>
        </w:rPr>
        <w:t xml:space="preserve"> </w:t>
      </w:r>
      <w:r>
        <w:rPr>
          <w:color w:val="000000"/>
          <w:szCs w:val="28"/>
          <w:lang w:val="vi-VN"/>
        </w:rPr>
        <w:t>(i) Theo báo cáo của Tổng cục Thuế, về số lượng doanh nghiệp sử dụng hóa đơn và số lượng hóa đơn sử dụng trong một số năm gần đây (2016-2019) như sau:</w:t>
      </w:r>
    </w:p>
    <w:tbl>
      <w:tblPr>
        <w:tblW w:w="10737" w:type="dxa"/>
        <w:tblInd w:w="-601" w:type="dxa"/>
        <w:tblLook w:val="04A0" w:firstRow="1" w:lastRow="0" w:firstColumn="1" w:lastColumn="0" w:noHBand="0" w:noVBand="1"/>
      </w:tblPr>
      <w:tblGrid>
        <w:gridCol w:w="709"/>
        <w:gridCol w:w="1134"/>
        <w:gridCol w:w="1134"/>
        <w:gridCol w:w="993"/>
        <w:gridCol w:w="992"/>
        <w:gridCol w:w="1134"/>
        <w:gridCol w:w="1276"/>
        <w:gridCol w:w="1134"/>
        <w:gridCol w:w="1134"/>
        <w:gridCol w:w="1097"/>
      </w:tblGrid>
      <w:tr w:rsidR="007204EE" w:rsidRPr="009C2E1F" w14:paraId="11A69E1D" w14:textId="77777777" w:rsidTr="00AE2A95">
        <w:trPr>
          <w:trHeight w:val="429"/>
        </w:trPr>
        <w:tc>
          <w:tcPr>
            <w:tcW w:w="709" w:type="dxa"/>
            <w:vMerge w:val="restart"/>
            <w:tcBorders>
              <w:top w:val="single" w:sz="4" w:space="0" w:color="auto"/>
              <w:left w:val="single" w:sz="4" w:space="0" w:color="auto"/>
              <w:right w:val="single" w:sz="4" w:space="0" w:color="auto"/>
            </w:tcBorders>
            <w:shd w:val="clear" w:color="auto" w:fill="auto"/>
          </w:tcPr>
          <w:p w14:paraId="30D34A9E" w14:textId="77777777" w:rsidR="007204EE" w:rsidRPr="009C2E1F" w:rsidRDefault="007204EE" w:rsidP="00AE2A95">
            <w:pPr>
              <w:jc w:val="center"/>
              <w:rPr>
                <w:rFonts w:eastAsia="Times New Roman"/>
                <w:b/>
                <w:bCs/>
                <w:color w:val="000000"/>
                <w:sz w:val="20"/>
                <w:szCs w:val="20"/>
                <w:lang w:val="vi-VN"/>
              </w:rPr>
            </w:pPr>
          </w:p>
          <w:p w14:paraId="34E253F5" w14:textId="77777777" w:rsidR="007204EE" w:rsidRPr="009C2E1F" w:rsidRDefault="007204EE" w:rsidP="00AE2A95">
            <w:pPr>
              <w:jc w:val="center"/>
              <w:rPr>
                <w:rFonts w:eastAsia="Times New Roman"/>
                <w:b/>
                <w:bCs/>
                <w:color w:val="000000"/>
                <w:sz w:val="20"/>
                <w:szCs w:val="20"/>
                <w:lang w:val="vi-VN"/>
              </w:rPr>
            </w:pPr>
          </w:p>
          <w:p w14:paraId="69BBBF8F" w14:textId="77777777" w:rsidR="007204EE" w:rsidRPr="009C2E1F" w:rsidRDefault="007204EE" w:rsidP="00AE2A95">
            <w:pPr>
              <w:jc w:val="center"/>
              <w:rPr>
                <w:rFonts w:eastAsia="Times New Roman"/>
                <w:b/>
                <w:bCs/>
                <w:color w:val="000000"/>
                <w:sz w:val="20"/>
                <w:szCs w:val="20"/>
                <w:lang w:val="vi-VN"/>
              </w:rPr>
            </w:pPr>
          </w:p>
          <w:p w14:paraId="62B0BDD1" w14:textId="77777777" w:rsidR="007204EE" w:rsidRPr="009C2E1F" w:rsidRDefault="007204EE" w:rsidP="00AE2A95">
            <w:pPr>
              <w:jc w:val="center"/>
              <w:rPr>
                <w:rFonts w:eastAsia="Times New Roman"/>
                <w:b/>
                <w:bCs/>
                <w:color w:val="000000"/>
                <w:sz w:val="20"/>
                <w:szCs w:val="20"/>
                <w:lang w:val="vi-VN"/>
              </w:rPr>
            </w:pPr>
          </w:p>
          <w:p w14:paraId="316EF835" w14:textId="77777777" w:rsidR="007204EE" w:rsidRPr="009C2E1F" w:rsidRDefault="007204EE" w:rsidP="00AE2A95">
            <w:pPr>
              <w:jc w:val="center"/>
              <w:rPr>
                <w:rFonts w:eastAsia="Times New Roman"/>
                <w:b/>
                <w:bCs/>
                <w:color w:val="000000"/>
                <w:sz w:val="20"/>
                <w:szCs w:val="20"/>
              </w:rPr>
            </w:pPr>
            <w:r w:rsidRPr="009C2E1F">
              <w:rPr>
                <w:rFonts w:eastAsia="Times New Roman"/>
                <w:b/>
                <w:bCs/>
                <w:color w:val="000000"/>
                <w:sz w:val="20"/>
                <w:szCs w:val="20"/>
              </w:rPr>
              <w:t>Năm</w:t>
            </w:r>
          </w:p>
        </w:tc>
        <w:tc>
          <w:tcPr>
            <w:tcW w:w="4253" w:type="dxa"/>
            <w:gridSpan w:val="4"/>
            <w:tcBorders>
              <w:top w:val="single" w:sz="4" w:space="0" w:color="auto"/>
              <w:left w:val="nil"/>
              <w:bottom w:val="single" w:sz="4" w:space="0" w:color="auto"/>
              <w:right w:val="single" w:sz="4" w:space="0" w:color="auto"/>
            </w:tcBorders>
            <w:shd w:val="clear" w:color="auto" w:fill="auto"/>
          </w:tcPr>
          <w:p w14:paraId="0934D7B5" w14:textId="77777777" w:rsidR="007204EE" w:rsidRPr="009C2E1F" w:rsidRDefault="007204EE" w:rsidP="00AE2A95">
            <w:pPr>
              <w:jc w:val="center"/>
              <w:rPr>
                <w:rFonts w:eastAsia="Times New Roman"/>
                <w:b/>
                <w:bCs/>
                <w:color w:val="000000"/>
                <w:sz w:val="20"/>
                <w:szCs w:val="20"/>
                <w:lang w:val="vi-VN"/>
              </w:rPr>
            </w:pPr>
          </w:p>
          <w:p w14:paraId="4B43F50C"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Số doanh nghiệp</w:t>
            </w:r>
          </w:p>
          <w:p w14:paraId="091CB357" w14:textId="77777777" w:rsidR="007204EE" w:rsidRPr="009C2E1F" w:rsidRDefault="007204EE" w:rsidP="00AE2A95">
            <w:pPr>
              <w:jc w:val="center"/>
              <w:rPr>
                <w:rFonts w:eastAsia="Times New Roman"/>
                <w:bCs/>
                <w:color w:val="000000"/>
                <w:sz w:val="20"/>
                <w:szCs w:val="20"/>
              </w:rPr>
            </w:pPr>
            <w:r w:rsidRPr="009C2E1F">
              <w:rPr>
                <w:rFonts w:eastAsia="Times New Roman"/>
                <w:bCs/>
                <w:color w:val="000000"/>
                <w:sz w:val="20"/>
                <w:szCs w:val="20"/>
                <w:lang w:val="vi-VN"/>
              </w:rPr>
              <w:t>(theo đơn vị)</w:t>
            </w:r>
          </w:p>
        </w:tc>
        <w:tc>
          <w:tcPr>
            <w:tcW w:w="5775" w:type="dxa"/>
            <w:gridSpan w:val="5"/>
            <w:tcBorders>
              <w:top w:val="single" w:sz="4" w:space="0" w:color="auto"/>
              <w:left w:val="nil"/>
              <w:bottom w:val="single" w:sz="4" w:space="0" w:color="auto"/>
              <w:right w:val="single" w:sz="4" w:space="0" w:color="auto"/>
            </w:tcBorders>
          </w:tcPr>
          <w:p w14:paraId="2D18CC40" w14:textId="77777777" w:rsidR="007204EE" w:rsidRPr="009C2E1F" w:rsidRDefault="007204EE" w:rsidP="00AE2A95">
            <w:pPr>
              <w:jc w:val="center"/>
              <w:rPr>
                <w:rFonts w:eastAsia="Times New Roman"/>
                <w:b/>
                <w:bCs/>
                <w:color w:val="000000"/>
                <w:sz w:val="20"/>
                <w:szCs w:val="20"/>
                <w:lang w:val="vi-VN"/>
              </w:rPr>
            </w:pPr>
          </w:p>
          <w:p w14:paraId="2B607D35"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 xml:space="preserve">Số lượng hóa đơn </w:t>
            </w:r>
          </w:p>
          <w:p w14:paraId="2FB01872" w14:textId="77777777" w:rsidR="007204EE" w:rsidRPr="009C2E1F" w:rsidRDefault="007204EE" w:rsidP="00AE2A95">
            <w:pPr>
              <w:jc w:val="center"/>
              <w:rPr>
                <w:rFonts w:eastAsia="Times New Roman"/>
                <w:bCs/>
                <w:color w:val="000000"/>
                <w:sz w:val="20"/>
                <w:szCs w:val="20"/>
                <w:lang w:val="vi-VN"/>
              </w:rPr>
            </w:pPr>
            <w:r w:rsidRPr="009C2E1F">
              <w:rPr>
                <w:rFonts w:eastAsia="Times New Roman"/>
                <w:bCs/>
                <w:color w:val="000000"/>
                <w:sz w:val="20"/>
                <w:szCs w:val="20"/>
                <w:lang w:val="vi-VN"/>
              </w:rPr>
              <w:t>(đơn vị: 1000 hóa đơn)</w:t>
            </w:r>
          </w:p>
        </w:tc>
      </w:tr>
      <w:tr w:rsidR="007204EE" w:rsidRPr="00BF519C" w14:paraId="4298257D" w14:textId="77777777" w:rsidTr="00AE2A95">
        <w:trPr>
          <w:trHeight w:val="225"/>
        </w:trPr>
        <w:tc>
          <w:tcPr>
            <w:tcW w:w="709" w:type="dxa"/>
            <w:vMerge/>
            <w:tcBorders>
              <w:left w:val="single" w:sz="4" w:space="0" w:color="auto"/>
              <w:bottom w:val="single" w:sz="4" w:space="0" w:color="auto"/>
              <w:right w:val="single" w:sz="4" w:space="0" w:color="auto"/>
            </w:tcBorders>
            <w:shd w:val="clear" w:color="auto" w:fill="auto"/>
          </w:tcPr>
          <w:p w14:paraId="400C8A10" w14:textId="77777777" w:rsidR="007204EE" w:rsidRPr="009C2E1F" w:rsidRDefault="007204EE" w:rsidP="00AE2A95">
            <w:pPr>
              <w:jc w:val="center"/>
              <w:rPr>
                <w:rFonts w:eastAsia="Times New Roman"/>
                <w:b/>
                <w:bCs/>
                <w:color w:val="000000"/>
                <w:sz w:val="20"/>
                <w:szCs w:val="20"/>
                <w:lang w:val="vi-VN"/>
              </w:rPr>
            </w:pPr>
          </w:p>
        </w:tc>
        <w:tc>
          <w:tcPr>
            <w:tcW w:w="1134" w:type="dxa"/>
            <w:vMerge w:val="restart"/>
            <w:tcBorders>
              <w:top w:val="single" w:sz="4" w:space="0" w:color="auto"/>
              <w:left w:val="nil"/>
              <w:right w:val="single" w:sz="4" w:space="0" w:color="auto"/>
            </w:tcBorders>
            <w:shd w:val="clear" w:color="auto" w:fill="auto"/>
          </w:tcPr>
          <w:p w14:paraId="3C196540"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M</w:t>
            </w:r>
            <w:r w:rsidRPr="009C2E1F">
              <w:rPr>
                <w:rFonts w:eastAsia="Times New Roman"/>
                <w:b/>
                <w:bCs/>
                <w:color w:val="000000"/>
                <w:sz w:val="20"/>
                <w:szCs w:val="20"/>
              </w:rPr>
              <w:t>ua của CQT</w:t>
            </w:r>
          </w:p>
        </w:tc>
        <w:tc>
          <w:tcPr>
            <w:tcW w:w="1134" w:type="dxa"/>
            <w:vMerge w:val="restart"/>
            <w:tcBorders>
              <w:top w:val="single" w:sz="4" w:space="0" w:color="auto"/>
              <w:left w:val="nil"/>
              <w:right w:val="single" w:sz="4" w:space="0" w:color="auto"/>
            </w:tcBorders>
            <w:shd w:val="clear" w:color="auto" w:fill="auto"/>
          </w:tcPr>
          <w:p w14:paraId="354E0F22" w14:textId="77777777" w:rsidR="007204EE" w:rsidRPr="009C2E1F" w:rsidRDefault="007204EE" w:rsidP="00AE2A95">
            <w:pPr>
              <w:jc w:val="center"/>
              <w:rPr>
                <w:rFonts w:eastAsia="Times New Roman"/>
                <w:b/>
                <w:bCs/>
                <w:color w:val="000000"/>
                <w:sz w:val="20"/>
                <w:szCs w:val="20"/>
              </w:rPr>
            </w:pPr>
            <w:r w:rsidRPr="009C2E1F">
              <w:rPr>
                <w:rFonts w:eastAsia="Times New Roman"/>
                <w:b/>
                <w:bCs/>
                <w:color w:val="000000"/>
                <w:sz w:val="20"/>
                <w:szCs w:val="20"/>
              </w:rPr>
              <w:t>DN đặt in</w:t>
            </w:r>
          </w:p>
        </w:tc>
        <w:tc>
          <w:tcPr>
            <w:tcW w:w="993" w:type="dxa"/>
            <w:vMerge w:val="restart"/>
            <w:tcBorders>
              <w:top w:val="single" w:sz="4" w:space="0" w:color="auto"/>
              <w:left w:val="nil"/>
              <w:right w:val="single" w:sz="4" w:space="0" w:color="auto"/>
            </w:tcBorders>
            <w:shd w:val="clear" w:color="auto" w:fill="auto"/>
          </w:tcPr>
          <w:p w14:paraId="0EA75EC0" w14:textId="77777777" w:rsidR="007204EE" w:rsidRPr="009C2E1F" w:rsidRDefault="007204EE" w:rsidP="00AE2A95">
            <w:pPr>
              <w:jc w:val="center"/>
              <w:rPr>
                <w:rFonts w:eastAsia="Times New Roman"/>
                <w:b/>
                <w:bCs/>
                <w:color w:val="000000"/>
                <w:sz w:val="20"/>
                <w:szCs w:val="20"/>
              </w:rPr>
            </w:pPr>
            <w:r w:rsidRPr="009C2E1F">
              <w:rPr>
                <w:rFonts w:eastAsia="Times New Roman"/>
                <w:b/>
                <w:bCs/>
                <w:color w:val="000000"/>
                <w:sz w:val="20"/>
                <w:szCs w:val="20"/>
              </w:rPr>
              <w:t xml:space="preserve">DN tự in </w:t>
            </w:r>
          </w:p>
        </w:tc>
        <w:tc>
          <w:tcPr>
            <w:tcW w:w="992" w:type="dxa"/>
            <w:vMerge w:val="restart"/>
            <w:tcBorders>
              <w:top w:val="single" w:sz="4" w:space="0" w:color="auto"/>
              <w:left w:val="nil"/>
              <w:right w:val="single" w:sz="4" w:space="0" w:color="auto"/>
            </w:tcBorders>
            <w:shd w:val="clear" w:color="auto" w:fill="auto"/>
          </w:tcPr>
          <w:p w14:paraId="45EAA598"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S</w:t>
            </w:r>
            <w:r w:rsidRPr="009C2E1F">
              <w:rPr>
                <w:rFonts w:eastAsia="Times New Roman"/>
                <w:b/>
                <w:bCs/>
                <w:color w:val="000000"/>
                <w:sz w:val="20"/>
                <w:szCs w:val="20"/>
              </w:rPr>
              <w:t>ử dụng hóa đơn điện tử</w:t>
            </w:r>
          </w:p>
        </w:tc>
        <w:tc>
          <w:tcPr>
            <w:tcW w:w="1134" w:type="dxa"/>
            <w:vMerge w:val="restart"/>
            <w:tcBorders>
              <w:top w:val="single" w:sz="4" w:space="0" w:color="auto"/>
              <w:left w:val="nil"/>
              <w:right w:val="single" w:sz="4" w:space="0" w:color="auto"/>
            </w:tcBorders>
          </w:tcPr>
          <w:p w14:paraId="55DF9AC0" w14:textId="77777777" w:rsidR="007204EE" w:rsidRPr="009C2E1F" w:rsidRDefault="007204EE" w:rsidP="00AE2A95">
            <w:pPr>
              <w:jc w:val="center"/>
              <w:rPr>
                <w:rFonts w:eastAsia="Times New Roman"/>
                <w:b/>
                <w:bCs/>
                <w:color w:val="000000"/>
                <w:sz w:val="20"/>
                <w:szCs w:val="20"/>
                <w:lang w:val="vi-VN"/>
              </w:rPr>
            </w:pPr>
          </w:p>
          <w:p w14:paraId="7E408C1E"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Tổng số</w:t>
            </w:r>
          </w:p>
        </w:tc>
        <w:tc>
          <w:tcPr>
            <w:tcW w:w="4641" w:type="dxa"/>
            <w:gridSpan w:val="4"/>
            <w:tcBorders>
              <w:top w:val="single" w:sz="4" w:space="0" w:color="auto"/>
              <w:left w:val="single" w:sz="4" w:space="0" w:color="auto"/>
              <w:bottom w:val="single" w:sz="4" w:space="0" w:color="auto"/>
              <w:right w:val="single" w:sz="4" w:space="0" w:color="auto"/>
            </w:tcBorders>
            <w:shd w:val="clear" w:color="auto" w:fill="auto"/>
          </w:tcPr>
          <w:p w14:paraId="0D4C48F9"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Trong đó</w:t>
            </w:r>
          </w:p>
        </w:tc>
      </w:tr>
      <w:tr w:rsidR="007204EE" w:rsidRPr="009C2E1F" w14:paraId="025CFFFB" w14:textId="77777777" w:rsidTr="00AE2A95">
        <w:trPr>
          <w:trHeight w:val="648"/>
        </w:trPr>
        <w:tc>
          <w:tcPr>
            <w:tcW w:w="709" w:type="dxa"/>
            <w:vMerge/>
            <w:tcBorders>
              <w:left w:val="single" w:sz="4" w:space="0" w:color="auto"/>
              <w:bottom w:val="single" w:sz="4" w:space="0" w:color="auto"/>
              <w:right w:val="single" w:sz="4" w:space="0" w:color="auto"/>
            </w:tcBorders>
            <w:shd w:val="clear" w:color="auto" w:fill="auto"/>
            <w:hideMark/>
          </w:tcPr>
          <w:p w14:paraId="61E30C9E" w14:textId="77777777" w:rsidR="007204EE" w:rsidRPr="009C2E1F" w:rsidRDefault="007204EE" w:rsidP="00AE2A95">
            <w:pPr>
              <w:jc w:val="center"/>
              <w:rPr>
                <w:rFonts w:eastAsia="Times New Roman"/>
                <w:b/>
                <w:bCs/>
                <w:color w:val="000000"/>
                <w:sz w:val="20"/>
                <w:szCs w:val="20"/>
                <w:lang w:val="vi-VN"/>
              </w:rPr>
            </w:pPr>
          </w:p>
        </w:tc>
        <w:tc>
          <w:tcPr>
            <w:tcW w:w="1134" w:type="dxa"/>
            <w:vMerge/>
            <w:tcBorders>
              <w:left w:val="nil"/>
              <w:bottom w:val="single" w:sz="4" w:space="0" w:color="auto"/>
              <w:right w:val="single" w:sz="4" w:space="0" w:color="auto"/>
            </w:tcBorders>
            <w:shd w:val="clear" w:color="auto" w:fill="auto"/>
            <w:hideMark/>
          </w:tcPr>
          <w:p w14:paraId="5E67EBED" w14:textId="77777777" w:rsidR="007204EE" w:rsidRPr="009C2E1F" w:rsidRDefault="007204EE" w:rsidP="00AE2A95">
            <w:pPr>
              <w:jc w:val="center"/>
              <w:rPr>
                <w:rFonts w:eastAsia="Times New Roman"/>
                <w:b/>
                <w:bCs/>
                <w:color w:val="000000"/>
                <w:sz w:val="20"/>
                <w:szCs w:val="20"/>
              </w:rPr>
            </w:pPr>
          </w:p>
        </w:tc>
        <w:tc>
          <w:tcPr>
            <w:tcW w:w="1134" w:type="dxa"/>
            <w:vMerge/>
            <w:tcBorders>
              <w:left w:val="nil"/>
              <w:bottom w:val="single" w:sz="4" w:space="0" w:color="auto"/>
              <w:right w:val="single" w:sz="4" w:space="0" w:color="auto"/>
            </w:tcBorders>
            <w:shd w:val="clear" w:color="auto" w:fill="auto"/>
            <w:hideMark/>
          </w:tcPr>
          <w:p w14:paraId="53D2DDD4" w14:textId="77777777" w:rsidR="007204EE" w:rsidRPr="009C2E1F" w:rsidRDefault="007204EE" w:rsidP="00AE2A95">
            <w:pPr>
              <w:jc w:val="center"/>
              <w:rPr>
                <w:rFonts w:eastAsia="Times New Roman"/>
                <w:b/>
                <w:bCs/>
                <w:color w:val="000000"/>
                <w:sz w:val="20"/>
                <w:szCs w:val="20"/>
              </w:rPr>
            </w:pPr>
          </w:p>
        </w:tc>
        <w:tc>
          <w:tcPr>
            <w:tcW w:w="993" w:type="dxa"/>
            <w:vMerge/>
            <w:tcBorders>
              <w:left w:val="nil"/>
              <w:bottom w:val="single" w:sz="4" w:space="0" w:color="auto"/>
              <w:right w:val="single" w:sz="4" w:space="0" w:color="auto"/>
            </w:tcBorders>
            <w:shd w:val="clear" w:color="auto" w:fill="auto"/>
            <w:hideMark/>
          </w:tcPr>
          <w:p w14:paraId="5B94FC15" w14:textId="77777777" w:rsidR="007204EE" w:rsidRPr="009C2E1F" w:rsidRDefault="007204EE" w:rsidP="00AE2A95">
            <w:pPr>
              <w:jc w:val="center"/>
              <w:rPr>
                <w:rFonts w:eastAsia="Times New Roman"/>
                <w:b/>
                <w:bCs/>
                <w:color w:val="000000"/>
                <w:sz w:val="20"/>
                <w:szCs w:val="20"/>
              </w:rPr>
            </w:pPr>
          </w:p>
        </w:tc>
        <w:tc>
          <w:tcPr>
            <w:tcW w:w="992" w:type="dxa"/>
            <w:vMerge/>
            <w:tcBorders>
              <w:left w:val="nil"/>
              <w:bottom w:val="single" w:sz="4" w:space="0" w:color="auto"/>
              <w:right w:val="single" w:sz="4" w:space="0" w:color="auto"/>
            </w:tcBorders>
            <w:shd w:val="clear" w:color="auto" w:fill="auto"/>
            <w:hideMark/>
          </w:tcPr>
          <w:p w14:paraId="7D97AB4F" w14:textId="77777777" w:rsidR="007204EE" w:rsidRPr="009C2E1F" w:rsidRDefault="007204EE" w:rsidP="00AE2A95">
            <w:pPr>
              <w:jc w:val="center"/>
              <w:rPr>
                <w:rFonts w:eastAsia="Times New Roman"/>
                <w:b/>
                <w:bCs/>
                <w:color w:val="000000"/>
                <w:sz w:val="20"/>
                <w:szCs w:val="20"/>
              </w:rPr>
            </w:pPr>
          </w:p>
        </w:tc>
        <w:tc>
          <w:tcPr>
            <w:tcW w:w="1134" w:type="dxa"/>
            <w:vMerge/>
            <w:tcBorders>
              <w:left w:val="nil"/>
              <w:bottom w:val="single" w:sz="4" w:space="0" w:color="auto"/>
              <w:right w:val="single" w:sz="4" w:space="0" w:color="auto"/>
            </w:tcBorders>
          </w:tcPr>
          <w:p w14:paraId="3E93F54D" w14:textId="77777777" w:rsidR="007204EE" w:rsidRPr="009C2E1F" w:rsidRDefault="007204EE" w:rsidP="00AE2A95">
            <w:pPr>
              <w:jc w:val="center"/>
              <w:rPr>
                <w:rFonts w:eastAsia="Times New Roman"/>
                <w:b/>
                <w:bCs/>
                <w:color w:val="000000"/>
                <w:sz w:val="20"/>
                <w:szCs w:val="20"/>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D3671B3"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Mua của Cơ quan thuế</w:t>
            </w:r>
          </w:p>
        </w:tc>
        <w:tc>
          <w:tcPr>
            <w:tcW w:w="1134" w:type="dxa"/>
            <w:tcBorders>
              <w:top w:val="single" w:sz="4" w:space="0" w:color="auto"/>
              <w:left w:val="nil"/>
              <w:bottom w:val="single" w:sz="4" w:space="0" w:color="auto"/>
              <w:right w:val="single" w:sz="4" w:space="0" w:color="auto"/>
            </w:tcBorders>
            <w:shd w:val="clear" w:color="auto" w:fill="auto"/>
            <w:hideMark/>
          </w:tcPr>
          <w:p w14:paraId="3CB4BAFE" w14:textId="77777777" w:rsidR="007204EE" w:rsidRPr="009C2E1F" w:rsidRDefault="007204EE" w:rsidP="00AE2A95">
            <w:pPr>
              <w:jc w:val="center"/>
              <w:rPr>
                <w:rFonts w:eastAsia="Times New Roman"/>
                <w:b/>
                <w:bCs/>
                <w:color w:val="000000"/>
                <w:sz w:val="20"/>
                <w:szCs w:val="20"/>
              </w:rPr>
            </w:pPr>
            <w:r w:rsidRPr="009C2E1F">
              <w:rPr>
                <w:rFonts w:eastAsia="Times New Roman"/>
                <w:b/>
                <w:bCs/>
                <w:color w:val="000000"/>
                <w:sz w:val="20"/>
                <w:szCs w:val="20"/>
                <w:lang w:val="vi-VN"/>
              </w:rPr>
              <w:t xml:space="preserve">DN </w:t>
            </w:r>
            <w:r w:rsidRPr="009C2E1F">
              <w:rPr>
                <w:rFonts w:eastAsia="Times New Roman"/>
                <w:b/>
                <w:bCs/>
                <w:color w:val="000000"/>
                <w:sz w:val="20"/>
                <w:szCs w:val="20"/>
              </w:rPr>
              <w:t xml:space="preserve">đặt in </w:t>
            </w:r>
          </w:p>
        </w:tc>
        <w:tc>
          <w:tcPr>
            <w:tcW w:w="1134" w:type="dxa"/>
            <w:tcBorders>
              <w:top w:val="single" w:sz="4" w:space="0" w:color="auto"/>
              <w:left w:val="nil"/>
              <w:bottom w:val="single" w:sz="4" w:space="0" w:color="auto"/>
              <w:right w:val="single" w:sz="4" w:space="0" w:color="auto"/>
            </w:tcBorders>
            <w:shd w:val="clear" w:color="auto" w:fill="auto"/>
            <w:hideMark/>
          </w:tcPr>
          <w:p w14:paraId="7C766961"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DN tự in</w:t>
            </w:r>
          </w:p>
        </w:tc>
        <w:tc>
          <w:tcPr>
            <w:tcW w:w="1097" w:type="dxa"/>
            <w:tcBorders>
              <w:top w:val="single" w:sz="4" w:space="0" w:color="auto"/>
              <w:left w:val="nil"/>
              <w:bottom w:val="single" w:sz="4" w:space="0" w:color="auto"/>
              <w:right w:val="single" w:sz="4" w:space="0" w:color="auto"/>
            </w:tcBorders>
            <w:shd w:val="clear" w:color="auto" w:fill="auto"/>
            <w:hideMark/>
          </w:tcPr>
          <w:p w14:paraId="65B59689"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 xml:space="preserve">Hóa đơn điện tử (không có mã) </w:t>
            </w:r>
          </w:p>
        </w:tc>
      </w:tr>
      <w:tr w:rsidR="007204EE" w:rsidRPr="00BF519C" w14:paraId="283AE85B" w14:textId="77777777" w:rsidTr="00AE2A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4FD7A"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0CFB21"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25</w:t>
            </w:r>
            <w:r>
              <w:rPr>
                <w:rFonts w:eastAsia="Times New Roman"/>
                <w:color w:val="000000"/>
                <w:sz w:val="20"/>
                <w:szCs w:val="20"/>
                <w:lang w:val="vi-VN"/>
              </w:rPr>
              <w:t>.</w:t>
            </w:r>
            <w:r w:rsidRPr="009C2E1F">
              <w:rPr>
                <w:rFonts w:eastAsia="Times New Roman"/>
                <w:color w:val="000000"/>
                <w:sz w:val="20"/>
                <w:szCs w:val="20"/>
              </w:rPr>
              <w:t>759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0AE83F"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650</w:t>
            </w:r>
            <w:r>
              <w:rPr>
                <w:rFonts w:eastAsia="Times New Roman"/>
                <w:color w:val="000000"/>
                <w:sz w:val="20"/>
                <w:szCs w:val="20"/>
                <w:lang w:val="vi-VN"/>
              </w:rPr>
              <w:t>.</w:t>
            </w:r>
            <w:r w:rsidRPr="009C2E1F">
              <w:rPr>
                <w:rFonts w:eastAsia="Times New Roman"/>
                <w:color w:val="000000"/>
                <w:sz w:val="20"/>
                <w:szCs w:val="20"/>
              </w:rPr>
              <w:t>876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007C88C4"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15</w:t>
            </w:r>
            <w:r>
              <w:rPr>
                <w:rFonts w:eastAsia="Times New Roman"/>
                <w:color w:val="000000"/>
                <w:sz w:val="20"/>
                <w:szCs w:val="20"/>
                <w:lang w:val="vi-VN"/>
              </w:rPr>
              <w:t>.</w:t>
            </w:r>
            <w:r w:rsidRPr="009C2E1F">
              <w:rPr>
                <w:rFonts w:eastAsia="Times New Roman"/>
                <w:color w:val="000000"/>
                <w:sz w:val="20"/>
                <w:szCs w:val="20"/>
              </w:rPr>
              <w:t>457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976C71"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843</w:t>
            </w:r>
          </w:p>
        </w:tc>
        <w:tc>
          <w:tcPr>
            <w:tcW w:w="1134" w:type="dxa"/>
            <w:tcBorders>
              <w:top w:val="single" w:sz="4" w:space="0" w:color="auto"/>
              <w:left w:val="nil"/>
              <w:bottom w:val="single" w:sz="4" w:space="0" w:color="auto"/>
              <w:right w:val="single" w:sz="4" w:space="0" w:color="auto"/>
            </w:tcBorders>
            <w:vAlign w:val="bottom"/>
          </w:tcPr>
          <w:p w14:paraId="00280F76" w14:textId="77777777" w:rsidR="007204EE" w:rsidRPr="009C2E1F" w:rsidRDefault="007204EE" w:rsidP="00AE2A95">
            <w:pPr>
              <w:jc w:val="center"/>
              <w:rPr>
                <w:rFonts w:eastAsia="Times New Roman"/>
                <w:color w:val="000000"/>
                <w:sz w:val="20"/>
                <w:szCs w:val="20"/>
                <w:lang w:val="vi-VN"/>
              </w:rPr>
            </w:pPr>
            <w:r w:rsidRPr="009C2E1F">
              <w:rPr>
                <w:rFonts w:eastAsia="Times New Roman"/>
                <w:b/>
                <w:color w:val="000000"/>
                <w:sz w:val="20"/>
                <w:szCs w:val="20"/>
              </w:rPr>
              <w:t>4</w:t>
            </w:r>
            <w:r>
              <w:rPr>
                <w:rFonts w:eastAsia="Times New Roman"/>
                <w:b/>
                <w:color w:val="000000"/>
                <w:sz w:val="20"/>
                <w:szCs w:val="20"/>
                <w:lang w:val="vi-VN"/>
              </w:rPr>
              <w:t>.</w:t>
            </w:r>
            <w:r w:rsidRPr="009C2E1F">
              <w:rPr>
                <w:rFonts w:eastAsia="Times New Roman"/>
                <w:b/>
                <w:color w:val="000000"/>
                <w:sz w:val="20"/>
                <w:szCs w:val="20"/>
              </w:rPr>
              <w:t>120</w:t>
            </w:r>
            <w:r>
              <w:rPr>
                <w:rFonts w:eastAsia="Times New Roman"/>
                <w:b/>
                <w:color w:val="000000"/>
                <w:sz w:val="20"/>
                <w:szCs w:val="20"/>
                <w:lang w:val="vi-VN"/>
              </w:rPr>
              <w:t>.</w:t>
            </w:r>
            <w:r w:rsidRPr="009C2E1F">
              <w:rPr>
                <w:rFonts w:eastAsia="Times New Roman"/>
                <w:b/>
                <w:color w:val="000000"/>
                <w:sz w:val="20"/>
                <w:szCs w:val="20"/>
              </w:rPr>
              <w:t>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C9BB"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16</w:t>
            </w:r>
            <w:r>
              <w:rPr>
                <w:rFonts w:eastAsia="Times New Roman"/>
                <w:color w:val="000000"/>
                <w:sz w:val="20"/>
                <w:szCs w:val="20"/>
                <w:lang w:val="vi-VN"/>
              </w:rPr>
              <w:t>.</w:t>
            </w:r>
            <w:r w:rsidRPr="009C2E1F">
              <w:rPr>
                <w:rFonts w:eastAsia="Times New Roman"/>
                <w:color w:val="000000"/>
                <w:sz w:val="20"/>
                <w:szCs w:val="20"/>
              </w:rPr>
              <w:t>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78D6B0"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1</w:t>
            </w:r>
            <w:r>
              <w:rPr>
                <w:rFonts w:eastAsia="Times New Roman"/>
                <w:color w:val="000000"/>
                <w:sz w:val="20"/>
                <w:szCs w:val="20"/>
                <w:lang w:val="vi-VN"/>
              </w:rPr>
              <w:t>.</w:t>
            </w:r>
            <w:r w:rsidRPr="009C2E1F">
              <w:rPr>
                <w:rFonts w:eastAsia="Times New Roman"/>
                <w:color w:val="000000"/>
                <w:sz w:val="20"/>
                <w:szCs w:val="20"/>
              </w:rPr>
              <w:t>114</w:t>
            </w:r>
            <w:r>
              <w:rPr>
                <w:rFonts w:eastAsia="Times New Roman"/>
                <w:color w:val="000000"/>
                <w:sz w:val="20"/>
                <w:szCs w:val="20"/>
                <w:lang w:val="vi-VN"/>
              </w:rPr>
              <w:t>.</w:t>
            </w:r>
            <w:r w:rsidRPr="009C2E1F">
              <w:rPr>
                <w:rFonts w:eastAsia="Times New Roman"/>
                <w:color w:val="000000"/>
                <w:sz w:val="20"/>
                <w:szCs w:val="20"/>
              </w:rPr>
              <w:t>276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D0F84E"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2</w:t>
            </w:r>
            <w:r>
              <w:rPr>
                <w:rFonts w:eastAsia="Times New Roman"/>
                <w:color w:val="000000"/>
                <w:sz w:val="20"/>
                <w:szCs w:val="20"/>
                <w:lang w:val="vi-VN"/>
              </w:rPr>
              <w:t>.</w:t>
            </w:r>
            <w:r w:rsidRPr="009C2E1F">
              <w:rPr>
                <w:rFonts w:eastAsia="Times New Roman"/>
                <w:color w:val="000000"/>
                <w:sz w:val="20"/>
                <w:szCs w:val="20"/>
              </w:rPr>
              <w:t>611</w:t>
            </w:r>
            <w:r>
              <w:rPr>
                <w:rFonts w:eastAsia="Times New Roman"/>
                <w:color w:val="000000"/>
                <w:sz w:val="20"/>
                <w:szCs w:val="20"/>
                <w:lang w:val="vi-VN"/>
              </w:rPr>
              <w:t>.</w:t>
            </w:r>
            <w:r w:rsidRPr="009C2E1F">
              <w:rPr>
                <w:rFonts w:eastAsia="Times New Roman"/>
                <w:color w:val="000000"/>
                <w:sz w:val="20"/>
                <w:szCs w:val="20"/>
              </w:rPr>
              <w:t>748</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6AD27E0F"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377.990</w:t>
            </w:r>
          </w:p>
        </w:tc>
      </w:tr>
      <w:tr w:rsidR="007204EE" w:rsidRPr="00BF519C" w14:paraId="53827208" w14:textId="77777777" w:rsidTr="00AE2A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0BBE7"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658CC0"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96</w:t>
            </w:r>
            <w:r>
              <w:rPr>
                <w:rFonts w:eastAsia="Times New Roman"/>
                <w:color w:val="000000"/>
                <w:sz w:val="20"/>
                <w:szCs w:val="20"/>
                <w:lang w:val="vi-VN"/>
              </w:rPr>
              <w:t>.</w:t>
            </w:r>
            <w:r w:rsidRPr="009C2E1F">
              <w:rPr>
                <w:rFonts w:eastAsia="Times New Roman"/>
                <w:color w:val="000000"/>
                <w:sz w:val="20"/>
                <w:szCs w:val="20"/>
              </w:rPr>
              <w:t>745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D550BB"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659</w:t>
            </w:r>
            <w:r>
              <w:rPr>
                <w:rFonts w:eastAsia="Times New Roman"/>
                <w:color w:val="000000"/>
                <w:sz w:val="20"/>
                <w:szCs w:val="20"/>
                <w:lang w:val="vi-VN"/>
              </w:rPr>
              <w:t>.</w:t>
            </w:r>
            <w:r w:rsidRPr="009C2E1F">
              <w:rPr>
                <w:rFonts w:eastAsia="Times New Roman"/>
                <w:color w:val="000000"/>
                <w:sz w:val="20"/>
                <w:szCs w:val="20"/>
              </w:rPr>
              <w:t>940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886EB80"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14</w:t>
            </w:r>
            <w:r>
              <w:rPr>
                <w:rFonts w:eastAsia="Times New Roman"/>
                <w:color w:val="000000"/>
                <w:sz w:val="20"/>
                <w:szCs w:val="20"/>
                <w:lang w:val="vi-VN"/>
              </w:rPr>
              <w:t>.</w:t>
            </w:r>
            <w:r w:rsidRPr="009C2E1F">
              <w:rPr>
                <w:rFonts w:eastAsia="Times New Roman"/>
                <w:color w:val="000000"/>
                <w:sz w:val="20"/>
                <w:szCs w:val="20"/>
              </w:rPr>
              <w:t>503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B0577F8" w14:textId="77777777" w:rsidR="007204EE" w:rsidRPr="009C2E1F" w:rsidRDefault="007204EE" w:rsidP="00AE2A95">
            <w:pPr>
              <w:jc w:val="center"/>
              <w:rPr>
                <w:rFonts w:eastAsia="Times New Roman"/>
                <w:color w:val="000000"/>
                <w:sz w:val="20"/>
                <w:szCs w:val="20"/>
              </w:rPr>
            </w:pPr>
            <w:r w:rsidRPr="009C2E1F">
              <w:rPr>
                <w:rFonts w:eastAsia="Times New Roman"/>
                <w:color w:val="000000"/>
                <w:sz w:val="20"/>
                <w:szCs w:val="20"/>
              </w:rPr>
              <w:t>5</w:t>
            </w:r>
            <w:r>
              <w:rPr>
                <w:rFonts w:eastAsia="Times New Roman"/>
                <w:color w:val="000000"/>
                <w:sz w:val="20"/>
                <w:szCs w:val="20"/>
                <w:lang w:val="vi-VN"/>
              </w:rPr>
              <w:t>.</w:t>
            </w:r>
            <w:r w:rsidRPr="009C2E1F">
              <w:rPr>
                <w:rFonts w:eastAsia="Times New Roman"/>
                <w:color w:val="000000"/>
                <w:sz w:val="20"/>
                <w:szCs w:val="20"/>
              </w:rPr>
              <w:t>245</w:t>
            </w:r>
          </w:p>
        </w:tc>
        <w:tc>
          <w:tcPr>
            <w:tcW w:w="1134" w:type="dxa"/>
            <w:tcBorders>
              <w:top w:val="single" w:sz="4" w:space="0" w:color="auto"/>
              <w:left w:val="nil"/>
              <w:bottom w:val="single" w:sz="4" w:space="0" w:color="auto"/>
              <w:right w:val="single" w:sz="4" w:space="0" w:color="auto"/>
            </w:tcBorders>
            <w:vAlign w:val="bottom"/>
          </w:tcPr>
          <w:p w14:paraId="1BD86992" w14:textId="77777777" w:rsidR="007204EE" w:rsidRPr="009C2E1F" w:rsidRDefault="007204EE" w:rsidP="00AE2A95">
            <w:pPr>
              <w:jc w:val="center"/>
              <w:rPr>
                <w:rFonts w:eastAsia="Times New Roman"/>
                <w:color w:val="000000"/>
                <w:sz w:val="20"/>
                <w:szCs w:val="20"/>
              </w:rPr>
            </w:pPr>
            <w:r w:rsidRPr="009C2E1F">
              <w:rPr>
                <w:rFonts w:eastAsia="Times New Roman"/>
                <w:b/>
                <w:color w:val="000000"/>
                <w:sz w:val="20"/>
                <w:szCs w:val="20"/>
              </w:rPr>
              <w:t>4</w:t>
            </w:r>
            <w:r>
              <w:rPr>
                <w:rFonts w:eastAsia="Times New Roman"/>
                <w:b/>
                <w:color w:val="000000"/>
                <w:sz w:val="20"/>
                <w:szCs w:val="20"/>
                <w:lang w:val="vi-VN"/>
              </w:rPr>
              <w:t>.</w:t>
            </w:r>
            <w:r w:rsidRPr="009C2E1F">
              <w:rPr>
                <w:rFonts w:eastAsia="Times New Roman"/>
                <w:b/>
                <w:color w:val="000000"/>
                <w:sz w:val="20"/>
                <w:szCs w:val="20"/>
              </w:rPr>
              <w:t>632</w:t>
            </w:r>
            <w:r>
              <w:rPr>
                <w:rFonts w:eastAsia="Times New Roman"/>
                <w:b/>
                <w:color w:val="000000"/>
                <w:sz w:val="20"/>
                <w:szCs w:val="20"/>
                <w:lang w:val="vi-VN"/>
              </w:rPr>
              <w:t>.</w:t>
            </w:r>
            <w:r w:rsidRPr="009C2E1F">
              <w:rPr>
                <w:rFonts w:eastAsia="Times New Roman"/>
                <w:b/>
                <w:color w:val="000000"/>
                <w:sz w:val="20"/>
                <w:szCs w:val="20"/>
              </w:rPr>
              <w:t>967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6BEE9"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22</w:t>
            </w:r>
            <w:r>
              <w:rPr>
                <w:rFonts w:eastAsia="Times New Roman"/>
                <w:color w:val="000000"/>
                <w:sz w:val="20"/>
                <w:szCs w:val="20"/>
                <w:lang w:val="vi-VN"/>
              </w:rPr>
              <w:t>.</w:t>
            </w:r>
            <w:r w:rsidRPr="009C2E1F">
              <w:rPr>
                <w:rFonts w:eastAsia="Times New Roman"/>
                <w:color w:val="000000"/>
                <w:sz w:val="20"/>
                <w:szCs w:val="20"/>
              </w:rPr>
              <w:t>186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E6C551"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1</w:t>
            </w:r>
            <w:r>
              <w:rPr>
                <w:rFonts w:eastAsia="Times New Roman"/>
                <w:color w:val="000000"/>
                <w:sz w:val="20"/>
                <w:szCs w:val="20"/>
                <w:lang w:val="vi-VN"/>
              </w:rPr>
              <w:t>.</w:t>
            </w:r>
            <w:r w:rsidRPr="009C2E1F">
              <w:rPr>
                <w:rFonts w:eastAsia="Times New Roman"/>
                <w:color w:val="000000"/>
                <w:sz w:val="20"/>
                <w:szCs w:val="20"/>
              </w:rPr>
              <w:t>203</w:t>
            </w:r>
            <w:r>
              <w:rPr>
                <w:rFonts w:eastAsia="Times New Roman"/>
                <w:color w:val="000000"/>
                <w:sz w:val="20"/>
                <w:szCs w:val="20"/>
                <w:lang w:val="vi-VN"/>
              </w:rPr>
              <w:t>.</w:t>
            </w:r>
            <w:r w:rsidRPr="009C2E1F">
              <w:rPr>
                <w:rFonts w:eastAsia="Times New Roman"/>
                <w:color w:val="000000"/>
                <w:sz w:val="20"/>
                <w:szCs w:val="20"/>
              </w:rPr>
              <w:t>964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2C71A5"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2</w:t>
            </w:r>
            <w:r>
              <w:rPr>
                <w:rFonts w:eastAsia="Times New Roman"/>
                <w:color w:val="000000"/>
                <w:sz w:val="20"/>
                <w:szCs w:val="20"/>
                <w:lang w:val="vi-VN"/>
              </w:rPr>
              <w:t>.</w:t>
            </w:r>
            <w:r w:rsidRPr="009C2E1F">
              <w:rPr>
                <w:rFonts w:eastAsia="Times New Roman"/>
                <w:color w:val="000000"/>
                <w:sz w:val="20"/>
                <w:szCs w:val="20"/>
              </w:rPr>
              <w:t>805</w:t>
            </w:r>
            <w:r>
              <w:rPr>
                <w:rFonts w:eastAsia="Times New Roman"/>
                <w:color w:val="000000"/>
                <w:sz w:val="20"/>
                <w:szCs w:val="20"/>
                <w:lang w:val="vi-VN"/>
              </w:rPr>
              <w:t>.</w:t>
            </w:r>
            <w:r w:rsidRPr="009C2E1F">
              <w:rPr>
                <w:rFonts w:eastAsia="Times New Roman"/>
                <w:color w:val="000000"/>
                <w:sz w:val="20"/>
                <w:szCs w:val="20"/>
              </w:rPr>
              <w:t>023</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561089C7"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rPr>
              <w:t>601</w:t>
            </w:r>
            <w:r>
              <w:rPr>
                <w:rFonts w:eastAsia="Times New Roman"/>
                <w:color w:val="000000"/>
                <w:sz w:val="20"/>
                <w:szCs w:val="20"/>
                <w:lang w:val="vi-VN"/>
              </w:rPr>
              <w:t>.</w:t>
            </w:r>
            <w:r w:rsidRPr="009C2E1F">
              <w:rPr>
                <w:rFonts w:eastAsia="Times New Roman"/>
                <w:color w:val="000000"/>
                <w:sz w:val="20"/>
                <w:szCs w:val="20"/>
              </w:rPr>
              <w:t>017</w:t>
            </w:r>
          </w:p>
        </w:tc>
      </w:tr>
      <w:tr w:rsidR="007204EE" w:rsidRPr="00BF519C" w14:paraId="2E5DD30E" w14:textId="77777777" w:rsidTr="00AE2A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D7579"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707141"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106.573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EB5C3B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725.180</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E2171E1"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15.624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1ACC5B"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50.394</w:t>
            </w:r>
          </w:p>
        </w:tc>
        <w:tc>
          <w:tcPr>
            <w:tcW w:w="1134" w:type="dxa"/>
            <w:tcBorders>
              <w:top w:val="single" w:sz="4" w:space="0" w:color="auto"/>
              <w:left w:val="nil"/>
              <w:bottom w:val="single" w:sz="4" w:space="0" w:color="auto"/>
              <w:right w:val="single" w:sz="4" w:space="0" w:color="auto"/>
            </w:tcBorders>
          </w:tcPr>
          <w:p w14:paraId="731EB691" w14:textId="77777777" w:rsidR="007204EE" w:rsidRPr="009C2E1F" w:rsidRDefault="007204EE" w:rsidP="00AE2A95">
            <w:pPr>
              <w:jc w:val="center"/>
              <w:rPr>
                <w:rFonts w:eastAsia="Times New Roman"/>
                <w:b/>
                <w:color w:val="000000"/>
                <w:sz w:val="20"/>
                <w:szCs w:val="20"/>
                <w:lang w:val="vi-VN"/>
              </w:rPr>
            </w:pPr>
            <w:r w:rsidRPr="009C2E1F">
              <w:rPr>
                <w:rFonts w:eastAsia="Times New Roman"/>
                <w:b/>
                <w:color w:val="000000"/>
                <w:sz w:val="20"/>
                <w:szCs w:val="20"/>
                <w:lang w:val="vi-VN"/>
              </w:rPr>
              <w:t>4.276.196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ECE03"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61.223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642344F"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1.318.089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DDB834"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2.094.297</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28F0865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801.689</w:t>
            </w:r>
          </w:p>
        </w:tc>
      </w:tr>
      <w:tr w:rsidR="007204EE" w:rsidRPr="00BF519C" w14:paraId="18E5AB86" w14:textId="77777777" w:rsidTr="00AE2A95">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67CB4"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C9ADD35"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108.473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250F9A"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723.298</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4D43626"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15.520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2E3A4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234.357</w:t>
            </w:r>
          </w:p>
        </w:tc>
        <w:tc>
          <w:tcPr>
            <w:tcW w:w="1134" w:type="dxa"/>
            <w:tcBorders>
              <w:top w:val="single" w:sz="4" w:space="0" w:color="auto"/>
              <w:left w:val="nil"/>
              <w:bottom w:val="single" w:sz="4" w:space="0" w:color="auto"/>
              <w:right w:val="single" w:sz="4" w:space="0" w:color="auto"/>
            </w:tcBorders>
          </w:tcPr>
          <w:p w14:paraId="447E93E7" w14:textId="77777777" w:rsidR="007204EE" w:rsidRPr="009C2E1F" w:rsidRDefault="007204EE" w:rsidP="00AE2A95">
            <w:pPr>
              <w:jc w:val="center"/>
              <w:rPr>
                <w:rFonts w:eastAsia="Times New Roman"/>
                <w:b/>
                <w:color w:val="000000"/>
                <w:sz w:val="20"/>
                <w:szCs w:val="20"/>
                <w:lang w:val="vi-VN"/>
              </w:rPr>
            </w:pPr>
            <w:r w:rsidRPr="009C2E1F">
              <w:rPr>
                <w:rFonts w:eastAsia="Times New Roman"/>
                <w:b/>
                <w:color w:val="000000"/>
                <w:sz w:val="20"/>
                <w:szCs w:val="20"/>
                <w:lang w:val="vi-VN"/>
              </w:rPr>
              <w:t>5.477.442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CE42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15.056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EC980D6"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1.258.614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60755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2.919.564</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6681B410"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1.283.127</w:t>
            </w:r>
          </w:p>
        </w:tc>
      </w:tr>
    </w:tbl>
    <w:p w14:paraId="3DF1E1C3" w14:textId="77777777" w:rsidR="007204EE" w:rsidRDefault="007204EE" w:rsidP="007204EE">
      <w:pPr>
        <w:widowControl w:val="0"/>
        <w:spacing w:after="120"/>
        <w:ind w:firstLine="720"/>
        <w:rPr>
          <w:color w:val="000000"/>
          <w:szCs w:val="28"/>
        </w:rPr>
      </w:pPr>
    </w:p>
    <w:p w14:paraId="036EC485" w14:textId="77777777" w:rsidR="007204EE" w:rsidRPr="00AE2A95" w:rsidRDefault="007204EE" w:rsidP="007204EE">
      <w:pPr>
        <w:widowControl w:val="0"/>
        <w:spacing w:before="120"/>
        <w:ind w:firstLine="720"/>
        <w:rPr>
          <w:color w:val="000000"/>
          <w:szCs w:val="28"/>
          <w:lang w:val="vi-VN"/>
        </w:rPr>
      </w:pPr>
      <w:r>
        <w:rPr>
          <w:color w:val="000000"/>
          <w:szCs w:val="28"/>
          <w:lang w:val="vi-VN"/>
        </w:rPr>
        <w:t>Qua số liệu trên cho thấy, việc sử dụng hóa đơn hiện nay khá đa dạng, trong đó chủ yếu là doanh nghiệp đặt in, mặt khác số lượng doanh nghiệp sử dụng hóa đơn điện tử ngày càng tăng, trong khi đó vẫn còn một số doanh nghiệp sử dụng hóa đơn do cơ quan thuế đặt in.</w:t>
      </w:r>
    </w:p>
    <w:p w14:paraId="4B75CB27" w14:textId="77777777" w:rsidR="007204EE" w:rsidRPr="009C2E1F" w:rsidRDefault="007204EE" w:rsidP="007204EE">
      <w:pPr>
        <w:ind w:firstLine="720"/>
        <w:rPr>
          <w:color w:val="000000"/>
          <w:szCs w:val="28"/>
          <w:lang w:val="vi-VN"/>
        </w:rPr>
      </w:pPr>
      <w:r w:rsidRPr="00AE2A95">
        <w:rPr>
          <w:color w:val="000000"/>
          <w:szCs w:val="28"/>
          <w:lang w:val="vi-VN"/>
        </w:rPr>
        <w:t>(i</w:t>
      </w:r>
      <w:r>
        <w:rPr>
          <w:color w:val="000000"/>
          <w:szCs w:val="28"/>
          <w:lang w:val="vi-VN"/>
        </w:rPr>
        <w:t>i</w:t>
      </w:r>
      <w:r w:rsidRPr="00AE2A95">
        <w:rPr>
          <w:color w:val="000000"/>
          <w:szCs w:val="28"/>
          <w:lang w:val="vi-VN"/>
        </w:rPr>
        <w:t>)</w:t>
      </w:r>
      <w:r>
        <w:rPr>
          <w:color w:val="000000"/>
          <w:szCs w:val="28"/>
          <w:lang w:val="vi-VN"/>
        </w:rPr>
        <w:t xml:space="preserve"> Việc quản lý sử dụng hóa đơn được thực hiện theo quy định pháp luật về kế toán và quy định pháp luật về quản lý thuế, theo đó các hoạt động bán hàng hóa, cung cấp dịch vụ phải sử dụng hóa đơn. Điều này đã tạo điều kiện cho việc quản lý các hoạt động thương mại, dịch vụ, đồng thời cũng tạo điều kiện cho công tác quản lý thuế, theo đó người nộp thuế cũng như cơ quan thuế xác định nghĩa vụ thuế theo quy định của pháp luật; cùng với việc phát triển kinh tế - xã hội, cũng như đổi mới về cơ chế chính sách pháp luật về thuế, việc quản lý sử dụng hóa đơn đã góp phần tăng thu NSNN.</w:t>
      </w:r>
    </w:p>
    <w:p w14:paraId="00FF70C9" w14:textId="77777777" w:rsidR="007204EE" w:rsidRDefault="007204EE" w:rsidP="007204EE">
      <w:pPr>
        <w:widowControl w:val="0"/>
        <w:ind w:firstLine="720"/>
        <w:rPr>
          <w:color w:val="000000"/>
          <w:szCs w:val="28"/>
        </w:rPr>
      </w:pPr>
      <w:r>
        <w:rPr>
          <w:color w:val="000000"/>
          <w:szCs w:val="28"/>
        </w:rPr>
        <w:t xml:space="preserve">(iii) </w:t>
      </w:r>
      <w:r>
        <w:rPr>
          <w:color w:val="000000"/>
          <w:szCs w:val="28"/>
          <w:lang w:val="vi-VN"/>
        </w:rPr>
        <w:t>Đ</w:t>
      </w:r>
      <w:r w:rsidRPr="00AE2A95">
        <w:rPr>
          <w:color w:val="000000"/>
          <w:szCs w:val="28"/>
          <w:lang w:val="vi-VN"/>
        </w:rPr>
        <w:t>ã chuyển đổi phương thức phát hành, quản lý hóa đơn của doanh nghiệp từ cơ chế “</w:t>
      </w:r>
      <w:r w:rsidRPr="00AE2A95">
        <w:rPr>
          <w:i/>
          <w:color w:val="000000"/>
          <w:szCs w:val="28"/>
          <w:lang w:val="vi-VN"/>
        </w:rPr>
        <w:t>mua hóa đơn của cơ quan thuế</w:t>
      </w:r>
      <w:r w:rsidRPr="00AE2A95">
        <w:rPr>
          <w:color w:val="000000"/>
          <w:szCs w:val="28"/>
          <w:lang w:val="vi-VN"/>
        </w:rPr>
        <w:t>” sang cơ chế “</w:t>
      </w:r>
      <w:r w:rsidRPr="00AE2A95">
        <w:rPr>
          <w:i/>
          <w:color w:val="000000"/>
          <w:szCs w:val="28"/>
          <w:lang w:val="vi-VN"/>
        </w:rPr>
        <w:t>doanh nghiệp tự đặt in, tự in hóa đơn</w:t>
      </w:r>
      <w:r w:rsidRPr="00AE2A95">
        <w:rPr>
          <w:color w:val="000000"/>
          <w:szCs w:val="28"/>
          <w:lang w:val="vi-VN"/>
        </w:rPr>
        <w:t>” để sử dụng và chuyển đổi phương thức quản lý hóa đơn (</w:t>
      </w:r>
      <w:r w:rsidRPr="00AE2A95">
        <w:rPr>
          <w:i/>
          <w:color w:val="000000"/>
          <w:szCs w:val="28"/>
          <w:lang w:val="vi-VN"/>
        </w:rPr>
        <w:t>giấy</w:t>
      </w:r>
      <w:r w:rsidRPr="00AE2A95">
        <w:rPr>
          <w:color w:val="000000"/>
          <w:szCs w:val="28"/>
          <w:lang w:val="vi-VN"/>
        </w:rPr>
        <w:t xml:space="preserve">) của cơ quan thuế </w:t>
      </w:r>
      <w:r>
        <w:rPr>
          <w:color w:val="000000"/>
          <w:szCs w:val="28"/>
          <w:lang w:val="vi-VN"/>
        </w:rPr>
        <w:t>sang việc doanh nghiệp đặt in hoặc tự in</w:t>
      </w:r>
      <w:r w:rsidRPr="00AE2A95">
        <w:rPr>
          <w:color w:val="000000"/>
          <w:szCs w:val="28"/>
          <w:lang w:val="vi-VN"/>
        </w:rPr>
        <w:t>. Quy định tại Nghị định số 51 và 04 về hoá đơn đã quy định quyền và trách nhiệm về hóa đơn cho các doanh nghiệp, góp phần cải cách thủ tục hành chính, nâng cao trách nhiệm của cơ quan thuế địa phương trong công tác quản lý hóa đơn.</w:t>
      </w:r>
    </w:p>
    <w:p w14:paraId="62968BC9" w14:textId="77777777" w:rsidR="007204EE" w:rsidRPr="0041265B" w:rsidRDefault="007204EE" w:rsidP="007204EE">
      <w:pPr>
        <w:widowControl w:val="0"/>
        <w:ind w:firstLine="720"/>
        <w:rPr>
          <w:color w:val="000000"/>
          <w:szCs w:val="28"/>
        </w:rPr>
      </w:pPr>
    </w:p>
    <w:p w14:paraId="447D83C6" w14:textId="77777777" w:rsidR="007204EE" w:rsidRPr="00AE2A95" w:rsidRDefault="007204EE" w:rsidP="007204EE">
      <w:pPr>
        <w:widowControl w:val="0"/>
        <w:ind w:firstLine="720"/>
        <w:rPr>
          <w:color w:val="000000"/>
          <w:szCs w:val="28"/>
          <w:lang w:val="vi-VN"/>
        </w:rPr>
      </w:pPr>
      <w:r>
        <w:rPr>
          <w:color w:val="000000"/>
          <w:szCs w:val="28"/>
          <w:lang w:val="vi-VN"/>
        </w:rPr>
        <w:t>Các quy định về quản lý và sử dụng hóa đơn cũng đã được cải tiến. Nghị định số 51 và 04 đã q</w:t>
      </w:r>
      <w:r w:rsidRPr="00AE2A95">
        <w:rPr>
          <w:color w:val="000000"/>
          <w:szCs w:val="28"/>
          <w:lang w:val="vi-VN"/>
        </w:rPr>
        <w:t>uy định doanh nghiệp thuộc đối tượng quản lý rủi ro phải mua hóa đơn của cơ quan thuế để sử dụng trong thời gian 12 tháng; hộ kinh doanh không được đặt in, không được tự in hóa đơn; đối với doanh nghiệp mới thành lập khi tự in hóa đơn lần đầu, đặt in hóa đơn lần đầu phải thông báo với cơ quan thuế; quy định về điều kiện và trách nhiệm của tổ chức nhận in hóa đơn. Các quy định này đã hạn chế được một phần tình trạng hộ kinh doanh, doanh nghiệp đặt in, tự in hóa đơn để xuất hóa đơn khống, mua bán lòng vòng, sử dụng bất hợp pháp, gây thất thu ngân sách nhà nước, gian lận thương mại, ảnh hưởng đến nền kinh tế.</w:t>
      </w:r>
    </w:p>
    <w:p w14:paraId="1E351B7F" w14:textId="77777777" w:rsidR="007204EE" w:rsidRDefault="007204EE" w:rsidP="007204EE">
      <w:pPr>
        <w:widowControl w:val="0"/>
        <w:ind w:firstLine="720"/>
        <w:rPr>
          <w:color w:val="000000"/>
          <w:szCs w:val="28"/>
        </w:rPr>
      </w:pPr>
    </w:p>
    <w:p w14:paraId="766CA56F" w14:textId="77777777" w:rsidR="007204EE" w:rsidRDefault="007204EE" w:rsidP="007204EE">
      <w:pPr>
        <w:widowControl w:val="0"/>
        <w:ind w:firstLine="720"/>
        <w:rPr>
          <w:color w:val="000000"/>
          <w:szCs w:val="28"/>
        </w:rPr>
      </w:pPr>
      <w:r w:rsidRPr="00AE2A95">
        <w:rPr>
          <w:color w:val="000000"/>
          <w:szCs w:val="28"/>
          <w:lang w:val="vi-VN"/>
        </w:rPr>
        <w:t xml:space="preserve">Tạo hành lang pháp lý cho việc áp dụng hóa đơn điện tử. Việc bổ sung hình </w:t>
      </w:r>
      <w:r w:rsidRPr="00AE2A95">
        <w:rPr>
          <w:color w:val="000000"/>
          <w:szCs w:val="28"/>
          <w:lang w:val="vi-VN"/>
        </w:rPr>
        <w:lastRenderedPageBreak/>
        <w:t xml:space="preserve">thức hóa đơn điện tử có ý nghĩa quan trọng tạo cơ sở pháp lý để các doanh nghiệp hiện đại hóa công tác quản trị doanh nghiệp phù hợp với sự phát triển của xã hội hiện đại. </w:t>
      </w:r>
    </w:p>
    <w:p w14:paraId="41138C69" w14:textId="77777777" w:rsidR="007204EE" w:rsidRPr="0041265B" w:rsidRDefault="007204EE" w:rsidP="007204EE">
      <w:pPr>
        <w:widowControl w:val="0"/>
        <w:ind w:firstLine="720"/>
        <w:rPr>
          <w:color w:val="000000"/>
          <w:szCs w:val="28"/>
        </w:rPr>
      </w:pPr>
    </w:p>
    <w:p w14:paraId="25FE6001" w14:textId="77777777" w:rsidR="007204EE" w:rsidRDefault="007204EE" w:rsidP="007204EE">
      <w:pPr>
        <w:ind w:firstLine="720"/>
        <w:rPr>
          <w:color w:val="000000"/>
          <w:szCs w:val="28"/>
          <w:lang w:val="vi-VN"/>
        </w:rPr>
      </w:pPr>
      <w:r w:rsidRPr="00AE2A95">
        <w:rPr>
          <w:color w:val="000000"/>
          <w:szCs w:val="28"/>
          <w:lang w:val="vi-VN"/>
        </w:rPr>
        <w:t xml:space="preserve">Việc triển khai áp dụng hoá đơn điện tử do doanh nghiệp phát hành (không có mã xác thực của cơ quan thuế) và thí điểm áp dụng hoá đơn điện tử do doanh nghiệp phát hành nhưng có mã xác thực </w:t>
      </w:r>
      <w:r w:rsidRPr="00204398">
        <w:rPr>
          <w:color w:val="000000"/>
          <w:szCs w:val="28"/>
          <w:lang w:val="sv-SE"/>
        </w:rPr>
        <w:t xml:space="preserve">của cơ quan thuế đã góp phần giảm </w:t>
      </w:r>
      <w:r w:rsidRPr="00204398">
        <w:rPr>
          <w:bCs/>
          <w:color w:val="000000"/>
          <w:szCs w:val="28"/>
          <w:lang w:val="nl-NL"/>
        </w:rPr>
        <w:t>thời gian</w:t>
      </w:r>
      <w:r w:rsidRPr="00204398">
        <w:rPr>
          <w:color w:val="000000"/>
          <w:szCs w:val="28"/>
          <w:lang w:val="sv-SE"/>
        </w:rPr>
        <w:t>, chi phí về hoá đơn cho doanh nghiệp, góp phần hạn chế các hành vi gian lận về hoá đơn. Hóa đơn điện tử giúp doanh nghiệp giảm chi phí giấy, mực in, vận chuyển và đặc biệt chi phí lưu trữ hóa đơn, doanh nghiệp không phải lập báo cáo sử dụng hóa đơn, dữ liệu từ hóa đơn điện tử được kết nối tự động với phần mềm khai thuế giá trị gia tăng (GTGT) nên doanh nghiệp không mất thời gian lập Tờ khai thuế GTGT. Hóa đơn điện tử có tính bảo mật cao vì sử dụng chữ ký số của người bán nên khả năng làm giả hóa đơn là khó, vì vậy việc sử dụng hóa đơn điện tử thay thế hóa đơn giấy (</w:t>
      </w:r>
      <w:r w:rsidRPr="00204398">
        <w:rPr>
          <w:i/>
          <w:color w:val="000000"/>
          <w:szCs w:val="28"/>
          <w:lang w:val="sv-SE"/>
        </w:rPr>
        <w:t>hóa đơn đặt in, hóa đơn tự in</w:t>
      </w:r>
      <w:r w:rsidRPr="00204398">
        <w:rPr>
          <w:color w:val="000000"/>
          <w:szCs w:val="28"/>
          <w:lang w:val="sv-SE"/>
        </w:rPr>
        <w:t xml:space="preserve">) sẽ khắc phục được </w:t>
      </w:r>
      <w:r>
        <w:rPr>
          <w:color w:val="000000"/>
          <w:szCs w:val="28"/>
          <w:lang w:val="sv-SE"/>
        </w:rPr>
        <w:t>gian l</w:t>
      </w:r>
      <w:r w:rsidRPr="00362012">
        <w:rPr>
          <w:color w:val="000000"/>
          <w:szCs w:val="28"/>
          <w:lang w:val="sv-SE"/>
        </w:rPr>
        <w:t>ận</w:t>
      </w:r>
      <w:r>
        <w:rPr>
          <w:color w:val="000000"/>
          <w:szCs w:val="28"/>
          <w:lang w:val="sv-SE"/>
        </w:rPr>
        <w:t xml:space="preserve"> ph</w:t>
      </w:r>
      <w:r w:rsidRPr="004B22F6">
        <w:rPr>
          <w:color w:val="000000"/>
          <w:szCs w:val="28"/>
          <w:lang w:val="sv-SE"/>
        </w:rPr>
        <w:t>á</w:t>
      </w:r>
      <w:r>
        <w:rPr>
          <w:color w:val="000000"/>
          <w:szCs w:val="28"/>
          <w:lang w:val="sv-SE"/>
        </w:rPr>
        <w:t>t sinh trong vi</w:t>
      </w:r>
      <w:r w:rsidRPr="00362012">
        <w:rPr>
          <w:color w:val="000000"/>
          <w:szCs w:val="28"/>
          <w:lang w:val="sv-SE"/>
        </w:rPr>
        <w:t>ệ</w:t>
      </w:r>
      <w:r>
        <w:rPr>
          <w:color w:val="000000"/>
          <w:szCs w:val="28"/>
          <w:lang w:val="sv-SE"/>
        </w:rPr>
        <w:t>c s</w:t>
      </w:r>
      <w:r w:rsidRPr="00362012">
        <w:rPr>
          <w:color w:val="000000"/>
          <w:szCs w:val="28"/>
          <w:lang w:val="sv-SE"/>
        </w:rPr>
        <w:t>ử</w:t>
      </w:r>
      <w:r>
        <w:rPr>
          <w:color w:val="000000"/>
          <w:szCs w:val="28"/>
          <w:lang w:val="sv-SE"/>
        </w:rPr>
        <w:t xml:space="preserve"> d</w:t>
      </w:r>
      <w:r w:rsidRPr="00362012">
        <w:rPr>
          <w:color w:val="000000"/>
          <w:szCs w:val="28"/>
          <w:lang w:val="sv-SE"/>
        </w:rPr>
        <w:t>ụn</w:t>
      </w:r>
      <w:r>
        <w:rPr>
          <w:color w:val="000000"/>
          <w:szCs w:val="28"/>
          <w:lang w:val="sv-SE"/>
        </w:rPr>
        <w:t>g h</w:t>
      </w:r>
      <w:r w:rsidRPr="00362012">
        <w:rPr>
          <w:color w:val="000000"/>
          <w:szCs w:val="28"/>
          <w:lang w:val="sv-SE"/>
        </w:rPr>
        <w:t>ó</w:t>
      </w:r>
      <w:r>
        <w:rPr>
          <w:color w:val="000000"/>
          <w:szCs w:val="28"/>
          <w:lang w:val="sv-SE"/>
        </w:rPr>
        <w:t xml:space="preserve">a </w:t>
      </w:r>
      <w:r w:rsidRPr="00362012">
        <w:rPr>
          <w:color w:val="000000"/>
          <w:szCs w:val="28"/>
          <w:lang w:val="sv-SE"/>
        </w:rPr>
        <w:t>đơ</w:t>
      </w:r>
      <w:r>
        <w:rPr>
          <w:color w:val="000000"/>
          <w:szCs w:val="28"/>
          <w:lang w:val="sv-SE"/>
        </w:rPr>
        <w:t xml:space="preserve">n. </w:t>
      </w:r>
    </w:p>
    <w:p w14:paraId="2AB5C142" w14:textId="77777777" w:rsidR="007204EE" w:rsidRPr="009C2E1F" w:rsidRDefault="007204EE" w:rsidP="007204EE">
      <w:pPr>
        <w:widowControl w:val="0"/>
        <w:spacing w:before="120" w:after="120"/>
        <w:ind w:firstLine="720"/>
        <w:rPr>
          <w:lang w:val="vi-VN"/>
        </w:rPr>
      </w:pPr>
      <w:r w:rsidRPr="00AE2A95">
        <w:rPr>
          <w:lang w:val="vi-VN"/>
        </w:rPr>
        <w:t>Theo thống kê của Tổng cục Thuế, số lượng các doanh nghiệp đã áp dụng hóa đơn điện tử có mã của cơ quan thuế</w:t>
      </w:r>
      <w:r w:rsidRPr="00AE2A95">
        <w:rPr>
          <w:b/>
          <w:i/>
          <w:lang w:val="vi-VN"/>
        </w:rPr>
        <w:t xml:space="preserve"> </w:t>
      </w:r>
      <w:r w:rsidRPr="00AE2A95">
        <w:rPr>
          <w:lang w:val="vi-VN"/>
        </w:rPr>
        <w:t xml:space="preserve">tính đến tháng 7/2019 </w:t>
      </w:r>
      <w:r>
        <w:rPr>
          <w:lang w:val="vi-VN"/>
        </w:rPr>
        <w:t xml:space="preserve">là 279 doanh nghiệp, với tổng số hóa đơn được xác thực là </w:t>
      </w:r>
      <w:r w:rsidRPr="00AE2A95">
        <w:rPr>
          <w:lang w:val="vi-VN"/>
        </w:rPr>
        <w:t>8.111.337</w:t>
      </w:r>
      <w:r>
        <w:rPr>
          <w:lang w:val="vi-VN"/>
        </w:rPr>
        <w:t xml:space="preserve"> hóa đơn với tổng số doanh thu </w:t>
      </w:r>
      <w:r>
        <w:t>x</w:t>
      </w:r>
      <w:r w:rsidRPr="0075313F">
        <w:t>á</w:t>
      </w:r>
      <w:r>
        <w:t>c th</w:t>
      </w:r>
      <w:r w:rsidRPr="0075313F">
        <w:t>ực</w:t>
      </w:r>
      <w:r>
        <w:t xml:space="preserve"> </w:t>
      </w:r>
      <w:r>
        <w:rPr>
          <w:lang w:val="vi-VN"/>
        </w:rPr>
        <w:t xml:space="preserve">là </w:t>
      </w:r>
      <w:r>
        <w:t>h</w:t>
      </w:r>
      <w:r w:rsidRPr="0075313F">
        <w:t>ơ</w:t>
      </w:r>
      <w:r>
        <w:t xml:space="preserve">n </w:t>
      </w:r>
      <w:r w:rsidRPr="00AE2A95">
        <w:rPr>
          <w:rStyle w:val="Strong"/>
          <w:b w:val="0"/>
          <w:bCs w:val="0"/>
          <w:lang w:val="vi-VN"/>
        </w:rPr>
        <w:t>103.656</w:t>
      </w:r>
      <w:r>
        <w:rPr>
          <w:rStyle w:val="Strong"/>
          <w:b w:val="0"/>
          <w:bCs w:val="0"/>
          <w:lang w:val="vi-VN"/>
        </w:rPr>
        <w:t xml:space="preserve"> tỷ đồng, </w:t>
      </w:r>
      <w:r>
        <w:rPr>
          <w:rStyle w:val="Strong"/>
          <w:b w:val="0"/>
          <w:bCs w:val="0"/>
        </w:rPr>
        <w:t>t</w:t>
      </w:r>
      <w:r w:rsidRPr="0075313F">
        <w:rPr>
          <w:rStyle w:val="Strong"/>
          <w:b w:val="0"/>
          <w:bCs w:val="0"/>
        </w:rPr>
        <w:t>ổng</w:t>
      </w:r>
      <w:r>
        <w:rPr>
          <w:rStyle w:val="Strong"/>
          <w:b w:val="0"/>
          <w:bCs w:val="0"/>
        </w:rPr>
        <w:t xml:space="preserve"> s</w:t>
      </w:r>
      <w:r w:rsidRPr="0075313F">
        <w:rPr>
          <w:rStyle w:val="Strong"/>
          <w:b w:val="0"/>
          <w:bCs w:val="0"/>
        </w:rPr>
        <w:t>ố</w:t>
      </w:r>
      <w:r>
        <w:rPr>
          <w:rStyle w:val="Strong"/>
          <w:b w:val="0"/>
          <w:bCs w:val="0"/>
        </w:rPr>
        <w:t xml:space="preserve"> thu</w:t>
      </w:r>
      <w:r w:rsidRPr="0075313F">
        <w:rPr>
          <w:rStyle w:val="Strong"/>
          <w:b w:val="0"/>
          <w:bCs w:val="0"/>
        </w:rPr>
        <w:t>ế</w:t>
      </w:r>
      <w:r>
        <w:rPr>
          <w:rStyle w:val="Strong"/>
          <w:b w:val="0"/>
          <w:bCs w:val="0"/>
        </w:rPr>
        <w:t xml:space="preserve"> GTGT </w:t>
      </w:r>
      <w:r>
        <w:rPr>
          <w:rStyle w:val="Strong"/>
          <w:b w:val="0"/>
          <w:bCs w:val="0"/>
          <w:lang w:val="vi-VN"/>
        </w:rPr>
        <w:t xml:space="preserve">xác thực là </w:t>
      </w:r>
      <w:r>
        <w:rPr>
          <w:rStyle w:val="Strong"/>
          <w:b w:val="0"/>
          <w:bCs w:val="0"/>
        </w:rPr>
        <w:t>h</w:t>
      </w:r>
      <w:r w:rsidRPr="0075313F">
        <w:rPr>
          <w:rStyle w:val="Strong"/>
          <w:b w:val="0"/>
          <w:bCs w:val="0"/>
        </w:rPr>
        <w:t>ơ</w:t>
      </w:r>
      <w:r>
        <w:rPr>
          <w:rStyle w:val="Strong"/>
          <w:b w:val="0"/>
          <w:bCs w:val="0"/>
        </w:rPr>
        <w:t xml:space="preserve">n </w:t>
      </w:r>
      <w:r>
        <w:rPr>
          <w:rStyle w:val="Strong"/>
          <w:b w:val="0"/>
          <w:bCs w:val="0"/>
          <w:lang w:val="vi-VN"/>
        </w:rPr>
        <w:t>8.033 tỷ đồng.</w:t>
      </w:r>
    </w:p>
    <w:p w14:paraId="19C3D1FA" w14:textId="77777777" w:rsidR="007204EE" w:rsidRPr="00AE2A95" w:rsidRDefault="007204EE" w:rsidP="007204EE">
      <w:pPr>
        <w:ind w:firstLine="720"/>
        <w:rPr>
          <w:szCs w:val="28"/>
          <w:lang w:val="sv-SE"/>
        </w:rPr>
      </w:pPr>
      <w:r>
        <w:rPr>
          <w:color w:val="000000"/>
          <w:szCs w:val="28"/>
          <w:lang w:val="vi-VN"/>
        </w:rPr>
        <w:t>(</w:t>
      </w:r>
      <w:r>
        <w:rPr>
          <w:color w:val="000000"/>
          <w:szCs w:val="28"/>
        </w:rPr>
        <w:t>i</w:t>
      </w:r>
      <w:r>
        <w:rPr>
          <w:color w:val="000000"/>
          <w:szCs w:val="28"/>
          <w:lang w:val="vi-VN"/>
        </w:rPr>
        <w:t>v)</w:t>
      </w:r>
      <w:r>
        <w:rPr>
          <w:szCs w:val="28"/>
          <w:lang w:val="vi-VN"/>
        </w:rPr>
        <w:t xml:space="preserve"> </w:t>
      </w:r>
      <w:r>
        <w:rPr>
          <w:szCs w:val="28"/>
          <w:lang w:val="nl-NL"/>
        </w:rPr>
        <w:t>Tr</w:t>
      </w:r>
      <w:r w:rsidRPr="00C5270A">
        <w:rPr>
          <w:szCs w:val="28"/>
          <w:lang w:val="nl-NL"/>
        </w:rPr>
        <w:t>ê</w:t>
      </w:r>
      <w:r>
        <w:rPr>
          <w:szCs w:val="28"/>
          <w:lang w:val="nl-NL"/>
        </w:rPr>
        <w:t>n c</w:t>
      </w:r>
      <w:r w:rsidRPr="00C5270A">
        <w:rPr>
          <w:szCs w:val="28"/>
          <w:lang w:val="nl-NL"/>
        </w:rPr>
        <w:t>ơ</w:t>
      </w:r>
      <w:r>
        <w:rPr>
          <w:szCs w:val="28"/>
          <w:lang w:val="nl-NL"/>
        </w:rPr>
        <w:t xml:space="preserve"> s</w:t>
      </w:r>
      <w:r w:rsidRPr="00C5270A">
        <w:rPr>
          <w:szCs w:val="28"/>
          <w:lang w:val="nl-NL"/>
        </w:rPr>
        <w:t>ở</w:t>
      </w:r>
      <w:r>
        <w:rPr>
          <w:szCs w:val="28"/>
          <w:lang w:val="nl-NL"/>
        </w:rPr>
        <w:t xml:space="preserve"> k</w:t>
      </w:r>
      <w:r w:rsidRPr="00C5270A">
        <w:rPr>
          <w:szCs w:val="28"/>
          <w:lang w:val="nl-NL"/>
        </w:rPr>
        <w:t>ế</w:t>
      </w:r>
      <w:r>
        <w:rPr>
          <w:szCs w:val="28"/>
          <w:lang w:val="nl-NL"/>
        </w:rPr>
        <w:t xml:space="preserve"> th</w:t>
      </w:r>
      <w:r w:rsidRPr="00C5270A">
        <w:rPr>
          <w:szCs w:val="28"/>
          <w:lang w:val="nl-NL"/>
        </w:rPr>
        <w:t>ừa</w:t>
      </w:r>
      <w:r>
        <w:rPr>
          <w:szCs w:val="28"/>
          <w:lang w:val="nl-NL"/>
        </w:rPr>
        <w:t xml:space="preserve"> k</w:t>
      </w:r>
      <w:r w:rsidRPr="00C5270A">
        <w:rPr>
          <w:szCs w:val="28"/>
          <w:lang w:val="nl-NL"/>
        </w:rPr>
        <w:t>ết</w:t>
      </w:r>
      <w:r>
        <w:rPr>
          <w:szCs w:val="28"/>
          <w:lang w:val="nl-NL"/>
        </w:rPr>
        <w:t xml:space="preserve"> qu</w:t>
      </w:r>
      <w:r w:rsidRPr="00C5270A">
        <w:rPr>
          <w:szCs w:val="28"/>
          <w:lang w:val="nl-NL"/>
        </w:rPr>
        <w:t>ả</w:t>
      </w:r>
      <w:r>
        <w:rPr>
          <w:szCs w:val="28"/>
          <w:lang w:val="nl-NL"/>
        </w:rPr>
        <w:t xml:space="preserve"> </w:t>
      </w:r>
      <w:r w:rsidRPr="00C5270A">
        <w:rPr>
          <w:szCs w:val="28"/>
          <w:lang w:val="nl-NL"/>
        </w:rPr>
        <w:t>á</w:t>
      </w:r>
      <w:r>
        <w:rPr>
          <w:szCs w:val="28"/>
          <w:lang w:val="nl-NL"/>
        </w:rPr>
        <w:t>p d</w:t>
      </w:r>
      <w:r w:rsidRPr="00C5270A">
        <w:rPr>
          <w:szCs w:val="28"/>
          <w:lang w:val="nl-NL"/>
        </w:rPr>
        <w:t>ụng</w:t>
      </w:r>
      <w:r>
        <w:rPr>
          <w:szCs w:val="28"/>
          <w:lang w:val="nl-NL"/>
        </w:rPr>
        <w:t xml:space="preserve"> h</w:t>
      </w:r>
      <w:r w:rsidRPr="00C5270A">
        <w:rPr>
          <w:szCs w:val="28"/>
          <w:lang w:val="nl-NL"/>
        </w:rPr>
        <w:t>ó</w:t>
      </w:r>
      <w:r>
        <w:rPr>
          <w:szCs w:val="28"/>
          <w:lang w:val="nl-NL"/>
        </w:rPr>
        <w:t>a đ</w:t>
      </w:r>
      <w:r w:rsidRPr="00C5270A">
        <w:rPr>
          <w:szCs w:val="28"/>
          <w:lang w:val="nl-NL"/>
        </w:rPr>
        <w:t>ơ</w:t>
      </w:r>
      <w:r>
        <w:rPr>
          <w:szCs w:val="28"/>
          <w:lang w:val="nl-NL"/>
        </w:rPr>
        <w:t xml:space="preserve">n </w:t>
      </w:r>
      <w:r w:rsidRPr="00C5270A">
        <w:rPr>
          <w:szCs w:val="28"/>
          <w:lang w:val="nl-NL"/>
        </w:rPr>
        <w:t>đ</w:t>
      </w:r>
      <w:r>
        <w:rPr>
          <w:szCs w:val="28"/>
          <w:lang w:val="nl-NL"/>
        </w:rPr>
        <w:t>i</w:t>
      </w:r>
      <w:r w:rsidRPr="00C5270A">
        <w:rPr>
          <w:szCs w:val="28"/>
          <w:lang w:val="nl-NL"/>
        </w:rPr>
        <w:t>ện</w:t>
      </w:r>
      <w:r>
        <w:rPr>
          <w:szCs w:val="28"/>
          <w:lang w:val="nl-NL"/>
        </w:rPr>
        <w:t xml:space="preserve"> t</w:t>
      </w:r>
      <w:r w:rsidRPr="00C5270A">
        <w:rPr>
          <w:szCs w:val="28"/>
          <w:lang w:val="nl-NL"/>
        </w:rPr>
        <w:t>ử</w:t>
      </w:r>
      <w:r>
        <w:rPr>
          <w:szCs w:val="28"/>
          <w:lang w:val="nl-NL"/>
        </w:rPr>
        <w:t xml:space="preserve"> t</w:t>
      </w:r>
      <w:r w:rsidRPr="00C5270A">
        <w:rPr>
          <w:szCs w:val="28"/>
          <w:lang w:val="nl-NL"/>
        </w:rPr>
        <w:t>ại</w:t>
      </w:r>
      <w:r>
        <w:rPr>
          <w:szCs w:val="28"/>
          <w:lang w:val="nl-NL"/>
        </w:rPr>
        <w:t xml:space="preserve"> </w:t>
      </w:r>
      <w:r w:rsidRPr="00AE2A95">
        <w:rPr>
          <w:color w:val="000000"/>
          <w:szCs w:val="28"/>
          <w:lang w:val="sv-SE"/>
        </w:rPr>
        <w:t xml:space="preserve">Nghị định số 51 và 04 về hoá đơn, </w:t>
      </w:r>
      <w:r w:rsidRPr="00204398">
        <w:rPr>
          <w:color w:val="000000"/>
          <w:szCs w:val="28"/>
          <w:lang w:val="vi-VN"/>
        </w:rPr>
        <w:t>thực hiện</w:t>
      </w:r>
      <w:r w:rsidRPr="00AE2A95">
        <w:rPr>
          <w:color w:val="000000"/>
          <w:szCs w:val="28"/>
          <w:lang w:val="sv-SE"/>
        </w:rPr>
        <w:t xml:space="preserve"> </w:t>
      </w:r>
      <w:r w:rsidRPr="00204398">
        <w:rPr>
          <w:iCs/>
          <w:color w:val="000000"/>
          <w:szCs w:val="28"/>
          <w:lang w:val="nl-NL"/>
        </w:rPr>
        <w:t>Nghị quyết</w:t>
      </w:r>
      <w:r w:rsidRPr="00AE2A95">
        <w:rPr>
          <w:color w:val="000000"/>
          <w:szCs w:val="28"/>
          <w:lang w:val="sv-SE"/>
        </w:rPr>
        <w:t xml:space="preserve"> số 55/2017/QH14 ngày 24/11/2017 của Quốc hội, </w:t>
      </w:r>
      <w:r w:rsidRPr="00204398">
        <w:rPr>
          <w:color w:val="000000"/>
          <w:szCs w:val="28"/>
          <w:lang w:val="vi-VN"/>
        </w:rPr>
        <w:t xml:space="preserve">Nghị </w:t>
      </w:r>
      <w:r w:rsidRPr="00AE2A95">
        <w:rPr>
          <w:color w:val="000000"/>
          <w:szCs w:val="28"/>
          <w:lang w:val="sv-SE"/>
        </w:rPr>
        <w:t>q</w:t>
      </w:r>
      <w:r w:rsidRPr="00204398">
        <w:rPr>
          <w:color w:val="000000"/>
          <w:szCs w:val="28"/>
          <w:lang w:val="vi-VN"/>
        </w:rPr>
        <w:t xml:space="preserve">uyết số 36a/NQ-CP ngày 14/10/2015 </w:t>
      </w:r>
      <w:r w:rsidRPr="00204398">
        <w:rPr>
          <w:iCs/>
          <w:color w:val="000000"/>
          <w:szCs w:val="28"/>
          <w:lang w:val="nl-NL"/>
        </w:rPr>
        <w:t>của</w:t>
      </w:r>
      <w:r w:rsidRPr="00204398">
        <w:rPr>
          <w:color w:val="000000"/>
          <w:szCs w:val="28"/>
          <w:lang w:val="vi-VN"/>
        </w:rPr>
        <w:t xml:space="preserve"> Chính phủ</w:t>
      </w:r>
      <w:r w:rsidRPr="00AE2A95">
        <w:rPr>
          <w:color w:val="000000"/>
          <w:szCs w:val="28"/>
          <w:lang w:val="sv-SE"/>
        </w:rPr>
        <w:t xml:space="preserve">, </w:t>
      </w:r>
      <w:r w:rsidRPr="00AE2A95">
        <w:rPr>
          <w:szCs w:val="28"/>
          <w:lang w:val="sv-SE"/>
        </w:rPr>
        <w:t>Bộ Tài chính đã trình Chính phủ ban hành Nghị định 119/2018/NĐ-CP ngày 12/9/2018 quy định về hóa đơn điện tử khi bán hàng hóa, cung ứng dịch vụ.</w:t>
      </w:r>
      <w:r>
        <w:rPr>
          <w:szCs w:val="28"/>
          <w:lang w:val="vi-VN"/>
        </w:rPr>
        <w:t xml:space="preserve"> Đồng thời,</w:t>
      </w:r>
      <w:r w:rsidRPr="00AE2A95">
        <w:rPr>
          <w:szCs w:val="28"/>
          <w:lang w:val="sv-SE"/>
        </w:rPr>
        <w:t xml:space="preserve"> Bộ Tài chính đã ban hành Thông tư số 68/2019/TT-BTC ngày 30/9/2019 hướng dẫn thực hiện Nghị định số 119/2018/NĐ-CP </w:t>
      </w:r>
      <w:r>
        <w:rPr>
          <w:szCs w:val="28"/>
          <w:lang w:val="vi-VN"/>
        </w:rPr>
        <w:t xml:space="preserve">và </w:t>
      </w:r>
      <w:r w:rsidRPr="00AE2A95">
        <w:rPr>
          <w:szCs w:val="28"/>
          <w:lang w:val="sv-SE"/>
        </w:rPr>
        <w:t xml:space="preserve">chỉ đạo Tổng cục Thuế xây dựng và công bố thành phần chứa dữ liệu nghiệp vụ hóa đơn điện tử phục vụ việc áp dụng hóa đơn điện tử. </w:t>
      </w:r>
    </w:p>
    <w:p w14:paraId="085B24DD" w14:textId="77777777" w:rsidR="007204EE" w:rsidRPr="00AE2A95" w:rsidRDefault="007204EE" w:rsidP="007204EE">
      <w:pPr>
        <w:widowControl w:val="0"/>
        <w:spacing w:before="120" w:after="120"/>
        <w:ind w:firstLine="720"/>
        <w:rPr>
          <w:szCs w:val="28"/>
          <w:lang w:val="vi-VN"/>
        </w:rPr>
      </w:pPr>
      <w:r>
        <w:rPr>
          <w:szCs w:val="28"/>
          <w:lang w:val="vi-VN"/>
        </w:rPr>
        <w:t xml:space="preserve">Tuy nhiên việc quản lý và sử dụng hóa đơn trong thời gian qua cũng có những hạn chế nhất định như: tỷ lệ sử dụng hóa đơn điện tử còn thấp; cá biệt có trường hợp doanh nghiệp có sai phạm về quản lý, sử dụng hóa đơn đã được cơ quan chức năng xử lý; các thủ tục hành chính cần được nghiên cứu cải tiến để tạo môi trường kinh doanh thuận lợi cho doanh nghiệp, song không để thất thoát nguồn thu của </w:t>
      </w:r>
      <w:r>
        <w:rPr>
          <w:szCs w:val="28"/>
        </w:rPr>
        <w:t>N</w:t>
      </w:r>
      <w:r>
        <w:rPr>
          <w:szCs w:val="28"/>
          <w:lang w:val="vi-VN"/>
        </w:rPr>
        <w:t>hà nước.</w:t>
      </w:r>
    </w:p>
    <w:p w14:paraId="2BA1D8E0" w14:textId="77777777" w:rsidR="007204EE" w:rsidRDefault="007204EE" w:rsidP="007204EE">
      <w:pPr>
        <w:widowControl w:val="0"/>
        <w:spacing w:before="120" w:after="120"/>
        <w:ind w:firstLine="720"/>
        <w:rPr>
          <w:b/>
        </w:rPr>
      </w:pPr>
      <w:r w:rsidRPr="00AE2A95">
        <w:rPr>
          <w:b/>
          <w:lang w:val="sv-SE"/>
        </w:rPr>
        <w:t xml:space="preserve">2. </w:t>
      </w:r>
      <w:r>
        <w:rPr>
          <w:b/>
          <w:lang w:val="vi-VN"/>
        </w:rPr>
        <w:t>Về t</w:t>
      </w:r>
      <w:r w:rsidRPr="00AE2A95">
        <w:rPr>
          <w:b/>
          <w:lang w:val="sv-SE"/>
        </w:rPr>
        <w:t xml:space="preserve">ình hình </w:t>
      </w:r>
      <w:r>
        <w:rPr>
          <w:b/>
          <w:lang w:val="vi-VN"/>
        </w:rPr>
        <w:t xml:space="preserve"> quản lý, sử dụng</w:t>
      </w:r>
      <w:r>
        <w:rPr>
          <w:b/>
        </w:rPr>
        <w:t xml:space="preserve"> </w:t>
      </w:r>
      <w:r w:rsidRPr="00AE2A95">
        <w:rPr>
          <w:b/>
          <w:lang w:val="sv-SE"/>
        </w:rPr>
        <w:t xml:space="preserve">về chứng từ </w:t>
      </w:r>
      <w:r>
        <w:rPr>
          <w:b/>
          <w:lang w:val="vi-VN"/>
        </w:rPr>
        <w:t>thuế</w:t>
      </w:r>
    </w:p>
    <w:p w14:paraId="7B09D1C1" w14:textId="77777777" w:rsidR="007204EE" w:rsidRPr="00AE2A95" w:rsidRDefault="007204EE" w:rsidP="007204EE">
      <w:pPr>
        <w:widowControl w:val="0"/>
        <w:spacing w:before="120" w:after="120"/>
        <w:ind w:firstLine="720"/>
        <w:rPr>
          <w:b/>
          <w:i/>
          <w:lang w:val="vi-VN"/>
        </w:rPr>
      </w:pPr>
      <w:r>
        <w:rPr>
          <w:b/>
          <w:i/>
        </w:rPr>
        <w:t xml:space="preserve">(1) </w:t>
      </w:r>
      <w:r w:rsidRPr="00AE2A95">
        <w:rPr>
          <w:b/>
          <w:i/>
          <w:lang w:val="vi-VN"/>
        </w:rPr>
        <w:t>Về cơ chế chính sách</w:t>
      </w:r>
    </w:p>
    <w:p w14:paraId="42C0C4C9" w14:textId="77777777" w:rsidR="007204EE" w:rsidRDefault="007204EE" w:rsidP="007204EE">
      <w:pPr>
        <w:widowControl w:val="0"/>
        <w:spacing w:before="120" w:after="120"/>
        <w:ind w:firstLine="720"/>
      </w:pPr>
      <w:r>
        <w:t>Th</w:t>
      </w:r>
      <w:r w:rsidRPr="004B22F6">
        <w:t>ực</w:t>
      </w:r>
      <w:r>
        <w:t xml:space="preserve"> hi</w:t>
      </w:r>
      <w:r w:rsidRPr="004B22F6">
        <w:t>ện</w:t>
      </w:r>
      <w:r>
        <w:t xml:space="preserve"> Lu</w:t>
      </w:r>
      <w:r w:rsidRPr="004B22F6">
        <w:t>ật</w:t>
      </w:r>
      <w:r>
        <w:t xml:space="preserve"> thu</w:t>
      </w:r>
      <w:r w:rsidRPr="004B22F6">
        <w:t>ế</w:t>
      </w:r>
      <w:r>
        <w:t xml:space="preserve"> thu nh</w:t>
      </w:r>
      <w:r w:rsidRPr="004B22F6">
        <w:t>ập</w:t>
      </w:r>
      <w:r>
        <w:t xml:space="preserve"> c</w:t>
      </w:r>
      <w:r w:rsidRPr="004B22F6">
        <w:t>á</w:t>
      </w:r>
      <w:r>
        <w:t xml:space="preserve"> nh</w:t>
      </w:r>
      <w:r w:rsidRPr="004B22F6">
        <w:t>â</w:t>
      </w:r>
      <w:r>
        <w:t>n, B</w:t>
      </w:r>
      <w:r w:rsidRPr="004B22F6">
        <w:t>ộ</w:t>
      </w:r>
      <w:r>
        <w:t xml:space="preserve"> T</w:t>
      </w:r>
      <w:r w:rsidRPr="004B22F6">
        <w:t>à</w:t>
      </w:r>
      <w:r>
        <w:t>i ch</w:t>
      </w:r>
      <w:r w:rsidRPr="004B22F6">
        <w:t>ính</w:t>
      </w:r>
      <w:r>
        <w:t xml:space="preserve"> ban h</w:t>
      </w:r>
      <w:r w:rsidRPr="004B22F6">
        <w:t>à</w:t>
      </w:r>
      <w:r>
        <w:t xml:space="preserve">nh quy </w:t>
      </w:r>
      <w:r w:rsidRPr="004B22F6">
        <w:t>định</w:t>
      </w:r>
      <w:r>
        <w:t xml:space="preserve"> v</w:t>
      </w:r>
      <w:r w:rsidRPr="004B22F6">
        <w:t>ề</w:t>
      </w:r>
      <w:r>
        <w:t xml:space="preserve"> c</w:t>
      </w:r>
      <w:r w:rsidRPr="004B22F6">
        <w:t>ấ</w:t>
      </w:r>
      <w:r>
        <w:t>p ch</w:t>
      </w:r>
      <w:r w:rsidRPr="004B22F6">
        <w:t>ứng</w:t>
      </w:r>
      <w:r>
        <w:t xml:space="preserve"> t</w:t>
      </w:r>
      <w:r w:rsidRPr="004B22F6">
        <w:t>ừ</w:t>
      </w:r>
      <w:r>
        <w:t xml:space="preserve"> n</w:t>
      </w:r>
      <w:r w:rsidRPr="004B22F6">
        <w:t>ộp</w:t>
      </w:r>
      <w:r>
        <w:t xml:space="preserve"> thu</w:t>
      </w:r>
      <w:r w:rsidRPr="004B22F6">
        <w:t>ế</w:t>
      </w:r>
      <w:r>
        <w:t xml:space="preserve"> thu nh</w:t>
      </w:r>
      <w:r w:rsidRPr="004B22F6">
        <w:t>ập</w:t>
      </w:r>
      <w:r>
        <w:t xml:space="preserve"> c</w:t>
      </w:r>
      <w:r w:rsidRPr="004B22F6">
        <w:t>á</w:t>
      </w:r>
      <w:r>
        <w:t xml:space="preserve"> nh</w:t>
      </w:r>
      <w:r w:rsidRPr="004B22F6">
        <w:t>â</w:t>
      </w:r>
      <w:r>
        <w:t xml:space="preserve">n (TNCN) </w:t>
      </w:r>
      <w:r w:rsidRPr="004B22F6">
        <w:t>á</w:t>
      </w:r>
      <w:r>
        <w:t>p d</w:t>
      </w:r>
      <w:r w:rsidRPr="004B22F6">
        <w:t>ụng</w:t>
      </w:r>
      <w:r>
        <w:t xml:space="preserve"> trong trư</w:t>
      </w:r>
      <w:r w:rsidRPr="004B22F6">
        <w:t>ờng</w:t>
      </w:r>
      <w:r>
        <w:t xml:space="preserve"> h</w:t>
      </w:r>
      <w:r w:rsidRPr="004B22F6">
        <w:t>ợp</w:t>
      </w:r>
      <w:r>
        <w:t xml:space="preserve"> t</w:t>
      </w:r>
      <w:r w:rsidRPr="004B22F6">
        <w:t>ổ</w:t>
      </w:r>
      <w:r>
        <w:t xml:space="preserve"> ch</w:t>
      </w:r>
      <w:r w:rsidRPr="004B22F6">
        <w:t>ức</w:t>
      </w:r>
      <w:r>
        <w:t>, c</w:t>
      </w:r>
      <w:r w:rsidRPr="004B22F6">
        <w:t>á</w:t>
      </w:r>
      <w:r>
        <w:t xml:space="preserve"> nh</w:t>
      </w:r>
      <w:r w:rsidRPr="004B22F6">
        <w:t>â</w:t>
      </w:r>
      <w:r>
        <w:t>n tr</w:t>
      </w:r>
      <w:r w:rsidRPr="004B22F6">
        <w:t>ả</w:t>
      </w:r>
      <w:r>
        <w:t xml:space="preserve"> c</w:t>
      </w:r>
      <w:r w:rsidRPr="004B22F6">
        <w:t>á</w:t>
      </w:r>
      <w:r>
        <w:t>c kho</w:t>
      </w:r>
      <w:r w:rsidRPr="004B22F6">
        <w:t>ản</w:t>
      </w:r>
      <w:r>
        <w:t xml:space="preserve"> thu nh</w:t>
      </w:r>
      <w:r w:rsidRPr="004B22F6">
        <w:t>ập</w:t>
      </w:r>
      <w:r>
        <w:t xml:space="preserve"> </w:t>
      </w:r>
      <w:r w:rsidRPr="004B22F6">
        <w:t>đã</w:t>
      </w:r>
      <w:r>
        <w:t xml:space="preserve"> kh</w:t>
      </w:r>
      <w:r w:rsidRPr="004B22F6">
        <w:t>ấ</w:t>
      </w:r>
      <w:r>
        <w:t>u tr</w:t>
      </w:r>
      <w:r w:rsidRPr="004B22F6">
        <w:t>ừ</w:t>
      </w:r>
      <w:r>
        <w:t xml:space="preserve"> thu</w:t>
      </w:r>
      <w:r w:rsidRPr="004B22F6">
        <w:t>ế</w:t>
      </w:r>
      <w:r>
        <w:t xml:space="preserve"> TNCN ph</w:t>
      </w:r>
      <w:r w:rsidRPr="00391771">
        <w:t>ải</w:t>
      </w:r>
      <w:r>
        <w:t xml:space="preserve"> c</w:t>
      </w:r>
      <w:r w:rsidRPr="00391771">
        <w:t>ấ</w:t>
      </w:r>
      <w:r>
        <w:t>p ch</w:t>
      </w:r>
      <w:r w:rsidRPr="00391771">
        <w:t>ứng</w:t>
      </w:r>
      <w:r>
        <w:t xml:space="preserve"> t</w:t>
      </w:r>
      <w:r w:rsidRPr="00391771">
        <w:t>ừ</w:t>
      </w:r>
      <w:r>
        <w:t xml:space="preserve"> kh</w:t>
      </w:r>
      <w:r w:rsidRPr="00391771">
        <w:t>ấ</w:t>
      </w:r>
      <w:r>
        <w:t>u tr</w:t>
      </w:r>
      <w:r w:rsidRPr="00391771">
        <w:t>ừ</w:t>
      </w:r>
      <w:r>
        <w:t xml:space="preserve"> thu</w:t>
      </w:r>
      <w:r w:rsidRPr="00391771">
        <w:t>ế</w:t>
      </w:r>
      <w:r>
        <w:t xml:space="preserve"> theo y</w:t>
      </w:r>
      <w:r w:rsidRPr="00391771">
        <w:t>ê</w:t>
      </w:r>
      <w:r>
        <w:t>u c</w:t>
      </w:r>
      <w:r w:rsidRPr="00391771">
        <w:t>ầu</w:t>
      </w:r>
      <w:r>
        <w:t xml:space="preserve"> c</w:t>
      </w:r>
      <w:r w:rsidRPr="00391771">
        <w:t>ủa</w:t>
      </w:r>
      <w:r>
        <w:t xml:space="preserve"> c</w:t>
      </w:r>
      <w:r w:rsidRPr="00391771">
        <w:t>á</w:t>
      </w:r>
      <w:r>
        <w:t xml:space="preserve"> nh</w:t>
      </w:r>
      <w:r w:rsidRPr="00391771">
        <w:t>â</w:t>
      </w:r>
      <w:r>
        <w:t>n b</w:t>
      </w:r>
      <w:r w:rsidRPr="00391771">
        <w:t>ị</w:t>
      </w:r>
      <w:r>
        <w:t xml:space="preserve"> kh</w:t>
      </w:r>
      <w:r w:rsidRPr="00391771">
        <w:t>ấ</w:t>
      </w:r>
      <w:r>
        <w:t>u tr</w:t>
      </w:r>
      <w:r w:rsidRPr="00391771">
        <w:t>ừ</w:t>
      </w:r>
      <w:r>
        <w:t xml:space="preserve"> (Th</w:t>
      </w:r>
      <w:r w:rsidRPr="00951C59">
        <w:t>ô</w:t>
      </w:r>
      <w:r>
        <w:t>ng t</w:t>
      </w:r>
      <w:r w:rsidRPr="00951C59">
        <w:t>ư</w:t>
      </w:r>
      <w:r>
        <w:t xml:space="preserve"> s</w:t>
      </w:r>
      <w:r w:rsidRPr="00951C59">
        <w:t>ố</w:t>
      </w:r>
      <w:r>
        <w:t xml:space="preserve"> 111/2013/TT-BTC ng</w:t>
      </w:r>
      <w:r w:rsidRPr="00951C59">
        <w:t>à</w:t>
      </w:r>
      <w:r>
        <w:t>y 15/8/2013 c</w:t>
      </w:r>
      <w:r w:rsidRPr="00951C59">
        <w:t>ủa</w:t>
      </w:r>
      <w:r>
        <w:t xml:space="preserve"> B</w:t>
      </w:r>
      <w:r w:rsidRPr="00951C59">
        <w:t>ộ</w:t>
      </w:r>
      <w:r>
        <w:t xml:space="preserve"> T</w:t>
      </w:r>
      <w:r w:rsidRPr="00951C59">
        <w:t>à</w:t>
      </w:r>
      <w:r>
        <w:t>i ch</w:t>
      </w:r>
      <w:r w:rsidRPr="00951C59">
        <w:t>ính</w:t>
      </w:r>
      <w:r>
        <w:t xml:space="preserve">). </w:t>
      </w:r>
    </w:p>
    <w:p w14:paraId="784A2D9B" w14:textId="77777777" w:rsidR="007204EE" w:rsidRDefault="007204EE" w:rsidP="007204EE">
      <w:pPr>
        <w:widowControl w:val="0"/>
        <w:spacing w:before="120" w:after="120"/>
        <w:ind w:firstLine="720"/>
      </w:pPr>
    </w:p>
    <w:p w14:paraId="50C4844D" w14:textId="77777777" w:rsidR="007204EE" w:rsidRDefault="007204EE" w:rsidP="007204EE">
      <w:pPr>
        <w:widowControl w:val="0"/>
        <w:spacing w:before="120" w:after="120"/>
        <w:ind w:firstLine="720"/>
      </w:pPr>
      <w:r>
        <w:t>Th</w:t>
      </w:r>
      <w:r w:rsidRPr="00391771">
        <w:t>ực</w:t>
      </w:r>
      <w:r>
        <w:t xml:space="preserve"> hi</w:t>
      </w:r>
      <w:r w:rsidRPr="00391771">
        <w:t>ện</w:t>
      </w:r>
      <w:r>
        <w:t xml:space="preserve"> Lu</w:t>
      </w:r>
      <w:r w:rsidRPr="00391771">
        <w:t>ật</w:t>
      </w:r>
      <w:r>
        <w:t xml:space="preserve"> ph</w:t>
      </w:r>
      <w:r w:rsidRPr="00391771">
        <w:t>í</w:t>
      </w:r>
      <w:r>
        <w:t>, l</w:t>
      </w:r>
      <w:r w:rsidRPr="00391771">
        <w:t>ệ</w:t>
      </w:r>
      <w:r>
        <w:t xml:space="preserve"> ph</w:t>
      </w:r>
      <w:r w:rsidRPr="00391771">
        <w:t>í</w:t>
      </w:r>
      <w:r>
        <w:t>, B</w:t>
      </w:r>
      <w:r w:rsidRPr="00391771">
        <w:t>ộ</w:t>
      </w:r>
      <w:r>
        <w:t xml:space="preserve"> T</w:t>
      </w:r>
      <w:r w:rsidRPr="00391771">
        <w:t>à</w:t>
      </w:r>
      <w:r>
        <w:t>i ch</w:t>
      </w:r>
      <w:r w:rsidRPr="00391771">
        <w:t>ín</w:t>
      </w:r>
      <w:r>
        <w:t xml:space="preserve">h </w:t>
      </w:r>
      <w:r w:rsidRPr="00391771">
        <w:t>đã</w:t>
      </w:r>
      <w:r>
        <w:t xml:space="preserve"> ban h</w:t>
      </w:r>
      <w:r w:rsidRPr="00391771">
        <w:t>à</w:t>
      </w:r>
      <w:r>
        <w:t xml:space="preserve">nh quy </w:t>
      </w:r>
      <w:r w:rsidRPr="00391771">
        <w:t>định</w:t>
      </w:r>
      <w:r>
        <w:t xml:space="preserve"> v</w:t>
      </w:r>
      <w:r w:rsidRPr="00391771">
        <w:t>ề</w:t>
      </w:r>
      <w:r>
        <w:t xml:space="preserve"> in, ph</w:t>
      </w:r>
      <w:r w:rsidRPr="00391771">
        <w:t>á</w:t>
      </w:r>
      <w:r>
        <w:t xml:space="preserve">t </w:t>
      </w:r>
      <w:r>
        <w:lastRenderedPageBreak/>
        <w:t>h</w:t>
      </w:r>
      <w:r w:rsidRPr="00391771">
        <w:t>à</w:t>
      </w:r>
      <w:r>
        <w:t>nh, qu</w:t>
      </w:r>
      <w:r w:rsidRPr="00391771">
        <w:t>ản</w:t>
      </w:r>
      <w:r>
        <w:t xml:space="preserve"> l</w:t>
      </w:r>
      <w:r w:rsidRPr="00391771">
        <w:t>ý</w:t>
      </w:r>
      <w:r>
        <w:t xml:space="preserve"> v</w:t>
      </w:r>
      <w:r w:rsidRPr="00391771">
        <w:t>à</w:t>
      </w:r>
      <w:r>
        <w:t xml:space="preserve"> s</w:t>
      </w:r>
      <w:r w:rsidRPr="00391771">
        <w:t>ử</w:t>
      </w:r>
      <w:r>
        <w:t xml:space="preserve"> d</w:t>
      </w:r>
      <w:r w:rsidRPr="00391771">
        <w:t>ụng</w:t>
      </w:r>
      <w:r>
        <w:t xml:space="preserve"> c</w:t>
      </w:r>
      <w:r w:rsidRPr="00391771">
        <w:t>á</w:t>
      </w:r>
      <w:r>
        <w:t>c lo</w:t>
      </w:r>
      <w:r w:rsidRPr="00391771">
        <w:t>ại</w:t>
      </w:r>
      <w:r>
        <w:t xml:space="preserve"> bi</w:t>
      </w:r>
      <w:r w:rsidRPr="00391771">
        <w:t>ê</w:t>
      </w:r>
      <w:r>
        <w:t>n lai thu ti</w:t>
      </w:r>
      <w:r w:rsidRPr="00391771">
        <w:t>ề</w:t>
      </w:r>
      <w:r>
        <w:t>n ph</w:t>
      </w:r>
      <w:r w:rsidRPr="00391771">
        <w:t>í</w:t>
      </w:r>
      <w:r>
        <w:t>, l</w:t>
      </w:r>
      <w:r w:rsidRPr="00391771">
        <w:t>ệ</w:t>
      </w:r>
      <w:r>
        <w:t xml:space="preserve"> ph</w:t>
      </w:r>
      <w:r w:rsidRPr="00391771">
        <w:t>í</w:t>
      </w:r>
      <w:r>
        <w:t xml:space="preserve"> thu</w:t>
      </w:r>
      <w:r w:rsidRPr="00391771">
        <w:t>ộc</w:t>
      </w:r>
      <w:r>
        <w:t xml:space="preserve"> ng</w:t>
      </w:r>
      <w:r w:rsidRPr="00391771">
        <w:t>â</w:t>
      </w:r>
      <w:r>
        <w:t>n s</w:t>
      </w:r>
      <w:r w:rsidRPr="00391771">
        <w:t>á</w:t>
      </w:r>
      <w:r>
        <w:t>ch nh</w:t>
      </w:r>
      <w:r w:rsidRPr="00391771">
        <w:t>à</w:t>
      </w:r>
      <w:r>
        <w:t xml:space="preserve"> nư</w:t>
      </w:r>
      <w:r w:rsidRPr="00391771">
        <w:t>ớc</w:t>
      </w:r>
      <w:r>
        <w:t xml:space="preserve"> theo c</w:t>
      </w:r>
      <w:r w:rsidRPr="00391771">
        <w:t>á</w:t>
      </w:r>
      <w:r>
        <w:t>c h</w:t>
      </w:r>
      <w:r w:rsidRPr="00391771">
        <w:t>ìn</w:t>
      </w:r>
      <w:r>
        <w:t>h th</w:t>
      </w:r>
      <w:r w:rsidRPr="00391771">
        <w:t>ức</w:t>
      </w:r>
      <w:r>
        <w:t>: đ</w:t>
      </w:r>
      <w:r w:rsidRPr="00391771">
        <w:t>ặ</w:t>
      </w:r>
      <w:r>
        <w:t>t in, t</w:t>
      </w:r>
      <w:r w:rsidRPr="00391771">
        <w:t>ự</w:t>
      </w:r>
      <w:r>
        <w:t xml:space="preserve"> in v</w:t>
      </w:r>
      <w:r w:rsidRPr="00391771">
        <w:t>à</w:t>
      </w:r>
      <w:r>
        <w:t xml:space="preserve"> </w:t>
      </w:r>
      <w:r w:rsidRPr="00391771">
        <w:t>đ</w:t>
      </w:r>
      <w:r>
        <w:t>i</w:t>
      </w:r>
      <w:r w:rsidRPr="00391771">
        <w:t>ện</w:t>
      </w:r>
      <w:r>
        <w:t xml:space="preserve"> t</w:t>
      </w:r>
      <w:r w:rsidRPr="00391771">
        <w:t>ử</w:t>
      </w:r>
      <w:r>
        <w:t xml:space="preserve"> (Th</w:t>
      </w:r>
      <w:r w:rsidRPr="00391771">
        <w:t>ô</w:t>
      </w:r>
      <w:r>
        <w:t>ng t</w:t>
      </w:r>
      <w:r w:rsidRPr="00391771">
        <w:t>ư</w:t>
      </w:r>
      <w:r>
        <w:t xml:space="preserve"> s</w:t>
      </w:r>
      <w:r w:rsidRPr="00391771">
        <w:t>ố</w:t>
      </w:r>
      <w:r>
        <w:t xml:space="preserve"> 303/2016/TT-BTC ng</w:t>
      </w:r>
      <w:r w:rsidRPr="00951C59">
        <w:t>à</w:t>
      </w:r>
      <w:r>
        <w:t>y 15/11/2016 c</w:t>
      </w:r>
      <w:r w:rsidRPr="00951C59">
        <w:t>ủa</w:t>
      </w:r>
      <w:r>
        <w:t xml:space="preserve"> B</w:t>
      </w:r>
      <w:r w:rsidRPr="00951C59">
        <w:t>ộ</w:t>
      </w:r>
      <w:r>
        <w:t xml:space="preserve"> T</w:t>
      </w:r>
      <w:r w:rsidRPr="00951C59">
        <w:t>à</w:t>
      </w:r>
      <w:r>
        <w:t>i ch</w:t>
      </w:r>
      <w:r w:rsidRPr="00951C59">
        <w:t>ính</w:t>
      </w:r>
      <w:r>
        <w:t xml:space="preserve">). </w:t>
      </w:r>
    </w:p>
    <w:p w14:paraId="1E145484" w14:textId="77777777" w:rsidR="007204EE" w:rsidRDefault="007204EE" w:rsidP="007204EE">
      <w:pPr>
        <w:widowControl w:val="0"/>
        <w:spacing w:before="120" w:after="120"/>
        <w:ind w:firstLine="720"/>
      </w:pPr>
      <w:r>
        <w:t xml:space="preserve">Quy </w:t>
      </w:r>
      <w:r w:rsidRPr="00951C59">
        <w:t>định</w:t>
      </w:r>
      <w:r>
        <w:t xml:space="preserve"> v</w:t>
      </w:r>
      <w:r w:rsidRPr="00951C59">
        <w:t>ề</w:t>
      </w:r>
      <w:r>
        <w:t xml:space="preserve"> ch</w:t>
      </w:r>
      <w:r w:rsidRPr="004B22F6">
        <w:t>ứng</w:t>
      </w:r>
      <w:r>
        <w:t xml:space="preserve"> t</w:t>
      </w:r>
      <w:r w:rsidRPr="004B22F6">
        <w:t>ừ</w:t>
      </w:r>
      <w:r>
        <w:t xml:space="preserve"> kh</w:t>
      </w:r>
      <w:r w:rsidRPr="004B22F6">
        <w:t>ấ</w:t>
      </w:r>
      <w:r>
        <w:t>u tr</w:t>
      </w:r>
      <w:r w:rsidRPr="004B22F6">
        <w:t>ừ</w:t>
      </w:r>
      <w:r>
        <w:t xml:space="preserve"> thu</w:t>
      </w:r>
      <w:r w:rsidRPr="004B22F6">
        <w:t>ế</w:t>
      </w:r>
      <w:r>
        <w:t>, bi</w:t>
      </w:r>
      <w:r w:rsidRPr="004B22F6">
        <w:t>ê</w:t>
      </w:r>
      <w:r>
        <w:t>n lai thu ph</w:t>
      </w:r>
      <w:r w:rsidRPr="004B22F6">
        <w:t>í</w:t>
      </w:r>
      <w:r>
        <w:t>, l</w:t>
      </w:r>
      <w:r w:rsidRPr="004B22F6">
        <w:t>ệ</w:t>
      </w:r>
      <w:r>
        <w:t xml:space="preserve"> ph</w:t>
      </w:r>
      <w:r w:rsidRPr="004B22F6">
        <w:t>í</w:t>
      </w:r>
      <w:r>
        <w:t xml:space="preserve"> </w:t>
      </w:r>
      <w:r w:rsidRPr="00951C59">
        <w:t>đã</w:t>
      </w:r>
      <w:r>
        <w:t xml:space="preserve"> t</w:t>
      </w:r>
      <w:r w:rsidRPr="00951C59">
        <w:t>ạo</w:t>
      </w:r>
      <w:r>
        <w:t xml:space="preserve"> h</w:t>
      </w:r>
      <w:r w:rsidRPr="00951C59">
        <w:t>à</w:t>
      </w:r>
      <w:r>
        <w:t>nh lang ph</w:t>
      </w:r>
      <w:r w:rsidRPr="00951C59">
        <w:t>á</w:t>
      </w:r>
      <w:r>
        <w:t>p l</w:t>
      </w:r>
      <w:r w:rsidRPr="00951C59">
        <w:t>ý</w:t>
      </w:r>
      <w:r>
        <w:t xml:space="preserve">  đ</w:t>
      </w:r>
      <w:r w:rsidRPr="00951C59">
        <w:t>ể</w:t>
      </w:r>
      <w:r>
        <w:t xml:space="preserve"> b</w:t>
      </w:r>
      <w:r w:rsidRPr="00951C59">
        <w:t>ảo</w:t>
      </w:r>
      <w:r>
        <w:t xml:space="preserve"> v</w:t>
      </w:r>
      <w:r w:rsidRPr="00951C59">
        <w:t>ệ</w:t>
      </w:r>
      <w:r>
        <w:t xml:space="preserve"> quy</w:t>
      </w:r>
      <w:r w:rsidRPr="00951C59">
        <w:t>ề</w:t>
      </w:r>
      <w:r>
        <w:t>n l</w:t>
      </w:r>
      <w:r w:rsidRPr="00951C59">
        <w:t>ợi</w:t>
      </w:r>
      <w:r>
        <w:t xml:space="preserve"> c</w:t>
      </w:r>
      <w:r w:rsidRPr="00951C59">
        <w:t>ủa</w:t>
      </w:r>
      <w:r>
        <w:t xml:space="preserve"> ngư</w:t>
      </w:r>
      <w:r w:rsidRPr="00951C59">
        <w:t>ờ</w:t>
      </w:r>
      <w:r>
        <w:t>i n</w:t>
      </w:r>
      <w:r w:rsidRPr="00951C59">
        <w:t>ộp</w:t>
      </w:r>
      <w:r>
        <w:t xml:space="preserve"> thu</w:t>
      </w:r>
      <w:r w:rsidRPr="00951C59">
        <w:t>ế</w:t>
      </w:r>
      <w:r>
        <w:t xml:space="preserve"> TNCN, ngư</w:t>
      </w:r>
      <w:r w:rsidRPr="00951C59">
        <w:t>ờ</w:t>
      </w:r>
      <w:r>
        <w:t>i n</w:t>
      </w:r>
      <w:r w:rsidRPr="00951C59">
        <w:t>ộp</w:t>
      </w:r>
      <w:r>
        <w:t xml:space="preserve"> ph</w:t>
      </w:r>
      <w:r w:rsidRPr="00951C59">
        <w:t>í</w:t>
      </w:r>
      <w:r>
        <w:t>, l</w:t>
      </w:r>
      <w:r w:rsidRPr="00951C59">
        <w:t>ệ</w:t>
      </w:r>
      <w:r>
        <w:t xml:space="preserve"> ph</w:t>
      </w:r>
      <w:r w:rsidRPr="00951C59">
        <w:t>í</w:t>
      </w:r>
      <w:r>
        <w:t xml:space="preserve"> v</w:t>
      </w:r>
      <w:r w:rsidRPr="00951C59">
        <w:t>à</w:t>
      </w:r>
      <w:r>
        <w:t xml:space="preserve"> l</w:t>
      </w:r>
      <w:r w:rsidRPr="00951C59">
        <w:t>à</w:t>
      </w:r>
      <w:r>
        <w:t xml:space="preserve"> t</w:t>
      </w:r>
      <w:r w:rsidRPr="00951C59">
        <w:t>à</w:t>
      </w:r>
      <w:r>
        <w:t>i li</w:t>
      </w:r>
      <w:r w:rsidRPr="00951C59">
        <w:t>ệu</w:t>
      </w:r>
      <w:r>
        <w:t xml:space="preserve"> quan tr</w:t>
      </w:r>
      <w:r w:rsidRPr="00951C59">
        <w:t>ọng</w:t>
      </w:r>
      <w:r>
        <w:t xml:space="preserve"> trong vi</w:t>
      </w:r>
      <w:r w:rsidRPr="00951C59">
        <w:t>ệc</w:t>
      </w:r>
      <w:r>
        <w:t xml:space="preserve"> x</w:t>
      </w:r>
      <w:r w:rsidRPr="00951C59">
        <w:t>á</w:t>
      </w:r>
      <w:r>
        <w:t xml:space="preserve">c </w:t>
      </w:r>
      <w:r w:rsidRPr="00951C59">
        <w:t>định</w:t>
      </w:r>
      <w:r>
        <w:t xml:space="preserve"> s</w:t>
      </w:r>
      <w:r w:rsidRPr="00951C59">
        <w:t>ố</w:t>
      </w:r>
      <w:r>
        <w:t xml:space="preserve"> thu n</w:t>
      </w:r>
      <w:r w:rsidRPr="00951C59">
        <w:t>ộp</w:t>
      </w:r>
      <w:r>
        <w:t xml:space="preserve"> ng</w:t>
      </w:r>
      <w:r w:rsidRPr="00951C59">
        <w:t>â</w:t>
      </w:r>
      <w:r>
        <w:t>n s</w:t>
      </w:r>
      <w:r w:rsidRPr="00951C59">
        <w:t>á</w:t>
      </w:r>
      <w:r>
        <w:t>ch nh</w:t>
      </w:r>
      <w:r w:rsidRPr="00951C59">
        <w:t>à</w:t>
      </w:r>
      <w:r>
        <w:t xml:space="preserve"> nư</w:t>
      </w:r>
      <w:r w:rsidRPr="00951C59">
        <w:t>ớc</w:t>
      </w:r>
      <w:r>
        <w:t xml:space="preserve"> t</w:t>
      </w:r>
      <w:r w:rsidRPr="00951C59">
        <w:t>ừ</w:t>
      </w:r>
      <w:r>
        <w:t xml:space="preserve"> thu</w:t>
      </w:r>
      <w:r w:rsidRPr="00951C59">
        <w:t>ế</w:t>
      </w:r>
      <w:r>
        <w:t xml:space="preserve"> TNCN, t</w:t>
      </w:r>
      <w:r w:rsidRPr="00951C59">
        <w:t>ừ</w:t>
      </w:r>
      <w:r>
        <w:t xml:space="preserve"> ph</w:t>
      </w:r>
      <w:r w:rsidRPr="00951C59">
        <w:t>í</w:t>
      </w:r>
      <w:r>
        <w:t>, l</w:t>
      </w:r>
      <w:r w:rsidRPr="00951C59">
        <w:t>ệ</w:t>
      </w:r>
      <w:r>
        <w:t xml:space="preserve"> ph</w:t>
      </w:r>
      <w:r w:rsidRPr="00951C59">
        <w:t>í</w:t>
      </w:r>
      <w:r>
        <w:t xml:space="preserve"> thu</w:t>
      </w:r>
      <w:r w:rsidRPr="00951C59">
        <w:t>ộc</w:t>
      </w:r>
      <w:r>
        <w:t xml:space="preserve"> ng</w:t>
      </w:r>
      <w:r w:rsidRPr="00951C59">
        <w:t>â</w:t>
      </w:r>
      <w:r>
        <w:t>n s</w:t>
      </w:r>
      <w:r w:rsidRPr="00951C59">
        <w:t>á</w:t>
      </w:r>
      <w:r>
        <w:t>ch nh</w:t>
      </w:r>
      <w:r w:rsidRPr="00951C59">
        <w:t>à</w:t>
      </w:r>
      <w:r>
        <w:t xml:space="preserve"> nư</w:t>
      </w:r>
      <w:r w:rsidRPr="00951C59">
        <w:t>ớc</w:t>
      </w:r>
      <w:r>
        <w:t xml:space="preserve">. </w:t>
      </w:r>
    </w:p>
    <w:p w14:paraId="0CFB1DEE" w14:textId="77777777" w:rsidR="007204EE" w:rsidRPr="00AE2A95" w:rsidRDefault="007204EE" w:rsidP="007204EE">
      <w:pPr>
        <w:widowControl w:val="0"/>
        <w:ind w:firstLine="720"/>
        <w:rPr>
          <w:b/>
          <w:i/>
          <w:color w:val="000000"/>
          <w:szCs w:val="28"/>
          <w:lang w:val="vi-VN"/>
        </w:rPr>
      </w:pPr>
      <w:r>
        <w:rPr>
          <w:b/>
          <w:i/>
          <w:color w:val="000000"/>
          <w:szCs w:val="28"/>
        </w:rPr>
        <w:t>(</w:t>
      </w:r>
      <w:r w:rsidRPr="00AE2A95">
        <w:rPr>
          <w:b/>
          <w:i/>
          <w:color w:val="000000"/>
          <w:szCs w:val="28"/>
        </w:rPr>
        <w:t>2</w:t>
      </w:r>
      <w:r>
        <w:rPr>
          <w:b/>
          <w:i/>
          <w:color w:val="000000"/>
          <w:szCs w:val="28"/>
        </w:rPr>
        <w:t xml:space="preserve">) </w:t>
      </w:r>
      <w:r w:rsidRPr="00AE2A95">
        <w:rPr>
          <w:b/>
          <w:i/>
          <w:color w:val="000000"/>
          <w:szCs w:val="28"/>
          <w:lang w:val="vi-VN"/>
        </w:rPr>
        <w:t>Về kết quả thực hiện</w:t>
      </w:r>
    </w:p>
    <w:p w14:paraId="18B7DC00" w14:textId="77777777" w:rsidR="007204EE" w:rsidRPr="00AE2A95" w:rsidRDefault="007204EE" w:rsidP="007204EE">
      <w:pPr>
        <w:widowControl w:val="0"/>
        <w:ind w:firstLine="720"/>
        <w:rPr>
          <w:b/>
          <w:i/>
          <w:color w:val="000000"/>
          <w:szCs w:val="28"/>
        </w:rPr>
      </w:pPr>
    </w:p>
    <w:p w14:paraId="607FA9BD" w14:textId="77777777" w:rsidR="007204EE" w:rsidRPr="00AC7EFD" w:rsidRDefault="007204EE" w:rsidP="007204EE">
      <w:pPr>
        <w:widowControl w:val="0"/>
        <w:ind w:firstLine="720"/>
        <w:rPr>
          <w:color w:val="000000"/>
          <w:szCs w:val="28"/>
          <w:lang w:val="vi-VN"/>
        </w:rPr>
      </w:pPr>
      <w:r>
        <w:rPr>
          <w:color w:val="000000"/>
          <w:szCs w:val="28"/>
          <w:lang w:val="vi-VN"/>
        </w:rPr>
        <w:t>Theo báo cáo của Tổng cục Thuế, số lượng doanh nghiệp sử dụng chứng từ và số lượng chứng từ (biên lai) thuế trong một số năm gần đây (2016-2019) như sau:</w:t>
      </w:r>
    </w:p>
    <w:p w14:paraId="1C9FAB47" w14:textId="77777777" w:rsidR="007204EE" w:rsidRDefault="007204EE" w:rsidP="007204EE">
      <w:pPr>
        <w:widowControl w:val="0"/>
        <w:spacing w:before="120"/>
        <w:ind w:firstLine="720"/>
        <w:rPr>
          <w:color w:val="000000"/>
          <w:szCs w:val="28"/>
          <w:lang w:val="vi-VN"/>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709"/>
        <w:gridCol w:w="850"/>
        <w:gridCol w:w="992"/>
        <w:gridCol w:w="1276"/>
        <w:gridCol w:w="1134"/>
        <w:gridCol w:w="992"/>
        <w:gridCol w:w="851"/>
        <w:gridCol w:w="992"/>
        <w:gridCol w:w="851"/>
      </w:tblGrid>
      <w:tr w:rsidR="007204EE" w:rsidRPr="009C2E1F" w14:paraId="2ADB814C" w14:textId="77777777" w:rsidTr="00AE2A95">
        <w:trPr>
          <w:trHeight w:val="429"/>
        </w:trPr>
        <w:tc>
          <w:tcPr>
            <w:tcW w:w="709" w:type="dxa"/>
            <w:vMerge w:val="restart"/>
            <w:shd w:val="clear" w:color="auto" w:fill="auto"/>
          </w:tcPr>
          <w:p w14:paraId="347A80AF" w14:textId="77777777" w:rsidR="007204EE" w:rsidRPr="009C2E1F" w:rsidRDefault="007204EE" w:rsidP="00AE2A95">
            <w:pPr>
              <w:jc w:val="center"/>
              <w:rPr>
                <w:rFonts w:eastAsia="Times New Roman"/>
                <w:b/>
                <w:bCs/>
                <w:color w:val="000000"/>
                <w:sz w:val="20"/>
                <w:szCs w:val="20"/>
                <w:lang w:val="vi-VN"/>
              </w:rPr>
            </w:pPr>
          </w:p>
          <w:p w14:paraId="5AA794C3" w14:textId="77777777" w:rsidR="007204EE" w:rsidRPr="009C2E1F" w:rsidRDefault="007204EE" w:rsidP="00AE2A95">
            <w:pPr>
              <w:jc w:val="center"/>
              <w:rPr>
                <w:rFonts w:eastAsia="Times New Roman"/>
                <w:b/>
                <w:bCs/>
                <w:color w:val="000000"/>
                <w:sz w:val="20"/>
                <w:szCs w:val="20"/>
                <w:lang w:val="vi-VN"/>
              </w:rPr>
            </w:pPr>
          </w:p>
          <w:p w14:paraId="6A02D8D9" w14:textId="77777777" w:rsidR="007204EE" w:rsidRPr="009C2E1F" w:rsidRDefault="007204EE" w:rsidP="00AE2A95">
            <w:pPr>
              <w:jc w:val="center"/>
              <w:rPr>
                <w:rFonts w:eastAsia="Times New Roman"/>
                <w:b/>
                <w:bCs/>
                <w:color w:val="000000"/>
                <w:sz w:val="20"/>
                <w:szCs w:val="20"/>
                <w:lang w:val="vi-VN"/>
              </w:rPr>
            </w:pPr>
          </w:p>
          <w:p w14:paraId="0A45FF23" w14:textId="77777777" w:rsidR="007204EE" w:rsidRPr="009C2E1F" w:rsidRDefault="007204EE" w:rsidP="00AE2A95">
            <w:pPr>
              <w:jc w:val="center"/>
              <w:rPr>
                <w:rFonts w:eastAsia="Times New Roman"/>
                <w:b/>
                <w:bCs/>
                <w:color w:val="000000"/>
                <w:sz w:val="20"/>
                <w:szCs w:val="20"/>
                <w:lang w:val="vi-VN"/>
              </w:rPr>
            </w:pPr>
          </w:p>
          <w:p w14:paraId="3A599052" w14:textId="77777777" w:rsidR="007204EE" w:rsidRPr="009C2E1F" w:rsidRDefault="007204EE" w:rsidP="00AE2A95">
            <w:pPr>
              <w:jc w:val="center"/>
              <w:rPr>
                <w:rFonts w:eastAsia="Times New Roman"/>
                <w:b/>
                <w:bCs/>
                <w:color w:val="000000"/>
                <w:sz w:val="20"/>
                <w:szCs w:val="20"/>
              </w:rPr>
            </w:pPr>
            <w:r w:rsidRPr="009C2E1F">
              <w:rPr>
                <w:rFonts w:eastAsia="Times New Roman"/>
                <w:b/>
                <w:bCs/>
                <w:color w:val="000000"/>
                <w:sz w:val="20"/>
                <w:szCs w:val="20"/>
              </w:rPr>
              <w:t>Năm</w:t>
            </w:r>
          </w:p>
        </w:tc>
        <w:tc>
          <w:tcPr>
            <w:tcW w:w="5245" w:type="dxa"/>
            <w:gridSpan w:val="5"/>
            <w:shd w:val="clear" w:color="auto" w:fill="auto"/>
          </w:tcPr>
          <w:p w14:paraId="190272E2" w14:textId="77777777" w:rsidR="007204EE" w:rsidRPr="009C2E1F" w:rsidRDefault="007204EE" w:rsidP="00AE2A95">
            <w:pPr>
              <w:jc w:val="center"/>
              <w:rPr>
                <w:rFonts w:eastAsia="Times New Roman"/>
                <w:b/>
                <w:bCs/>
                <w:color w:val="000000"/>
                <w:sz w:val="20"/>
                <w:szCs w:val="20"/>
                <w:lang w:val="vi-VN"/>
              </w:rPr>
            </w:pPr>
          </w:p>
          <w:p w14:paraId="0DFDFA75"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Số doanh nghiệp</w:t>
            </w:r>
            <w:r>
              <w:rPr>
                <w:rFonts w:eastAsia="Times New Roman"/>
                <w:b/>
                <w:bCs/>
                <w:color w:val="000000"/>
                <w:sz w:val="20"/>
                <w:szCs w:val="20"/>
                <w:lang w:val="vi-VN"/>
              </w:rPr>
              <w:t>/tổ chức</w:t>
            </w:r>
          </w:p>
          <w:p w14:paraId="637E1060"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Cs/>
                <w:color w:val="000000"/>
                <w:sz w:val="20"/>
                <w:szCs w:val="20"/>
                <w:lang w:val="vi-VN"/>
              </w:rPr>
              <w:t>(theo đơn vị)</w:t>
            </w:r>
          </w:p>
        </w:tc>
        <w:tc>
          <w:tcPr>
            <w:tcW w:w="4820" w:type="dxa"/>
            <w:gridSpan w:val="5"/>
          </w:tcPr>
          <w:p w14:paraId="764723B7" w14:textId="77777777" w:rsidR="007204EE" w:rsidRPr="009C2E1F" w:rsidRDefault="007204EE" w:rsidP="00AE2A95">
            <w:pPr>
              <w:jc w:val="center"/>
              <w:rPr>
                <w:rFonts w:eastAsia="Times New Roman"/>
                <w:b/>
                <w:bCs/>
                <w:color w:val="000000"/>
                <w:sz w:val="20"/>
                <w:szCs w:val="20"/>
                <w:lang w:val="vi-VN"/>
              </w:rPr>
            </w:pPr>
          </w:p>
          <w:p w14:paraId="22321274"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 xml:space="preserve">Số lượng </w:t>
            </w:r>
            <w:r>
              <w:rPr>
                <w:rFonts w:eastAsia="Times New Roman"/>
                <w:b/>
                <w:bCs/>
                <w:color w:val="000000"/>
                <w:sz w:val="20"/>
                <w:szCs w:val="20"/>
                <w:lang w:val="vi-VN"/>
              </w:rPr>
              <w:t>chứng từ/biên lai</w:t>
            </w:r>
            <w:r w:rsidRPr="009C2E1F">
              <w:rPr>
                <w:rFonts w:eastAsia="Times New Roman"/>
                <w:b/>
                <w:bCs/>
                <w:color w:val="000000"/>
                <w:sz w:val="20"/>
                <w:szCs w:val="20"/>
                <w:lang w:val="vi-VN"/>
              </w:rPr>
              <w:t xml:space="preserve"> </w:t>
            </w:r>
          </w:p>
          <w:p w14:paraId="75FAA010" w14:textId="77777777" w:rsidR="007204EE" w:rsidRPr="009C2E1F" w:rsidRDefault="007204EE" w:rsidP="00AE2A95">
            <w:pPr>
              <w:jc w:val="center"/>
              <w:rPr>
                <w:rFonts w:eastAsia="Times New Roman"/>
                <w:bCs/>
                <w:color w:val="000000"/>
                <w:sz w:val="20"/>
                <w:szCs w:val="20"/>
                <w:lang w:val="vi-VN"/>
              </w:rPr>
            </w:pPr>
            <w:r w:rsidRPr="009C2E1F">
              <w:rPr>
                <w:rFonts w:eastAsia="Times New Roman"/>
                <w:bCs/>
                <w:color w:val="000000"/>
                <w:sz w:val="20"/>
                <w:szCs w:val="20"/>
                <w:lang w:val="vi-VN"/>
              </w:rPr>
              <w:t>(đơn vị: 1000)</w:t>
            </w:r>
          </w:p>
        </w:tc>
      </w:tr>
      <w:tr w:rsidR="007204EE" w:rsidRPr="00BF519C" w14:paraId="0E3804E6" w14:textId="77777777" w:rsidTr="00AE2A95">
        <w:trPr>
          <w:trHeight w:val="225"/>
        </w:trPr>
        <w:tc>
          <w:tcPr>
            <w:tcW w:w="709" w:type="dxa"/>
            <w:vMerge/>
            <w:shd w:val="clear" w:color="auto" w:fill="auto"/>
          </w:tcPr>
          <w:p w14:paraId="41FC0146" w14:textId="77777777" w:rsidR="007204EE" w:rsidRPr="009C2E1F" w:rsidRDefault="007204EE" w:rsidP="00AE2A95">
            <w:pPr>
              <w:jc w:val="center"/>
              <w:rPr>
                <w:rFonts w:eastAsia="Times New Roman"/>
                <w:b/>
                <w:bCs/>
                <w:color w:val="000000"/>
                <w:sz w:val="20"/>
                <w:szCs w:val="20"/>
                <w:lang w:val="vi-VN"/>
              </w:rPr>
            </w:pPr>
          </w:p>
        </w:tc>
        <w:tc>
          <w:tcPr>
            <w:tcW w:w="1418" w:type="dxa"/>
            <w:vMerge w:val="restart"/>
            <w:shd w:val="clear" w:color="auto" w:fill="auto"/>
          </w:tcPr>
          <w:p w14:paraId="7BC9AAE6"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DN sử dụng chứng từ khấu trừ thuế TNCN m</w:t>
            </w:r>
            <w:r w:rsidRPr="009C2E1F">
              <w:rPr>
                <w:rFonts w:eastAsia="Times New Roman"/>
                <w:b/>
                <w:bCs/>
                <w:color w:val="000000"/>
                <w:sz w:val="20"/>
                <w:szCs w:val="20"/>
                <w:lang w:val="vi-VN"/>
              </w:rPr>
              <w:t>ua của CQT</w:t>
            </w:r>
          </w:p>
        </w:tc>
        <w:tc>
          <w:tcPr>
            <w:tcW w:w="709" w:type="dxa"/>
            <w:vMerge w:val="restart"/>
            <w:shd w:val="clear" w:color="auto" w:fill="auto"/>
          </w:tcPr>
          <w:p w14:paraId="02AE3CE8"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Tổ chức</w:t>
            </w:r>
            <w:r w:rsidRPr="009C2E1F">
              <w:rPr>
                <w:rFonts w:eastAsia="Times New Roman"/>
                <w:b/>
                <w:bCs/>
                <w:color w:val="000000"/>
                <w:sz w:val="20"/>
                <w:szCs w:val="20"/>
                <w:lang w:val="vi-VN"/>
              </w:rPr>
              <w:t xml:space="preserve"> đặt in</w:t>
            </w:r>
            <w:r>
              <w:rPr>
                <w:rFonts w:eastAsia="Times New Roman"/>
                <w:b/>
                <w:bCs/>
                <w:color w:val="000000"/>
                <w:sz w:val="20"/>
                <w:szCs w:val="20"/>
                <w:lang w:val="vi-VN"/>
              </w:rPr>
              <w:t xml:space="preserve"> biên lai </w:t>
            </w:r>
          </w:p>
        </w:tc>
        <w:tc>
          <w:tcPr>
            <w:tcW w:w="850" w:type="dxa"/>
            <w:vMerge w:val="restart"/>
            <w:shd w:val="clear" w:color="auto" w:fill="auto"/>
          </w:tcPr>
          <w:p w14:paraId="716353CA" w14:textId="77777777" w:rsidR="007204EE" w:rsidRPr="009C2E1F" w:rsidRDefault="007204EE" w:rsidP="00AE2A95">
            <w:pPr>
              <w:jc w:val="center"/>
              <w:rPr>
                <w:rFonts w:eastAsia="Times New Roman"/>
                <w:b/>
                <w:bCs/>
                <w:color w:val="000000"/>
                <w:sz w:val="20"/>
                <w:szCs w:val="20"/>
              </w:rPr>
            </w:pPr>
            <w:r>
              <w:rPr>
                <w:rFonts w:eastAsia="Times New Roman"/>
                <w:b/>
                <w:bCs/>
                <w:color w:val="000000"/>
                <w:sz w:val="20"/>
                <w:szCs w:val="20"/>
                <w:lang w:val="vi-VN"/>
              </w:rPr>
              <w:t>Tổ chức</w:t>
            </w:r>
            <w:r w:rsidRPr="009C2E1F">
              <w:rPr>
                <w:rFonts w:eastAsia="Times New Roman"/>
                <w:b/>
                <w:bCs/>
                <w:color w:val="000000"/>
                <w:sz w:val="20"/>
                <w:szCs w:val="20"/>
                <w:lang w:val="vi-VN"/>
              </w:rPr>
              <w:t xml:space="preserve"> </w:t>
            </w:r>
            <w:r>
              <w:rPr>
                <w:rFonts w:eastAsia="Times New Roman"/>
                <w:b/>
                <w:bCs/>
                <w:color w:val="000000"/>
                <w:sz w:val="20"/>
                <w:szCs w:val="20"/>
                <w:lang w:val="vi-VN"/>
              </w:rPr>
              <w:t>tự</w:t>
            </w:r>
            <w:r w:rsidRPr="009C2E1F">
              <w:rPr>
                <w:rFonts w:eastAsia="Times New Roman"/>
                <w:b/>
                <w:bCs/>
                <w:color w:val="000000"/>
                <w:sz w:val="20"/>
                <w:szCs w:val="20"/>
                <w:lang w:val="vi-VN"/>
              </w:rPr>
              <w:t xml:space="preserve"> in</w:t>
            </w:r>
            <w:r>
              <w:rPr>
                <w:rFonts w:eastAsia="Times New Roman"/>
                <w:b/>
                <w:bCs/>
                <w:color w:val="000000"/>
                <w:sz w:val="20"/>
                <w:szCs w:val="20"/>
                <w:lang w:val="vi-VN"/>
              </w:rPr>
              <w:t xml:space="preserve"> biên lai</w:t>
            </w:r>
          </w:p>
        </w:tc>
        <w:tc>
          <w:tcPr>
            <w:tcW w:w="992" w:type="dxa"/>
            <w:vMerge w:val="restart"/>
            <w:shd w:val="clear" w:color="auto" w:fill="auto"/>
          </w:tcPr>
          <w:p w14:paraId="0A925F7B"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Tổ chức sử dụng biên lai</w:t>
            </w:r>
            <w:r w:rsidRPr="009C2E1F">
              <w:rPr>
                <w:rFonts w:eastAsia="Times New Roman"/>
                <w:b/>
                <w:bCs/>
                <w:color w:val="000000"/>
                <w:sz w:val="20"/>
                <w:szCs w:val="20"/>
              </w:rPr>
              <w:t xml:space="preserve"> điện tử</w:t>
            </w:r>
          </w:p>
        </w:tc>
        <w:tc>
          <w:tcPr>
            <w:tcW w:w="1276" w:type="dxa"/>
            <w:vMerge w:val="restart"/>
          </w:tcPr>
          <w:p w14:paraId="2C6595E0"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Tổ chức mua biên lai của CQT sử dụng</w:t>
            </w:r>
          </w:p>
        </w:tc>
        <w:tc>
          <w:tcPr>
            <w:tcW w:w="1134" w:type="dxa"/>
            <w:vMerge w:val="restart"/>
          </w:tcPr>
          <w:p w14:paraId="503381F3" w14:textId="77777777" w:rsidR="007204EE" w:rsidRPr="009C2E1F" w:rsidRDefault="007204EE" w:rsidP="00AE2A95">
            <w:pPr>
              <w:jc w:val="center"/>
              <w:rPr>
                <w:rFonts w:eastAsia="Times New Roman"/>
                <w:b/>
                <w:bCs/>
                <w:color w:val="000000"/>
                <w:sz w:val="20"/>
                <w:szCs w:val="20"/>
                <w:lang w:val="vi-VN"/>
              </w:rPr>
            </w:pPr>
          </w:p>
          <w:p w14:paraId="630D1D5E"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Tổng số</w:t>
            </w:r>
          </w:p>
        </w:tc>
        <w:tc>
          <w:tcPr>
            <w:tcW w:w="3686" w:type="dxa"/>
            <w:gridSpan w:val="4"/>
            <w:shd w:val="clear" w:color="auto" w:fill="auto"/>
          </w:tcPr>
          <w:p w14:paraId="092C940A" w14:textId="77777777" w:rsidR="007204EE" w:rsidRPr="009C2E1F" w:rsidRDefault="007204EE" w:rsidP="00AE2A95">
            <w:pPr>
              <w:jc w:val="center"/>
              <w:rPr>
                <w:rFonts w:eastAsia="Times New Roman"/>
                <w:b/>
                <w:bCs/>
                <w:color w:val="000000"/>
                <w:sz w:val="20"/>
                <w:szCs w:val="20"/>
                <w:lang w:val="vi-VN"/>
              </w:rPr>
            </w:pPr>
            <w:r w:rsidRPr="009C2E1F">
              <w:rPr>
                <w:rFonts w:eastAsia="Times New Roman"/>
                <w:b/>
                <w:bCs/>
                <w:color w:val="000000"/>
                <w:sz w:val="20"/>
                <w:szCs w:val="20"/>
                <w:lang w:val="vi-VN"/>
              </w:rPr>
              <w:t>Trong đó</w:t>
            </w:r>
          </w:p>
        </w:tc>
      </w:tr>
      <w:tr w:rsidR="007204EE" w:rsidRPr="009C2E1F" w14:paraId="283AA475" w14:textId="77777777" w:rsidTr="00AE2A95">
        <w:trPr>
          <w:trHeight w:val="648"/>
        </w:trPr>
        <w:tc>
          <w:tcPr>
            <w:tcW w:w="709" w:type="dxa"/>
            <w:vMerge/>
            <w:shd w:val="clear" w:color="auto" w:fill="auto"/>
            <w:hideMark/>
          </w:tcPr>
          <w:p w14:paraId="1620A70D" w14:textId="77777777" w:rsidR="007204EE" w:rsidRPr="009C2E1F" w:rsidRDefault="007204EE" w:rsidP="00AE2A95">
            <w:pPr>
              <w:jc w:val="center"/>
              <w:rPr>
                <w:rFonts w:eastAsia="Times New Roman"/>
                <w:b/>
                <w:bCs/>
                <w:color w:val="000000"/>
                <w:sz w:val="20"/>
                <w:szCs w:val="20"/>
                <w:lang w:val="vi-VN"/>
              </w:rPr>
            </w:pPr>
          </w:p>
        </w:tc>
        <w:tc>
          <w:tcPr>
            <w:tcW w:w="1418" w:type="dxa"/>
            <w:vMerge/>
            <w:shd w:val="clear" w:color="auto" w:fill="auto"/>
            <w:hideMark/>
          </w:tcPr>
          <w:p w14:paraId="7DB559BD" w14:textId="77777777" w:rsidR="007204EE" w:rsidRPr="009C2E1F" w:rsidRDefault="007204EE" w:rsidP="00AE2A95">
            <w:pPr>
              <w:jc w:val="center"/>
              <w:rPr>
                <w:rFonts w:eastAsia="Times New Roman"/>
                <w:b/>
                <w:bCs/>
                <w:color w:val="000000"/>
                <w:sz w:val="20"/>
                <w:szCs w:val="20"/>
              </w:rPr>
            </w:pPr>
          </w:p>
        </w:tc>
        <w:tc>
          <w:tcPr>
            <w:tcW w:w="709" w:type="dxa"/>
            <w:vMerge/>
            <w:shd w:val="clear" w:color="auto" w:fill="auto"/>
            <w:hideMark/>
          </w:tcPr>
          <w:p w14:paraId="31409475" w14:textId="77777777" w:rsidR="007204EE" w:rsidRPr="009C2E1F" w:rsidRDefault="007204EE" w:rsidP="00AE2A95">
            <w:pPr>
              <w:jc w:val="center"/>
              <w:rPr>
                <w:rFonts w:eastAsia="Times New Roman"/>
                <w:b/>
                <w:bCs/>
                <w:color w:val="000000"/>
                <w:sz w:val="20"/>
                <w:szCs w:val="20"/>
              </w:rPr>
            </w:pPr>
          </w:p>
        </w:tc>
        <w:tc>
          <w:tcPr>
            <w:tcW w:w="850" w:type="dxa"/>
            <w:vMerge/>
            <w:shd w:val="clear" w:color="auto" w:fill="auto"/>
            <w:hideMark/>
          </w:tcPr>
          <w:p w14:paraId="158C1C75" w14:textId="77777777" w:rsidR="007204EE" w:rsidRPr="009C2E1F" w:rsidRDefault="007204EE" w:rsidP="00AE2A95">
            <w:pPr>
              <w:jc w:val="center"/>
              <w:rPr>
                <w:rFonts w:eastAsia="Times New Roman"/>
                <w:b/>
                <w:bCs/>
                <w:color w:val="000000"/>
                <w:sz w:val="20"/>
                <w:szCs w:val="20"/>
              </w:rPr>
            </w:pPr>
          </w:p>
        </w:tc>
        <w:tc>
          <w:tcPr>
            <w:tcW w:w="992" w:type="dxa"/>
            <w:vMerge/>
            <w:shd w:val="clear" w:color="auto" w:fill="auto"/>
            <w:hideMark/>
          </w:tcPr>
          <w:p w14:paraId="3B2C60B6" w14:textId="77777777" w:rsidR="007204EE" w:rsidRPr="009C2E1F" w:rsidRDefault="007204EE" w:rsidP="00AE2A95">
            <w:pPr>
              <w:jc w:val="center"/>
              <w:rPr>
                <w:rFonts w:eastAsia="Times New Roman"/>
                <w:b/>
                <w:bCs/>
                <w:color w:val="000000"/>
                <w:sz w:val="20"/>
                <w:szCs w:val="20"/>
              </w:rPr>
            </w:pPr>
          </w:p>
        </w:tc>
        <w:tc>
          <w:tcPr>
            <w:tcW w:w="1276" w:type="dxa"/>
            <w:vMerge/>
          </w:tcPr>
          <w:p w14:paraId="30870667" w14:textId="77777777" w:rsidR="007204EE" w:rsidRPr="009C2E1F" w:rsidRDefault="007204EE" w:rsidP="00AE2A95">
            <w:pPr>
              <w:jc w:val="center"/>
              <w:rPr>
                <w:rFonts w:eastAsia="Times New Roman"/>
                <w:b/>
                <w:bCs/>
                <w:color w:val="000000"/>
                <w:sz w:val="20"/>
                <w:szCs w:val="20"/>
                <w:lang w:val="vi-VN"/>
              </w:rPr>
            </w:pPr>
          </w:p>
        </w:tc>
        <w:tc>
          <w:tcPr>
            <w:tcW w:w="1134" w:type="dxa"/>
            <w:vMerge/>
          </w:tcPr>
          <w:p w14:paraId="470D608E" w14:textId="77777777" w:rsidR="007204EE" w:rsidRPr="009C2E1F" w:rsidRDefault="007204EE" w:rsidP="00AE2A95">
            <w:pPr>
              <w:jc w:val="center"/>
              <w:rPr>
                <w:rFonts w:eastAsia="Times New Roman"/>
                <w:b/>
                <w:bCs/>
                <w:color w:val="000000"/>
                <w:sz w:val="20"/>
                <w:szCs w:val="20"/>
                <w:lang w:val="vi-VN"/>
              </w:rPr>
            </w:pPr>
          </w:p>
        </w:tc>
        <w:tc>
          <w:tcPr>
            <w:tcW w:w="992" w:type="dxa"/>
            <w:shd w:val="clear" w:color="auto" w:fill="auto"/>
            <w:hideMark/>
          </w:tcPr>
          <w:p w14:paraId="673DF7D5"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Chứng từ khấu trừ thuế TNCN</w:t>
            </w:r>
          </w:p>
        </w:tc>
        <w:tc>
          <w:tcPr>
            <w:tcW w:w="851" w:type="dxa"/>
            <w:shd w:val="clear" w:color="auto" w:fill="auto"/>
            <w:hideMark/>
          </w:tcPr>
          <w:p w14:paraId="4F5994D3" w14:textId="77777777" w:rsidR="007204EE" w:rsidRPr="009C2E1F" w:rsidRDefault="007204EE" w:rsidP="00AE2A95">
            <w:pPr>
              <w:jc w:val="center"/>
              <w:rPr>
                <w:rFonts w:eastAsia="Times New Roman"/>
                <w:b/>
                <w:bCs/>
                <w:color w:val="000000"/>
                <w:sz w:val="20"/>
                <w:szCs w:val="20"/>
              </w:rPr>
            </w:pPr>
            <w:r>
              <w:rPr>
                <w:rFonts w:eastAsia="Times New Roman"/>
                <w:b/>
                <w:bCs/>
                <w:color w:val="000000"/>
                <w:sz w:val="20"/>
                <w:szCs w:val="20"/>
                <w:lang w:val="vi-VN"/>
              </w:rPr>
              <w:t>Biên lai tự in sử dụng</w:t>
            </w:r>
          </w:p>
        </w:tc>
        <w:tc>
          <w:tcPr>
            <w:tcW w:w="992" w:type="dxa"/>
            <w:shd w:val="clear" w:color="auto" w:fill="auto"/>
            <w:hideMark/>
          </w:tcPr>
          <w:p w14:paraId="3AAF3274"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Biên lai mua của CQT</w:t>
            </w:r>
          </w:p>
        </w:tc>
        <w:tc>
          <w:tcPr>
            <w:tcW w:w="851" w:type="dxa"/>
            <w:shd w:val="clear" w:color="auto" w:fill="auto"/>
            <w:hideMark/>
          </w:tcPr>
          <w:p w14:paraId="6E2F50C6" w14:textId="77777777" w:rsidR="007204EE" w:rsidRPr="009C2E1F" w:rsidRDefault="007204EE" w:rsidP="00AE2A95">
            <w:pPr>
              <w:jc w:val="center"/>
              <w:rPr>
                <w:rFonts w:eastAsia="Times New Roman"/>
                <w:b/>
                <w:bCs/>
                <w:color w:val="000000"/>
                <w:sz w:val="20"/>
                <w:szCs w:val="20"/>
                <w:lang w:val="vi-VN"/>
              </w:rPr>
            </w:pPr>
            <w:r>
              <w:rPr>
                <w:rFonts w:eastAsia="Times New Roman"/>
                <w:b/>
                <w:bCs/>
                <w:color w:val="000000"/>
                <w:sz w:val="20"/>
                <w:szCs w:val="20"/>
                <w:lang w:val="vi-VN"/>
              </w:rPr>
              <w:t>Biên lai điện tử</w:t>
            </w:r>
          </w:p>
        </w:tc>
      </w:tr>
      <w:tr w:rsidR="007204EE" w:rsidRPr="00BF519C" w14:paraId="768EF41B" w14:textId="77777777" w:rsidTr="00AE2A95">
        <w:trPr>
          <w:trHeight w:val="255"/>
        </w:trPr>
        <w:tc>
          <w:tcPr>
            <w:tcW w:w="709" w:type="dxa"/>
            <w:shd w:val="clear" w:color="auto" w:fill="auto"/>
            <w:noWrap/>
            <w:vAlign w:val="bottom"/>
            <w:hideMark/>
          </w:tcPr>
          <w:p w14:paraId="6CC3DEF7"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2016</w:t>
            </w:r>
          </w:p>
        </w:tc>
        <w:tc>
          <w:tcPr>
            <w:tcW w:w="1418" w:type="dxa"/>
            <w:shd w:val="clear" w:color="auto" w:fill="auto"/>
            <w:noWrap/>
            <w:vAlign w:val="bottom"/>
          </w:tcPr>
          <w:p w14:paraId="314D87FE"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62.520</w:t>
            </w:r>
          </w:p>
        </w:tc>
        <w:tc>
          <w:tcPr>
            <w:tcW w:w="709" w:type="dxa"/>
            <w:shd w:val="clear" w:color="auto" w:fill="auto"/>
            <w:noWrap/>
            <w:vAlign w:val="bottom"/>
          </w:tcPr>
          <w:p w14:paraId="0666E23C"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3.835</w:t>
            </w:r>
          </w:p>
        </w:tc>
        <w:tc>
          <w:tcPr>
            <w:tcW w:w="850" w:type="dxa"/>
            <w:shd w:val="clear" w:color="auto" w:fill="auto"/>
            <w:noWrap/>
            <w:vAlign w:val="bottom"/>
          </w:tcPr>
          <w:p w14:paraId="3401CBCC"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215</w:t>
            </w:r>
          </w:p>
        </w:tc>
        <w:tc>
          <w:tcPr>
            <w:tcW w:w="992" w:type="dxa"/>
            <w:shd w:val="clear" w:color="auto" w:fill="auto"/>
            <w:noWrap/>
            <w:vAlign w:val="bottom"/>
          </w:tcPr>
          <w:p w14:paraId="43F42D3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0</w:t>
            </w:r>
          </w:p>
        </w:tc>
        <w:tc>
          <w:tcPr>
            <w:tcW w:w="1276" w:type="dxa"/>
          </w:tcPr>
          <w:p w14:paraId="0976BA13" w14:textId="77777777" w:rsidR="007204EE" w:rsidRPr="009C2E1F" w:rsidRDefault="007204EE" w:rsidP="00AE2A95">
            <w:pPr>
              <w:jc w:val="center"/>
              <w:rPr>
                <w:rFonts w:eastAsia="Times New Roman"/>
                <w:color w:val="000000"/>
                <w:sz w:val="20"/>
                <w:szCs w:val="20"/>
                <w:lang w:val="vi-VN"/>
              </w:rPr>
            </w:pPr>
            <w:r w:rsidRPr="009C2E1F">
              <w:rPr>
                <w:rFonts w:eastAsia="Times New Roman"/>
                <w:color w:val="000000"/>
                <w:sz w:val="20"/>
                <w:szCs w:val="20"/>
                <w:lang w:val="vi-VN"/>
              </w:rPr>
              <w:t>28.457</w:t>
            </w:r>
          </w:p>
        </w:tc>
        <w:tc>
          <w:tcPr>
            <w:tcW w:w="1134" w:type="dxa"/>
            <w:vAlign w:val="bottom"/>
          </w:tcPr>
          <w:p w14:paraId="2ACD1563" w14:textId="77777777" w:rsidR="007204EE" w:rsidRPr="009C2E1F" w:rsidRDefault="007204EE" w:rsidP="00AE2A95">
            <w:pPr>
              <w:jc w:val="center"/>
              <w:rPr>
                <w:rFonts w:eastAsia="Times New Roman"/>
                <w:b/>
                <w:color w:val="000000"/>
                <w:sz w:val="20"/>
                <w:szCs w:val="20"/>
                <w:lang w:val="vi-VN"/>
              </w:rPr>
            </w:pPr>
            <w:r w:rsidRPr="009C2E1F">
              <w:rPr>
                <w:rFonts w:eastAsia="Times New Roman"/>
                <w:b/>
                <w:color w:val="000000"/>
                <w:sz w:val="20"/>
                <w:szCs w:val="20"/>
                <w:lang w:val="vi-VN"/>
              </w:rPr>
              <w:t>74.228</w:t>
            </w:r>
          </w:p>
        </w:tc>
        <w:tc>
          <w:tcPr>
            <w:tcW w:w="992" w:type="dxa"/>
            <w:shd w:val="clear" w:color="auto" w:fill="auto"/>
            <w:noWrap/>
            <w:vAlign w:val="bottom"/>
          </w:tcPr>
          <w:p w14:paraId="18BA506F"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1.566</w:t>
            </w:r>
          </w:p>
        </w:tc>
        <w:tc>
          <w:tcPr>
            <w:tcW w:w="851" w:type="dxa"/>
            <w:shd w:val="clear" w:color="auto" w:fill="auto"/>
            <w:noWrap/>
            <w:vAlign w:val="bottom"/>
          </w:tcPr>
          <w:p w14:paraId="3EAC6128"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33.935</w:t>
            </w:r>
          </w:p>
        </w:tc>
        <w:tc>
          <w:tcPr>
            <w:tcW w:w="992" w:type="dxa"/>
            <w:shd w:val="clear" w:color="auto" w:fill="auto"/>
            <w:noWrap/>
            <w:vAlign w:val="bottom"/>
          </w:tcPr>
          <w:p w14:paraId="76180329"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38.726</w:t>
            </w:r>
          </w:p>
        </w:tc>
        <w:tc>
          <w:tcPr>
            <w:tcW w:w="851" w:type="dxa"/>
            <w:shd w:val="clear" w:color="auto" w:fill="auto"/>
            <w:noWrap/>
            <w:vAlign w:val="bottom"/>
          </w:tcPr>
          <w:p w14:paraId="123E2E9D"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0</w:t>
            </w:r>
          </w:p>
        </w:tc>
      </w:tr>
      <w:tr w:rsidR="007204EE" w:rsidRPr="00BF519C" w14:paraId="2B81A470" w14:textId="77777777" w:rsidTr="00AE2A95">
        <w:trPr>
          <w:trHeight w:val="255"/>
        </w:trPr>
        <w:tc>
          <w:tcPr>
            <w:tcW w:w="709" w:type="dxa"/>
            <w:shd w:val="clear" w:color="auto" w:fill="auto"/>
            <w:noWrap/>
            <w:vAlign w:val="bottom"/>
            <w:hideMark/>
          </w:tcPr>
          <w:p w14:paraId="65379D0D"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2017</w:t>
            </w:r>
          </w:p>
        </w:tc>
        <w:tc>
          <w:tcPr>
            <w:tcW w:w="1418" w:type="dxa"/>
            <w:shd w:val="clear" w:color="auto" w:fill="auto"/>
            <w:noWrap/>
            <w:vAlign w:val="bottom"/>
          </w:tcPr>
          <w:p w14:paraId="2190F5A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60.162</w:t>
            </w:r>
          </w:p>
        </w:tc>
        <w:tc>
          <w:tcPr>
            <w:tcW w:w="709" w:type="dxa"/>
            <w:shd w:val="clear" w:color="auto" w:fill="auto"/>
            <w:noWrap/>
            <w:vAlign w:val="bottom"/>
          </w:tcPr>
          <w:p w14:paraId="512C0FA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3.287</w:t>
            </w:r>
          </w:p>
        </w:tc>
        <w:tc>
          <w:tcPr>
            <w:tcW w:w="850" w:type="dxa"/>
            <w:shd w:val="clear" w:color="auto" w:fill="auto"/>
            <w:noWrap/>
            <w:vAlign w:val="bottom"/>
          </w:tcPr>
          <w:p w14:paraId="22609424"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285</w:t>
            </w:r>
          </w:p>
        </w:tc>
        <w:tc>
          <w:tcPr>
            <w:tcW w:w="992" w:type="dxa"/>
            <w:shd w:val="clear" w:color="auto" w:fill="auto"/>
            <w:noWrap/>
            <w:vAlign w:val="bottom"/>
          </w:tcPr>
          <w:p w14:paraId="6E1FFE32"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w:t>
            </w:r>
          </w:p>
        </w:tc>
        <w:tc>
          <w:tcPr>
            <w:tcW w:w="1276" w:type="dxa"/>
          </w:tcPr>
          <w:p w14:paraId="5C67AB30"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26.367</w:t>
            </w:r>
          </w:p>
        </w:tc>
        <w:tc>
          <w:tcPr>
            <w:tcW w:w="1134" w:type="dxa"/>
            <w:vAlign w:val="bottom"/>
          </w:tcPr>
          <w:p w14:paraId="101F475A" w14:textId="77777777" w:rsidR="007204EE" w:rsidRPr="009C2E1F" w:rsidRDefault="007204EE" w:rsidP="00AE2A95">
            <w:pPr>
              <w:jc w:val="center"/>
              <w:rPr>
                <w:rFonts w:eastAsia="Times New Roman"/>
                <w:b/>
                <w:color w:val="000000"/>
                <w:sz w:val="20"/>
                <w:szCs w:val="20"/>
                <w:lang w:val="vi-VN"/>
              </w:rPr>
            </w:pPr>
            <w:r>
              <w:rPr>
                <w:rFonts w:eastAsia="Times New Roman"/>
                <w:b/>
                <w:color w:val="000000"/>
                <w:sz w:val="20"/>
                <w:szCs w:val="20"/>
                <w:lang w:val="vi-VN"/>
              </w:rPr>
              <w:t>38.930</w:t>
            </w:r>
          </w:p>
        </w:tc>
        <w:tc>
          <w:tcPr>
            <w:tcW w:w="992" w:type="dxa"/>
            <w:shd w:val="clear" w:color="auto" w:fill="auto"/>
            <w:noWrap/>
            <w:vAlign w:val="bottom"/>
          </w:tcPr>
          <w:p w14:paraId="1B01054A"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1.093</w:t>
            </w:r>
          </w:p>
        </w:tc>
        <w:tc>
          <w:tcPr>
            <w:tcW w:w="851" w:type="dxa"/>
            <w:shd w:val="clear" w:color="auto" w:fill="auto"/>
            <w:noWrap/>
            <w:vAlign w:val="bottom"/>
          </w:tcPr>
          <w:p w14:paraId="1134A733"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4.313</w:t>
            </w:r>
          </w:p>
        </w:tc>
        <w:tc>
          <w:tcPr>
            <w:tcW w:w="992" w:type="dxa"/>
            <w:shd w:val="clear" w:color="auto" w:fill="auto"/>
            <w:noWrap/>
            <w:vAlign w:val="bottom"/>
          </w:tcPr>
          <w:p w14:paraId="2BFF15A9"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33.513</w:t>
            </w:r>
          </w:p>
        </w:tc>
        <w:tc>
          <w:tcPr>
            <w:tcW w:w="851" w:type="dxa"/>
            <w:shd w:val="clear" w:color="auto" w:fill="auto"/>
            <w:noWrap/>
            <w:vAlign w:val="bottom"/>
          </w:tcPr>
          <w:p w14:paraId="73EECED5"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9</w:t>
            </w:r>
          </w:p>
        </w:tc>
      </w:tr>
      <w:tr w:rsidR="007204EE" w:rsidRPr="00BF519C" w14:paraId="05424100" w14:textId="77777777" w:rsidTr="00AE2A95">
        <w:trPr>
          <w:trHeight w:val="255"/>
        </w:trPr>
        <w:tc>
          <w:tcPr>
            <w:tcW w:w="709" w:type="dxa"/>
            <w:shd w:val="clear" w:color="auto" w:fill="auto"/>
            <w:noWrap/>
            <w:vAlign w:val="bottom"/>
          </w:tcPr>
          <w:p w14:paraId="278E1543"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2018</w:t>
            </w:r>
          </w:p>
        </w:tc>
        <w:tc>
          <w:tcPr>
            <w:tcW w:w="1418" w:type="dxa"/>
            <w:shd w:val="clear" w:color="auto" w:fill="auto"/>
            <w:noWrap/>
            <w:vAlign w:val="bottom"/>
          </w:tcPr>
          <w:p w14:paraId="10D26424"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56.513</w:t>
            </w:r>
          </w:p>
        </w:tc>
        <w:tc>
          <w:tcPr>
            <w:tcW w:w="709" w:type="dxa"/>
            <w:shd w:val="clear" w:color="auto" w:fill="auto"/>
            <w:noWrap/>
            <w:vAlign w:val="bottom"/>
          </w:tcPr>
          <w:p w14:paraId="7258606A"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2.511</w:t>
            </w:r>
          </w:p>
        </w:tc>
        <w:tc>
          <w:tcPr>
            <w:tcW w:w="850" w:type="dxa"/>
            <w:shd w:val="clear" w:color="auto" w:fill="auto"/>
            <w:noWrap/>
            <w:vAlign w:val="bottom"/>
          </w:tcPr>
          <w:p w14:paraId="4377AA35"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339</w:t>
            </w:r>
          </w:p>
        </w:tc>
        <w:tc>
          <w:tcPr>
            <w:tcW w:w="992" w:type="dxa"/>
            <w:shd w:val="clear" w:color="auto" w:fill="auto"/>
            <w:noWrap/>
            <w:vAlign w:val="bottom"/>
          </w:tcPr>
          <w:p w14:paraId="60C99C14"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31</w:t>
            </w:r>
          </w:p>
        </w:tc>
        <w:tc>
          <w:tcPr>
            <w:tcW w:w="1276" w:type="dxa"/>
          </w:tcPr>
          <w:p w14:paraId="3175898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16.924</w:t>
            </w:r>
          </w:p>
        </w:tc>
        <w:tc>
          <w:tcPr>
            <w:tcW w:w="1134" w:type="dxa"/>
          </w:tcPr>
          <w:p w14:paraId="0529C6DB" w14:textId="77777777" w:rsidR="007204EE" w:rsidRPr="009C2E1F" w:rsidRDefault="007204EE" w:rsidP="00AE2A95">
            <w:pPr>
              <w:jc w:val="center"/>
              <w:rPr>
                <w:rFonts w:eastAsia="Times New Roman"/>
                <w:b/>
                <w:color w:val="000000"/>
                <w:sz w:val="20"/>
                <w:szCs w:val="20"/>
                <w:lang w:val="vi-VN"/>
              </w:rPr>
            </w:pPr>
            <w:r>
              <w:rPr>
                <w:rFonts w:eastAsia="Times New Roman"/>
                <w:b/>
                <w:color w:val="000000"/>
                <w:sz w:val="20"/>
                <w:szCs w:val="20"/>
                <w:lang w:val="vi-VN"/>
              </w:rPr>
              <w:t>30.834</w:t>
            </w:r>
          </w:p>
        </w:tc>
        <w:tc>
          <w:tcPr>
            <w:tcW w:w="992" w:type="dxa"/>
            <w:shd w:val="clear" w:color="auto" w:fill="auto"/>
            <w:noWrap/>
            <w:vAlign w:val="bottom"/>
          </w:tcPr>
          <w:p w14:paraId="2EBE65A0"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527</w:t>
            </w:r>
          </w:p>
        </w:tc>
        <w:tc>
          <w:tcPr>
            <w:tcW w:w="851" w:type="dxa"/>
            <w:shd w:val="clear" w:color="auto" w:fill="auto"/>
            <w:noWrap/>
            <w:vAlign w:val="bottom"/>
          </w:tcPr>
          <w:p w14:paraId="594D691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5.177</w:t>
            </w:r>
          </w:p>
        </w:tc>
        <w:tc>
          <w:tcPr>
            <w:tcW w:w="992" w:type="dxa"/>
            <w:shd w:val="clear" w:color="auto" w:fill="auto"/>
            <w:noWrap/>
            <w:vAlign w:val="bottom"/>
          </w:tcPr>
          <w:p w14:paraId="09C57984"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24.966</w:t>
            </w:r>
          </w:p>
        </w:tc>
        <w:tc>
          <w:tcPr>
            <w:tcW w:w="851" w:type="dxa"/>
            <w:shd w:val="clear" w:color="auto" w:fill="auto"/>
            <w:noWrap/>
            <w:vAlign w:val="bottom"/>
          </w:tcPr>
          <w:p w14:paraId="77D36E7A"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163</w:t>
            </w:r>
          </w:p>
        </w:tc>
      </w:tr>
      <w:tr w:rsidR="007204EE" w:rsidRPr="00BF519C" w14:paraId="35B04F73" w14:textId="77777777" w:rsidTr="00AE2A95">
        <w:trPr>
          <w:trHeight w:val="255"/>
        </w:trPr>
        <w:tc>
          <w:tcPr>
            <w:tcW w:w="709" w:type="dxa"/>
            <w:shd w:val="clear" w:color="auto" w:fill="auto"/>
            <w:noWrap/>
            <w:vAlign w:val="bottom"/>
          </w:tcPr>
          <w:p w14:paraId="59C44815" w14:textId="77777777" w:rsidR="007204EE" w:rsidRPr="009C2E1F" w:rsidRDefault="007204EE" w:rsidP="00AE2A95">
            <w:pPr>
              <w:jc w:val="left"/>
              <w:rPr>
                <w:rFonts w:eastAsia="Times New Roman"/>
                <w:color w:val="000000"/>
                <w:sz w:val="20"/>
                <w:szCs w:val="20"/>
              </w:rPr>
            </w:pPr>
            <w:r w:rsidRPr="009C2E1F">
              <w:rPr>
                <w:rFonts w:eastAsia="Times New Roman"/>
                <w:color w:val="000000"/>
                <w:sz w:val="20"/>
                <w:szCs w:val="20"/>
              </w:rPr>
              <w:t>2019</w:t>
            </w:r>
          </w:p>
        </w:tc>
        <w:tc>
          <w:tcPr>
            <w:tcW w:w="1418" w:type="dxa"/>
            <w:shd w:val="clear" w:color="auto" w:fill="auto"/>
            <w:noWrap/>
            <w:vAlign w:val="bottom"/>
          </w:tcPr>
          <w:p w14:paraId="5A0E387A"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53.891</w:t>
            </w:r>
          </w:p>
        </w:tc>
        <w:tc>
          <w:tcPr>
            <w:tcW w:w="709" w:type="dxa"/>
            <w:shd w:val="clear" w:color="auto" w:fill="auto"/>
            <w:noWrap/>
            <w:vAlign w:val="bottom"/>
          </w:tcPr>
          <w:p w14:paraId="6E997AE8"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2.398</w:t>
            </w:r>
          </w:p>
        </w:tc>
        <w:tc>
          <w:tcPr>
            <w:tcW w:w="850" w:type="dxa"/>
            <w:shd w:val="clear" w:color="auto" w:fill="auto"/>
            <w:noWrap/>
            <w:vAlign w:val="bottom"/>
          </w:tcPr>
          <w:p w14:paraId="110D074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398</w:t>
            </w:r>
          </w:p>
        </w:tc>
        <w:tc>
          <w:tcPr>
            <w:tcW w:w="992" w:type="dxa"/>
            <w:shd w:val="clear" w:color="auto" w:fill="auto"/>
            <w:noWrap/>
            <w:vAlign w:val="bottom"/>
          </w:tcPr>
          <w:p w14:paraId="3BDCDEF9"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190</w:t>
            </w:r>
          </w:p>
        </w:tc>
        <w:tc>
          <w:tcPr>
            <w:tcW w:w="1276" w:type="dxa"/>
          </w:tcPr>
          <w:p w14:paraId="2362C86E"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15.579</w:t>
            </w:r>
          </w:p>
        </w:tc>
        <w:tc>
          <w:tcPr>
            <w:tcW w:w="1134" w:type="dxa"/>
          </w:tcPr>
          <w:p w14:paraId="1FAFF2DD" w14:textId="77777777" w:rsidR="007204EE" w:rsidRPr="009C2E1F" w:rsidRDefault="007204EE" w:rsidP="00AE2A95">
            <w:pPr>
              <w:jc w:val="center"/>
              <w:rPr>
                <w:rFonts w:eastAsia="Times New Roman"/>
                <w:b/>
                <w:color w:val="000000"/>
                <w:sz w:val="20"/>
                <w:szCs w:val="20"/>
                <w:lang w:val="vi-VN"/>
              </w:rPr>
            </w:pPr>
            <w:r>
              <w:rPr>
                <w:rFonts w:eastAsia="Times New Roman"/>
                <w:b/>
                <w:color w:val="000000"/>
                <w:sz w:val="20"/>
                <w:szCs w:val="20"/>
                <w:lang w:val="vi-VN"/>
              </w:rPr>
              <w:t>33.339</w:t>
            </w:r>
          </w:p>
        </w:tc>
        <w:tc>
          <w:tcPr>
            <w:tcW w:w="992" w:type="dxa"/>
            <w:shd w:val="clear" w:color="auto" w:fill="auto"/>
            <w:noWrap/>
            <w:vAlign w:val="bottom"/>
          </w:tcPr>
          <w:p w14:paraId="3C04C607"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39</w:t>
            </w:r>
          </w:p>
        </w:tc>
        <w:tc>
          <w:tcPr>
            <w:tcW w:w="851" w:type="dxa"/>
            <w:shd w:val="clear" w:color="auto" w:fill="auto"/>
            <w:noWrap/>
            <w:vAlign w:val="bottom"/>
          </w:tcPr>
          <w:p w14:paraId="1E2DC7CC"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8.542</w:t>
            </w:r>
          </w:p>
        </w:tc>
        <w:tc>
          <w:tcPr>
            <w:tcW w:w="992" w:type="dxa"/>
            <w:shd w:val="clear" w:color="auto" w:fill="auto"/>
            <w:noWrap/>
            <w:vAlign w:val="bottom"/>
          </w:tcPr>
          <w:p w14:paraId="5D569B00"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21.937</w:t>
            </w:r>
          </w:p>
        </w:tc>
        <w:tc>
          <w:tcPr>
            <w:tcW w:w="851" w:type="dxa"/>
            <w:shd w:val="clear" w:color="auto" w:fill="auto"/>
            <w:noWrap/>
            <w:vAlign w:val="bottom"/>
          </w:tcPr>
          <w:p w14:paraId="5E852A30" w14:textId="77777777" w:rsidR="007204EE" w:rsidRPr="009C2E1F" w:rsidRDefault="007204EE" w:rsidP="00AE2A95">
            <w:pPr>
              <w:jc w:val="center"/>
              <w:rPr>
                <w:rFonts w:eastAsia="Times New Roman"/>
                <w:color w:val="000000"/>
                <w:sz w:val="20"/>
                <w:szCs w:val="20"/>
                <w:lang w:val="vi-VN"/>
              </w:rPr>
            </w:pPr>
            <w:r>
              <w:rPr>
                <w:rFonts w:eastAsia="Times New Roman"/>
                <w:color w:val="000000"/>
                <w:sz w:val="20"/>
                <w:szCs w:val="20"/>
                <w:lang w:val="vi-VN"/>
              </w:rPr>
              <w:t>2.819</w:t>
            </w:r>
          </w:p>
        </w:tc>
      </w:tr>
    </w:tbl>
    <w:p w14:paraId="47E4CAB7" w14:textId="77777777" w:rsidR="007204EE" w:rsidRDefault="007204EE" w:rsidP="007204EE">
      <w:pPr>
        <w:widowControl w:val="0"/>
        <w:ind w:firstLine="720"/>
        <w:rPr>
          <w:color w:val="000000"/>
          <w:szCs w:val="28"/>
        </w:rPr>
      </w:pPr>
    </w:p>
    <w:p w14:paraId="2F41A373" w14:textId="77777777" w:rsidR="007204EE" w:rsidRPr="00AE2A95" w:rsidRDefault="007204EE" w:rsidP="007204EE">
      <w:pPr>
        <w:widowControl w:val="0"/>
        <w:spacing w:before="120" w:after="120"/>
        <w:ind w:firstLine="720"/>
        <w:rPr>
          <w:b/>
          <w:i/>
          <w:lang w:val="vi-VN"/>
        </w:rPr>
      </w:pPr>
      <w:r>
        <w:rPr>
          <w:b/>
          <w:i/>
        </w:rPr>
        <w:t>(</w:t>
      </w:r>
      <w:r w:rsidRPr="00AE2A95">
        <w:rPr>
          <w:b/>
          <w:i/>
        </w:rPr>
        <w:t>3</w:t>
      </w:r>
      <w:r>
        <w:rPr>
          <w:b/>
          <w:i/>
        </w:rPr>
        <w:t xml:space="preserve">) </w:t>
      </w:r>
      <w:r w:rsidRPr="00AE2A95">
        <w:rPr>
          <w:b/>
          <w:i/>
          <w:lang w:val="vi-VN"/>
        </w:rPr>
        <w:t>Đánh giá việc quản lý sử dụng chứng từ</w:t>
      </w:r>
    </w:p>
    <w:p w14:paraId="04284BDF" w14:textId="77777777" w:rsidR="007204EE" w:rsidRDefault="007204EE" w:rsidP="007204EE">
      <w:pPr>
        <w:widowControl w:val="0"/>
        <w:spacing w:before="120" w:after="120"/>
        <w:ind w:firstLine="720"/>
        <w:rPr>
          <w:lang w:val="vi-VN"/>
        </w:rPr>
      </w:pPr>
      <w:r w:rsidRPr="00AE2A95">
        <w:rPr>
          <w:lang w:val="vi-VN"/>
        </w:rPr>
        <w:t xml:space="preserve">Chứng từ khấu trừ thuế là giấy tờ chứng minh tổ chức chi trả thu nhập đã khấu trừ thuế thu nhập của cá nhân và phải có trách nhiệm nộp vào ngân sách nhà nước. Triển khai quy định này, các tổ chức chi trả thu nhập trên cả nước đã lập chứng từ khấu trừ thuế để cấp cho các cá nhân. Quy định này tạo thuận lợi cho các cá nhân khi chứng minh đã hoàn thành nghĩa vụ nộp thuế TNCN thông qua tổ chức khấu trừ thuế. </w:t>
      </w:r>
    </w:p>
    <w:p w14:paraId="18F35C5E" w14:textId="77777777" w:rsidR="007204EE" w:rsidRPr="00AE2A95" w:rsidRDefault="007204EE" w:rsidP="007204EE">
      <w:pPr>
        <w:widowControl w:val="0"/>
        <w:spacing w:before="120" w:after="120"/>
        <w:ind w:firstLine="720"/>
        <w:rPr>
          <w:lang w:val="vi-VN"/>
        </w:rPr>
      </w:pPr>
      <w:r>
        <w:rPr>
          <w:lang w:val="vi-VN"/>
        </w:rPr>
        <w:t>Qua kết quả trên cho thấy việc quản lý chứng từ thuế về cơ bản đã đi vào nề nếp, ổn định. Tuy nhiên, tình hình trên cho thấy việc áp dụng chứng từ điện tử còn thấp, cần phải mở rộng phạm vi áp dụng và cải tiến quy trình</w:t>
      </w:r>
      <w:r>
        <w:t xml:space="preserve"> qu</w:t>
      </w:r>
      <w:r w:rsidRPr="00FD4935">
        <w:t>ản</w:t>
      </w:r>
      <w:r>
        <w:t xml:space="preserve"> l</w:t>
      </w:r>
      <w:r w:rsidRPr="00FD4935">
        <w:t>ý</w:t>
      </w:r>
      <w:r>
        <w:t xml:space="preserve"> ch</w:t>
      </w:r>
      <w:r w:rsidRPr="00FD4935">
        <w:t>ứng</w:t>
      </w:r>
      <w:r>
        <w:t xml:space="preserve"> t</w:t>
      </w:r>
      <w:r w:rsidRPr="00FD4935">
        <w:t>ừ</w:t>
      </w:r>
      <w:r>
        <w:t xml:space="preserve"> theo ph</w:t>
      </w:r>
      <w:r w:rsidRPr="00FD4935">
        <w:t>ươ</w:t>
      </w:r>
      <w:r>
        <w:t>ng th</w:t>
      </w:r>
      <w:r w:rsidRPr="00FD4935">
        <w:t>ức</w:t>
      </w:r>
      <w:r>
        <w:t xml:space="preserve"> </w:t>
      </w:r>
      <w:r w:rsidRPr="00FD4935">
        <w:t>đ</w:t>
      </w:r>
      <w:r>
        <w:t>i</w:t>
      </w:r>
      <w:r w:rsidRPr="00FD4935">
        <w:t>ện</w:t>
      </w:r>
      <w:r>
        <w:t xml:space="preserve"> t</w:t>
      </w:r>
      <w:r w:rsidRPr="00FD4935">
        <w:t>ử</w:t>
      </w:r>
      <w:r>
        <w:t xml:space="preserve"> </w:t>
      </w:r>
      <w:r w:rsidRPr="0041265B">
        <w:t xml:space="preserve">cho </w:t>
      </w:r>
      <w:r w:rsidRPr="007C670C">
        <w:rPr>
          <w:lang w:val="vi-VN"/>
        </w:rPr>
        <w:t>phù h</w:t>
      </w:r>
      <w:r w:rsidRPr="00B30599">
        <w:rPr>
          <w:lang w:val="vi-VN"/>
        </w:rPr>
        <w:t>ợp.</w:t>
      </w:r>
    </w:p>
    <w:p w14:paraId="4B2B3806" w14:textId="77777777" w:rsidR="007204EE" w:rsidRPr="00951C59" w:rsidRDefault="007204EE" w:rsidP="007204EE">
      <w:pPr>
        <w:widowControl w:val="0"/>
        <w:spacing w:before="120" w:after="120"/>
        <w:ind w:firstLine="720"/>
        <w:rPr>
          <w:b/>
        </w:rPr>
      </w:pPr>
      <w:r w:rsidRPr="00951C59">
        <w:rPr>
          <w:b/>
        </w:rPr>
        <w:t>II. Sự cần thiết xây dựng Nghị định quy định về hóa đơn, chứng từ</w:t>
      </w:r>
    </w:p>
    <w:p w14:paraId="541108A8" w14:textId="77777777" w:rsidR="007204EE" w:rsidRDefault="007204EE" w:rsidP="007204EE">
      <w:pPr>
        <w:pStyle w:val="BodyTextIndent"/>
        <w:widowControl w:val="0"/>
        <w:spacing w:before="120"/>
        <w:ind w:left="0" w:firstLine="720"/>
        <w:rPr>
          <w:szCs w:val="28"/>
          <w:lang w:val="nl-NL"/>
        </w:rPr>
      </w:pPr>
      <w:r>
        <w:rPr>
          <w:szCs w:val="28"/>
          <w:lang w:val="nl-NL"/>
        </w:rPr>
        <w:t>Vi</w:t>
      </w:r>
      <w:r w:rsidRPr="00C5366E">
        <w:rPr>
          <w:szCs w:val="28"/>
          <w:lang w:val="nl-NL"/>
        </w:rPr>
        <w:t>ệc</w:t>
      </w:r>
      <w:r>
        <w:rPr>
          <w:szCs w:val="28"/>
          <w:lang w:val="nl-NL"/>
        </w:rPr>
        <w:t xml:space="preserve"> x</w:t>
      </w:r>
      <w:r w:rsidRPr="005D1990">
        <w:rPr>
          <w:szCs w:val="28"/>
          <w:lang w:val="nl-NL"/>
        </w:rPr>
        <w:t xml:space="preserve">ây dựng Nghị định </w:t>
      </w:r>
      <w:r w:rsidRPr="00C5270A">
        <w:t xml:space="preserve">quy định về hóa đơn, chứng từ </w:t>
      </w:r>
      <w:r w:rsidRPr="005D1990">
        <w:rPr>
          <w:szCs w:val="28"/>
          <w:lang w:val="nl-NL"/>
        </w:rPr>
        <w:t>nhằm</w:t>
      </w:r>
      <w:r>
        <w:rPr>
          <w:szCs w:val="28"/>
          <w:lang w:val="nl-NL"/>
        </w:rPr>
        <w:t>:</w:t>
      </w:r>
    </w:p>
    <w:p w14:paraId="2C860400" w14:textId="77777777" w:rsidR="007204EE" w:rsidRDefault="007204EE" w:rsidP="007204EE">
      <w:pPr>
        <w:pStyle w:val="BodyTextIndent"/>
        <w:widowControl w:val="0"/>
        <w:spacing w:before="120"/>
        <w:ind w:left="0" w:firstLine="720"/>
        <w:rPr>
          <w:szCs w:val="28"/>
          <w:lang w:val="nl-NL"/>
        </w:rPr>
      </w:pPr>
      <w:r>
        <w:rPr>
          <w:szCs w:val="28"/>
          <w:lang w:val="nl-NL"/>
        </w:rPr>
        <w:t>-</w:t>
      </w:r>
      <w:r w:rsidRPr="005D1990">
        <w:rPr>
          <w:szCs w:val="28"/>
          <w:lang w:val="nl-NL"/>
        </w:rPr>
        <w:t xml:space="preserve"> </w:t>
      </w:r>
      <w:r>
        <w:rPr>
          <w:szCs w:val="28"/>
          <w:lang w:val="nl-NL"/>
        </w:rPr>
        <w:t>T</w:t>
      </w:r>
      <w:r w:rsidRPr="005D1990">
        <w:rPr>
          <w:szCs w:val="28"/>
          <w:lang w:val="nl-NL"/>
        </w:rPr>
        <w:t xml:space="preserve">ạo cơ sở </w:t>
      </w:r>
      <w:r>
        <w:rPr>
          <w:szCs w:val="28"/>
          <w:lang w:val="nl-NL"/>
        </w:rPr>
        <w:t>qu</w:t>
      </w:r>
      <w:r w:rsidRPr="005F2797">
        <w:rPr>
          <w:szCs w:val="28"/>
          <w:lang w:val="nl-NL"/>
        </w:rPr>
        <w:t>ản</w:t>
      </w:r>
      <w:r>
        <w:rPr>
          <w:szCs w:val="28"/>
          <w:lang w:val="nl-NL"/>
        </w:rPr>
        <w:t xml:space="preserve"> l</w:t>
      </w:r>
      <w:r w:rsidRPr="005F2797">
        <w:rPr>
          <w:szCs w:val="28"/>
          <w:lang w:val="nl-NL"/>
        </w:rPr>
        <w:t>ý</w:t>
      </w:r>
      <w:r>
        <w:rPr>
          <w:szCs w:val="28"/>
          <w:lang w:val="nl-NL"/>
        </w:rPr>
        <w:t xml:space="preserve"> th</w:t>
      </w:r>
      <w:r w:rsidRPr="005F2797">
        <w:rPr>
          <w:szCs w:val="28"/>
          <w:lang w:val="nl-NL"/>
        </w:rPr>
        <w:t>ống</w:t>
      </w:r>
      <w:r>
        <w:rPr>
          <w:szCs w:val="28"/>
          <w:lang w:val="nl-NL"/>
        </w:rPr>
        <w:t xml:space="preserve"> nh</w:t>
      </w:r>
      <w:r w:rsidRPr="005F2797">
        <w:rPr>
          <w:szCs w:val="28"/>
          <w:lang w:val="nl-NL"/>
        </w:rPr>
        <w:t>ấ</w:t>
      </w:r>
      <w:r>
        <w:rPr>
          <w:szCs w:val="28"/>
          <w:lang w:val="nl-NL"/>
        </w:rPr>
        <w:t>t v</w:t>
      </w:r>
      <w:r w:rsidRPr="005F2797">
        <w:rPr>
          <w:szCs w:val="28"/>
          <w:lang w:val="nl-NL"/>
        </w:rPr>
        <w:t>ề</w:t>
      </w:r>
      <w:r>
        <w:rPr>
          <w:szCs w:val="28"/>
          <w:lang w:val="nl-NL"/>
        </w:rPr>
        <w:t xml:space="preserve"> h</w:t>
      </w:r>
      <w:r w:rsidRPr="005F2797">
        <w:rPr>
          <w:szCs w:val="28"/>
          <w:lang w:val="nl-NL"/>
        </w:rPr>
        <w:t>ó</w:t>
      </w:r>
      <w:r>
        <w:rPr>
          <w:szCs w:val="28"/>
          <w:lang w:val="nl-NL"/>
        </w:rPr>
        <w:t xml:space="preserve">a </w:t>
      </w:r>
      <w:r w:rsidRPr="005F2797">
        <w:rPr>
          <w:szCs w:val="28"/>
          <w:lang w:val="nl-NL"/>
        </w:rPr>
        <w:t>đơ</w:t>
      </w:r>
      <w:r>
        <w:rPr>
          <w:szCs w:val="28"/>
          <w:lang w:val="nl-NL"/>
        </w:rPr>
        <w:t>n, ch</w:t>
      </w:r>
      <w:r w:rsidRPr="005F2797">
        <w:rPr>
          <w:szCs w:val="28"/>
          <w:lang w:val="nl-NL"/>
        </w:rPr>
        <w:t>ứng</w:t>
      </w:r>
      <w:r>
        <w:rPr>
          <w:szCs w:val="28"/>
          <w:lang w:val="nl-NL"/>
        </w:rPr>
        <w:t xml:space="preserve"> t</w:t>
      </w:r>
      <w:r w:rsidRPr="005F2797">
        <w:rPr>
          <w:szCs w:val="28"/>
          <w:lang w:val="nl-NL"/>
        </w:rPr>
        <w:t>ừ</w:t>
      </w:r>
      <w:r>
        <w:rPr>
          <w:szCs w:val="28"/>
          <w:lang w:val="nl-NL"/>
        </w:rPr>
        <w:t xml:space="preserve"> t</w:t>
      </w:r>
      <w:r w:rsidRPr="005F2797">
        <w:rPr>
          <w:szCs w:val="28"/>
          <w:lang w:val="nl-NL"/>
        </w:rPr>
        <w:t>ạo</w:t>
      </w:r>
      <w:r>
        <w:rPr>
          <w:szCs w:val="28"/>
          <w:lang w:val="nl-NL"/>
        </w:rPr>
        <w:t xml:space="preserve"> </w:t>
      </w:r>
      <w:r w:rsidRPr="005F2797">
        <w:rPr>
          <w:szCs w:val="28"/>
          <w:lang w:val="nl-NL"/>
        </w:rPr>
        <w:t>đ</w:t>
      </w:r>
      <w:r>
        <w:rPr>
          <w:szCs w:val="28"/>
          <w:lang w:val="nl-NL"/>
        </w:rPr>
        <w:t>i</w:t>
      </w:r>
      <w:r w:rsidRPr="005F2797">
        <w:rPr>
          <w:szCs w:val="28"/>
          <w:lang w:val="nl-NL"/>
        </w:rPr>
        <w:t>ề</w:t>
      </w:r>
      <w:r>
        <w:rPr>
          <w:szCs w:val="28"/>
          <w:lang w:val="nl-NL"/>
        </w:rPr>
        <w:t>u ki</w:t>
      </w:r>
      <w:r w:rsidRPr="005F2797">
        <w:rPr>
          <w:szCs w:val="28"/>
          <w:lang w:val="nl-NL"/>
        </w:rPr>
        <w:t>ện</w:t>
      </w:r>
      <w:r>
        <w:rPr>
          <w:szCs w:val="28"/>
          <w:lang w:val="nl-NL"/>
        </w:rPr>
        <w:t xml:space="preserve"> </w:t>
      </w:r>
      <w:r w:rsidRPr="005F2797">
        <w:rPr>
          <w:szCs w:val="28"/>
          <w:lang w:val="nl-NL"/>
        </w:rPr>
        <w:t>á</w:t>
      </w:r>
      <w:r>
        <w:rPr>
          <w:szCs w:val="28"/>
          <w:lang w:val="nl-NL"/>
        </w:rPr>
        <w:t>p d</w:t>
      </w:r>
      <w:r w:rsidRPr="005F2797">
        <w:rPr>
          <w:szCs w:val="28"/>
          <w:lang w:val="nl-NL"/>
        </w:rPr>
        <w:t>ụng</w:t>
      </w:r>
      <w:r>
        <w:rPr>
          <w:szCs w:val="28"/>
          <w:lang w:val="nl-NL"/>
        </w:rPr>
        <w:t xml:space="preserve"> c</w:t>
      </w:r>
      <w:r w:rsidRPr="005F2797">
        <w:rPr>
          <w:szCs w:val="28"/>
          <w:lang w:val="nl-NL"/>
        </w:rPr>
        <w:t>ô</w:t>
      </w:r>
      <w:r>
        <w:rPr>
          <w:szCs w:val="28"/>
          <w:lang w:val="nl-NL"/>
        </w:rPr>
        <w:t>ng ngh</w:t>
      </w:r>
      <w:r w:rsidRPr="005F2797">
        <w:rPr>
          <w:szCs w:val="28"/>
          <w:lang w:val="nl-NL"/>
        </w:rPr>
        <w:t>ệ</w:t>
      </w:r>
      <w:r>
        <w:rPr>
          <w:szCs w:val="28"/>
          <w:lang w:val="nl-NL"/>
        </w:rPr>
        <w:t xml:space="preserve"> 4.0 trong c</w:t>
      </w:r>
      <w:r w:rsidRPr="005F2797">
        <w:rPr>
          <w:szCs w:val="28"/>
          <w:lang w:val="nl-NL"/>
        </w:rPr>
        <w:t>ô</w:t>
      </w:r>
      <w:r>
        <w:rPr>
          <w:szCs w:val="28"/>
          <w:lang w:val="nl-NL"/>
        </w:rPr>
        <w:t>ng t</w:t>
      </w:r>
      <w:r w:rsidRPr="005F2797">
        <w:rPr>
          <w:szCs w:val="28"/>
          <w:lang w:val="nl-NL"/>
        </w:rPr>
        <w:t>á</w:t>
      </w:r>
      <w:r>
        <w:rPr>
          <w:szCs w:val="28"/>
          <w:lang w:val="nl-NL"/>
        </w:rPr>
        <w:t>c qu</w:t>
      </w:r>
      <w:r w:rsidRPr="005F2797">
        <w:rPr>
          <w:szCs w:val="28"/>
          <w:lang w:val="nl-NL"/>
        </w:rPr>
        <w:t>ản</w:t>
      </w:r>
      <w:r>
        <w:rPr>
          <w:szCs w:val="28"/>
          <w:lang w:val="nl-NL"/>
        </w:rPr>
        <w:t xml:space="preserve"> l</w:t>
      </w:r>
      <w:r w:rsidRPr="005F2797">
        <w:rPr>
          <w:szCs w:val="28"/>
          <w:lang w:val="nl-NL"/>
        </w:rPr>
        <w:t>ý</w:t>
      </w:r>
      <w:r>
        <w:rPr>
          <w:szCs w:val="28"/>
          <w:lang w:val="nl-NL"/>
        </w:rPr>
        <w:t xml:space="preserve"> thu</w:t>
      </w:r>
      <w:r w:rsidRPr="005F2797">
        <w:rPr>
          <w:szCs w:val="28"/>
          <w:lang w:val="nl-NL"/>
        </w:rPr>
        <w:t>ế</w:t>
      </w:r>
      <w:r>
        <w:rPr>
          <w:szCs w:val="28"/>
          <w:lang w:val="nl-NL"/>
        </w:rPr>
        <w:t>, c</w:t>
      </w:r>
      <w:r w:rsidRPr="005F2797">
        <w:rPr>
          <w:szCs w:val="28"/>
          <w:lang w:val="nl-NL"/>
        </w:rPr>
        <w:t>ả</w:t>
      </w:r>
      <w:r>
        <w:rPr>
          <w:szCs w:val="28"/>
          <w:lang w:val="nl-NL"/>
        </w:rPr>
        <w:t>i c</w:t>
      </w:r>
      <w:r w:rsidRPr="005F2797">
        <w:rPr>
          <w:szCs w:val="28"/>
          <w:lang w:val="nl-NL"/>
        </w:rPr>
        <w:t>á</w:t>
      </w:r>
      <w:r>
        <w:rPr>
          <w:szCs w:val="28"/>
          <w:lang w:val="nl-NL"/>
        </w:rPr>
        <w:t>ch th</w:t>
      </w:r>
      <w:r w:rsidRPr="005F2797">
        <w:rPr>
          <w:szCs w:val="28"/>
          <w:lang w:val="nl-NL"/>
        </w:rPr>
        <w:t>ủ</w:t>
      </w:r>
      <w:r>
        <w:rPr>
          <w:szCs w:val="28"/>
          <w:lang w:val="nl-NL"/>
        </w:rPr>
        <w:t xml:space="preserve"> t</w:t>
      </w:r>
      <w:r w:rsidRPr="005F2797">
        <w:rPr>
          <w:szCs w:val="28"/>
          <w:lang w:val="nl-NL"/>
        </w:rPr>
        <w:t>ục</w:t>
      </w:r>
      <w:r>
        <w:rPr>
          <w:szCs w:val="28"/>
          <w:lang w:val="nl-NL"/>
        </w:rPr>
        <w:t xml:space="preserve"> h</w:t>
      </w:r>
      <w:r w:rsidRPr="005F2797">
        <w:rPr>
          <w:szCs w:val="28"/>
          <w:lang w:val="nl-NL"/>
        </w:rPr>
        <w:t>à</w:t>
      </w:r>
      <w:r>
        <w:rPr>
          <w:szCs w:val="28"/>
          <w:lang w:val="nl-NL"/>
        </w:rPr>
        <w:t>nh ch</w:t>
      </w:r>
      <w:r w:rsidRPr="005F2797">
        <w:rPr>
          <w:szCs w:val="28"/>
          <w:lang w:val="nl-NL"/>
        </w:rPr>
        <w:t>ín</w:t>
      </w:r>
      <w:r>
        <w:rPr>
          <w:szCs w:val="28"/>
          <w:lang w:val="nl-NL"/>
        </w:rPr>
        <w:t>h, gi</w:t>
      </w:r>
      <w:r w:rsidRPr="005F2797">
        <w:rPr>
          <w:szCs w:val="28"/>
          <w:lang w:val="nl-NL"/>
        </w:rPr>
        <w:t>ảm</w:t>
      </w:r>
      <w:r>
        <w:rPr>
          <w:szCs w:val="28"/>
          <w:lang w:val="nl-NL"/>
        </w:rPr>
        <w:t xml:space="preserve"> chi ph</w:t>
      </w:r>
      <w:r w:rsidRPr="005F2797">
        <w:rPr>
          <w:szCs w:val="28"/>
          <w:lang w:val="nl-NL"/>
        </w:rPr>
        <w:t>í</w:t>
      </w:r>
      <w:r>
        <w:rPr>
          <w:szCs w:val="28"/>
          <w:lang w:val="nl-NL"/>
        </w:rPr>
        <w:t xml:space="preserve"> cho ngư</w:t>
      </w:r>
      <w:r w:rsidRPr="005F2797">
        <w:rPr>
          <w:szCs w:val="28"/>
          <w:lang w:val="nl-NL"/>
        </w:rPr>
        <w:t>ờ</w:t>
      </w:r>
      <w:r>
        <w:rPr>
          <w:szCs w:val="28"/>
          <w:lang w:val="nl-NL"/>
        </w:rPr>
        <w:t>i n</w:t>
      </w:r>
      <w:r w:rsidRPr="005F2797">
        <w:rPr>
          <w:szCs w:val="28"/>
          <w:lang w:val="nl-NL"/>
        </w:rPr>
        <w:t>ộp</w:t>
      </w:r>
      <w:r>
        <w:rPr>
          <w:szCs w:val="28"/>
          <w:lang w:val="nl-NL"/>
        </w:rPr>
        <w:t xml:space="preserve"> thu</w:t>
      </w:r>
      <w:r w:rsidRPr="005F2797">
        <w:rPr>
          <w:szCs w:val="28"/>
          <w:lang w:val="nl-NL"/>
        </w:rPr>
        <w:t>ế</w:t>
      </w:r>
      <w:r>
        <w:rPr>
          <w:szCs w:val="28"/>
          <w:lang w:val="nl-NL"/>
        </w:rPr>
        <w:t xml:space="preserve"> v</w:t>
      </w:r>
      <w:r w:rsidRPr="005F2797">
        <w:rPr>
          <w:szCs w:val="28"/>
          <w:lang w:val="nl-NL"/>
        </w:rPr>
        <w:t>à</w:t>
      </w:r>
      <w:r>
        <w:rPr>
          <w:szCs w:val="28"/>
          <w:lang w:val="nl-NL"/>
        </w:rPr>
        <w:t xml:space="preserve"> c</w:t>
      </w:r>
      <w:r w:rsidRPr="005F2797">
        <w:rPr>
          <w:szCs w:val="28"/>
          <w:lang w:val="nl-NL"/>
        </w:rPr>
        <w:t>ơ</w:t>
      </w:r>
      <w:r>
        <w:rPr>
          <w:szCs w:val="28"/>
          <w:lang w:val="nl-NL"/>
        </w:rPr>
        <w:t xml:space="preserve"> quan thu</w:t>
      </w:r>
      <w:r w:rsidRPr="005F2797">
        <w:rPr>
          <w:szCs w:val="28"/>
          <w:lang w:val="nl-NL"/>
        </w:rPr>
        <w:t>ế</w:t>
      </w:r>
      <w:r>
        <w:rPr>
          <w:szCs w:val="28"/>
          <w:lang w:val="nl-NL"/>
        </w:rPr>
        <w:t xml:space="preserve">. </w:t>
      </w:r>
    </w:p>
    <w:p w14:paraId="2C544E37" w14:textId="77777777" w:rsidR="007204EE" w:rsidRDefault="007204EE" w:rsidP="007204EE">
      <w:pPr>
        <w:pStyle w:val="BodyTextIndent"/>
        <w:widowControl w:val="0"/>
        <w:spacing w:before="120"/>
        <w:ind w:left="0" w:firstLine="720"/>
        <w:rPr>
          <w:szCs w:val="28"/>
          <w:lang w:val="nl-NL"/>
        </w:rPr>
      </w:pPr>
      <w:r>
        <w:rPr>
          <w:szCs w:val="28"/>
          <w:lang w:val="nl-NL"/>
        </w:rPr>
        <w:t>- Th</w:t>
      </w:r>
      <w:r w:rsidRPr="00C5366E">
        <w:rPr>
          <w:szCs w:val="28"/>
          <w:lang w:val="nl-NL"/>
        </w:rPr>
        <w:t>ống</w:t>
      </w:r>
      <w:r>
        <w:rPr>
          <w:szCs w:val="28"/>
          <w:lang w:val="nl-NL"/>
        </w:rPr>
        <w:t xml:space="preserve"> nh</w:t>
      </w:r>
      <w:r w:rsidRPr="00C5366E">
        <w:rPr>
          <w:szCs w:val="28"/>
          <w:lang w:val="nl-NL"/>
        </w:rPr>
        <w:t>ấ</w:t>
      </w:r>
      <w:r>
        <w:rPr>
          <w:szCs w:val="28"/>
          <w:lang w:val="nl-NL"/>
        </w:rPr>
        <w:t>t ban h</w:t>
      </w:r>
      <w:r w:rsidRPr="00C5366E">
        <w:rPr>
          <w:szCs w:val="28"/>
          <w:lang w:val="nl-NL"/>
        </w:rPr>
        <w:t>à</w:t>
      </w:r>
      <w:r>
        <w:rPr>
          <w:szCs w:val="28"/>
          <w:lang w:val="nl-NL"/>
        </w:rPr>
        <w:t xml:space="preserve">nh </w:t>
      </w:r>
      <w:r w:rsidRPr="00C5366E">
        <w:rPr>
          <w:szCs w:val="28"/>
          <w:lang w:val="nl-NL"/>
        </w:rPr>
        <w:t>định</w:t>
      </w:r>
      <w:r>
        <w:rPr>
          <w:szCs w:val="28"/>
          <w:lang w:val="nl-NL"/>
        </w:rPr>
        <w:t xml:space="preserve"> d</w:t>
      </w:r>
      <w:r w:rsidRPr="00C5366E">
        <w:rPr>
          <w:szCs w:val="28"/>
          <w:lang w:val="nl-NL"/>
        </w:rPr>
        <w:t>ạng</w:t>
      </w:r>
      <w:r>
        <w:rPr>
          <w:szCs w:val="28"/>
          <w:lang w:val="nl-NL"/>
        </w:rPr>
        <w:t xml:space="preserve"> chu</w:t>
      </w:r>
      <w:r w:rsidRPr="00C5366E">
        <w:rPr>
          <w:szCs w:val="28"/>
          <w:lang w:val="nl-NL"/>
        </w:rPr>
        <w:t>ẩn</w:t>
      </w:r>
      <w:r>
        <w:rPr>
          <w:szCs w:val="28"/>
          <w:lang w:val="nl-NL"/>
        </w:rPr>
        <w:t xml:space="preserve"> v</w:t>
      </w:r>
      <w:r w:rsidRPr="00C5366E">
        <w:rPr>
          <w:szCs w:val="28"/>
          <w:lang w:val="nl-NL"/>
        </w:rPr>
        <w:t>ề</w:t>
      </w:r>
      <w:r>
        <w:rPr>
          <w:szCs w:val="28"/>
          <w:lang w:val="nl-NL"/>
        </w:rPr>
        <w:t xml:space="preserve"> h</w:t>
      </w:r>
      <w:r w:rsidRPr="00C5366E">
        <w:rPr>
          <w:szCs w:val="28"/>
          <w:lang w:val="nl-NL"/>
        </w:rPr>
        <w:t>ó</w:t>
      </w:r>
      <w:r>
        <w:rPr>
          <w:szCs w:val="28"/>
          <w:lang w:val="nl-NL"/>
        </w:rPr>
        <w:t xml:space="preserve">a </w:t>
      </w:r>
      <w:r w:rsidRPr="00C5366E">
        <w:rPr>
          <w:szCs w:val="28"/>
          <w:lang w:val="nl-NL"/>
        </w:rPr>
        <w:t>đơ</w:t>
      </w:r>
      <w:r>
        <w:rPr>
          <w:szCs w:val="28"/>
          <w:lang w:val="nl-NL"/>
        </w:rPr>
        <w:t xml:space="preserve">n </w:t>
      </w:r>
      <w:r w:rsidRPr="00C5366E">
        <w:rPr>
          <w:szCs w:val="28"/>
          <w:lang w:val="nl-NL"/>
        </w:rPr>
        <w:t>đ</w:t>
      </w:r>
      <w:r>
        <w:rPr>
          <w:szCs w:val="28"/>
          <w:lang w:val="nl-NL"/>
        </w:rPr>
        <w:t>i</w:t>
      </w:r>
      <w:r w:rsidRPr="00C5366E">
        <w:rPr>
          <w:szCs w:val="28"/>
          <w:lang w:val="nl-NL"/>
        </w:rPr>
        <w:t>ện</w:t>
      </w:r>
      <w:r>
        <w:rPr>
          <w:szCs w:val="28"/>
          <w:lang w:val="nl-NL"/>
        </w:rPr>
        <w:t xml:space="preserve"> t</w:t>
      </w:r>
      <w:r w:rsidRPr="00C5366E">
        <w:rPr>
          <w:szCs w:val="28"/>
          <w:lang w:val="nl-NL"/>
        </w:rPr>
        <w:t>ử</w:t>
      </w:r>
      <w:r>
        <w:rPr>
          <w:szCs w:val="28"/>
          <w:lang w:val="nl-NL"/>
        </w:rPr>
        <w:t>, ch</w:t>
      </w:r>
      <w:r w:rsidRPr="00C5366E">
        <w:rPr>
          <w:szCs w:val="28"/>
          <w:lang w:val="nl-NL"/>
        </w:rPr>
        <w:t>ứng</w:t>
      </w:r>
      <w:r>
        <w:rPr>
          <w:szCs w:val="28"/>
          <w:lang w:val="nl-NL"/>
        </w:rPr>
        <w:t xml:space="preserve"> t</w:t>
      </w:r>
      <w:r w:rsidRPr="00C5366E">
        <w:rPr>
          <w:szCs w:val="28"/>
          <w:lang w:val="nl-NL"/>
        </w:rPr>
        <w:t>ừ</w:t>
      </w:r>
      <w:r>
        <w:rPr>
          <w:szCs w:val="28"/>
          <w:lang w:val="nl-NL"/>
        </w:rPr>
        <w:t xml:space="preserve"> </w:t>
      </w:r>
      <w:r w:rsidRPr="00C5366E">
        <w:rPr>
          <w:szCs w:val="28"/>
          <w:lang w:val="nl-NL"/>
        </w:rPr>
        <w:t>đ</w:t>
      </w:r>
      <w:r>
        <w:rPr>
          <w:szCs w:val="28"/>
          <w:lang w:val="nl-NL"/>
        </w:rPr>
        <w:t>i</w:t>
      </w:r>
      <w:r w:rsidRPr="00C5366E">
        <w:rPr>
          <w:szCs w:val="28"/>
          <w:lang w:val="nl-NL"/>
        </w:rPr>
        <w:t>ện</w:t>
      </w:r>
      <w:r>
        <w:rPr>
          <w:szCs w:val="28"/>
          <w:lang w:val="nl-NL"/>
        </w:rPr>
        <w:t xml:space="preserve"> t</w:t>
      </w:r>
      <w:r w:rsidRPr="00C5366E">
        <w:rPr>
          <w:szCs w:val="28"/>
          <w:lang w:val="nl-NL"/>
        </w:rPr>
        <w:t>ử</w:t>
      </w:r>
      <w:r>
        <w:rPr>
          <w:szCs w:val="28"/>
          <w:lang w:val="nl-NL"/>
        </w:rPr>
        <w:t xml:space="preserve"> đ</w:t>
      </w:r>
      <w:r w:rsidRPr="00C5366E">
        <w:rPr>
          <w:szCs w:val="28"/>
          <w:lang w:val="nl-NL"/>
        </w:rPr>
        <w:t>ể</w:t>
      </w:r>
      <w:r>
        <w:rPr>
          <w:szCs w:val="28"/>
          <w:lang w:val="nl-NL"/>
        </w:rPr>
        <w:t xml:space="preserve"> </w:t>
      </w:r>
      <w:r w:rsidRPr="00C5366E">
        <w:rPr>
          <w:szCs w:val="28"/>
          <w:lang w:val="nl-NL"/>
        </w:rPr>
        <w:t>á</w:t>
      </w:r>
      <w:r>
        <w:rPr>
          <w:szCs w:val="28"/>
          <w:lang w:val="nl-NL"/>
        </w:rPr>
        <w:t>p d</w:t>
      </w:r>
      <w:r w:rsidRPr="00C5366E">
        <w:rPr>
          <w:szCs w:val="28"/>
          <w:lang w:val="nl-NL"/>
        </w:rPr>
        <w:t>ụng</w:t>
      </w:r>
      <w:r>
        <w:rPr>
          <w:szCs w:val="28"/>
          <w:lang w:val="nl-NL"/>
        </w:rPr>
        <w:t xml:space="preserve"> chung tr</w:t>
      </w:r>
      <w:r w:rsidRPr="00C5366E">
        <w:rPr>
          <w:szCs w:val="28"/>
          <w:lang w:val="nl-NL"/>
        </w:rPr>
        <w:t>ê</w:t>
      </w:r>
      <w:r>
        <w:rPr>
          <w:szCs w:val="28"/>
          <w:lang w:val="nl-NL"/>
        </w:rPr>
        <w:t>n c</w:t>
      </w:r>
      <w:r w:rsidRPr="00C5366E">
        <w:rPr>
          <w:szCs w:val="28"/>
          <w:lang w:val="nl-NL"/>
        </w:rPr>
        <w:t>ả</w:t>
      </w:r>
      <w:r>
        <w:rPr>
          <w:szCs w:val="28"/>
          <w:lang w:val="nl-NL"/>
        </w:rPr>
        <w:t xml:space="preserve"> nư</w:t>
      </w:r>
      <w:r w:rsidRPr="00C5366E">
        <w:rPr>
          <w:szCs w:val="28"/>
          <w:lang w:val="nl-NL"/>
        </w:rPr>
        <w:t>ớc</w:t>
      </w:r>
      <w:r>
        <w:rPr>
          <w:szCs w:val="28"/>
          <w:lang w:val="nl-NL"/>
        </w:rPr>
        <w:t xml:space="preserve"> ph</w:t>
      </w:r>
      <w:r w:rsidRPr="00C5366E">
        <w:rPr>
          <w:szCs w:val="28"/>
          <w:lang w:val="nl-NL"/>
        </w:rPr>
        <w:t>ục</w:t>
      </w:r>
      <w:r>
        <w:rPr>
          <w:szCs w:val="28"/>
          <w:lang w:val="nl-NL"/>
        </w:rPr>
        <w:t xml:space="preserve"> v</w:t>
      </w:r>
      <w:r w:rsidRPr="00C5366E">
        <w:rPr>
          <w:szCs w:val="28"/>
          <w:lang w:val="nl-NL"/>
        </w:rPr>
        <w:t>ụ</w:t>
      </w:r>
      <w:r>
        <w:rPr>
          <w:szCs w:val="28"/>
          <w:lang w:val="nl-NL"/>
        </w:rPr>
        <w:t xml:space="preserve"> c</w:t>
      </w:r>
      <w:r w:rsidRPr="00C5366E">
        <w:rPr>
          <w:szCs w:val="28"/>
          <w:lang w:val="nl-NL"/>
        </w:rPr>
        <w:t>ô</w:t>
      </w:r>
      <w:r>
        <w:rPr>
          <w:szCs w:val="28"/>
          <w:lang w:val="nl-NL"/>
        </w:rPr>
        <w:t>ng t</w:t>
      </w:r>
      <w:r w:rsidRPr="00C5366E">
        <w:rPr>
          <w:szCs w:val="28"/>
          <w:lang w:val="nl-NL"/>
        </w:rPr>
        <w:t>á</w:t>
      </w:r>
      <w:r>
        <w:rPr>
          <w:szCs w:val="28"/>
          <w:lang w:val="nl-NL"/>
        </w:rPr>
        <w:t>c qu</w:t>
      </w:r>
      <w:r w:rsidRPr="00C5366E">
        <w:rPr>
          <w:szCs w:val="28"/>
          <w:lang w:val="nl-NL"/>
        </w:rPr>
        <w:t>ản</w:t>
      </w:r>
      <w:r>
        <w:rPr>
          <w:szCs w:val="28"/>
          <w:lang w:val="nl-NL"/>
        </w:rPr>
        <w:t xml:space="preserve"> l</w:t>
      </w:r>
      <w:r w:rsidRPr="00C5366E">
        <w:rPr>
          <w:szCs w:val="28"/>
          <w:lang w:val="nl-NL"/>
        </w:rPr>
        <w:t>ý</w:t>
      </w:r>
      <w:r>
        <w:rPr>
          <w:szCs w:val="28"/>
          <w:lang w:val="nl-NL"/>
        </w:rPr>
        <w:t xml:space="preserve"> thu</w:t>
      </w:r>
      <w:r w:rsidRPr="00C5366E">
        <w:rPr>
          <w:szCs w:val="28"/>
          <w:lang w:val="nl-NL"/>
        </w:rPr>
        <w:t>ế</w:t>
      </w:r>
      <w:r>
        <w:rPr>
          <w:szCs w:val="28"/>
          <w:lang w:val="nl-NL"/>
        </w:rPr>
        <w:t>, c</w:t>
      </w:r>
      <w:r w:rsidRPr="00C5366E">
        <w:rPr>
          <w:szCs w:val="28"/>
          <w:lang w:val="nl-NL"/>
        </w:rPr>
        <w:t>ô</w:t>
      </w:r>
      <w:r>
        <w:rPr>
          <w:szCs w:val="28"/>
          <w:lang w:val="nl-NL"/>
        </w:rPr>
        <w:t>ng t</w:t>
      </w:r>
      <w:r w:rsidRPr="00C5366E">
        <w:rPr>
          <w:szCs w:val="28"/>
          <w:lang w:val="nl-NL"/>
        </w:rPr>
        <w:t>á</w:t>
      </w:r>
      <w:r>
        <w:rPr>
          <w:szCs w:val="28"/>
          <w:lang w:val="nl-NL"/>
        </w:rPr>
        <w:t>c h</w:t>
      </w:r>
      <w:r w:rsidRPr="00C5366E">
        <w:rPr>
          <w:szCs w:val="28"/>
          <w:lang w:val="nl-NL"/>
        </w:rPr>
        <w:t>ạch</w:t>
      </w:r>
      <w:r>
        <w:rPr>
          <w:szCs w:val="28"/>
          <w:lang w:val="nl-NL"/>
        </w:rPr>
        <w:t xml:space="preserve"> t</w:t>
      </w:r>
      <w:r w:rsidRPr="00C5366E">
        <w:rPr>
          <w:szCs w:val="28"/>
          <w:lang w:val="nl-NL"/>
        </w:rPr>
        <w:t>oán</w:t>
      </w:r>
      <w:r>
        <w:rPr>
          <w:szCs w:val="28"/>
          <w:lang w:val="nl-NL"/>
        </w:rPr>
        <w:t xml:space="preserve"> s</w:t>
      </w:r>
      <w:r w:rsidRPr="00C5366E">
        <w:rPr>
          <w:szCs w:val="28"/>
          <w:lang w:val="nl-NL"/>
        </w:rPr>
        <w:t>ố</w:t>
      </w:r>
      <w:r>
        <w:rPr>
          <w:szCs w:val="28"/>
          <w:lang w:val="nl-NL"/>
        </w:rPr>
        <w:t xml:space="preserve"> thu ng</w:t>
      </w:r>
      <w:r w:rsidRPr="00C5366E">
        <w:rPr>
          <w:szCs w:val="28"/>
          <w:lang w:val="nl-NL"/>
        </w:rPr>
        <w:t>â</w:t>
      </w:r>
      <w:r>
        <w:rPr>
          <w:szCs w:val="28"/>
          <w:lang w:val="nl-NL"/>
        </w:rPr>
        <w:t>n s</w:t>
      </w:r>
      <w:r w:rsidRPr="00C5366E">
        <w:rPr>
          <w:szCs w:val="28"/>
          <w:lang w:val="nl-NL"/>
        </w:rPr>
        <w:t>á</w:t>
      </w:r>
      <w:r>
        <w:rPr>
          <w:szCs w:val="28"/>
          <w:lang w:val="nl-NL"/>
        </w:rPr>
        <w:t xml:space="preserve">ch. </w:t>
      </w:r>
    </w:p>
    <w:p w14:paraId="39496222" w14:textId="77777777" w:rsidR="007204EE" w:rsidRPr="00BF519C" w:rsidRDefault="007204EE" w:rsidP="007204EE">
      <w:pPr>
        <w:widowControl w:val="0"/>
        <w:spacing w:before="120" w:after="120"/>
        <w:ind w:firstLine="720"/>
        <w:rPr>
          <w:color w:val="000000"/>
          <w:szCs w:val="28"/>
          <w:lang w:val="nl-NL"/>
        </w:rPr>
      </w:pPr>
      <w:r>
        <w:rPr>
          <w:color w:val="000000"/>
          <w:szCs w:val="28"/>
          <w:lang w:val="nl-NL"/>
        </w:rPr>
        <w:lastRenderedPageBreak/>
        <w:t xml:space="preserve">- </w:t>
      </w:r>
      <w:r w:rsidRPr="005F2797">
        <w:rPr>
          <w:color w:val="000000"/>
          <w:szCs w:val="28"/>
          <w:lang w:val="nl-NL"/>
        </w:rPr>
        <w:t>Đ</w:t>
      </w:r>
      <w:r w:rsidRPr="00BF519C">
        <w:rPr>
          <w:color w:val="000000"/>
          <w:szCs w:val="28"/>
          <w:lang w:val="nl-NL"/>
        </w:rPr>
        <w:t xml:space="preserve">ảm bảo cơ sở thực tiễn phù hợp với thực trạng phát triển kinh tế - xã hội của Việt Nam, </w:t>
      </w:r>
      <w:r w:rsidRPr="00AE2A95">
        <w:rPr>
          <w:color w:val="000000"/>
          <w:szCs w:val="28"/>
          <w:lang w:val="nl-NL"/>
        </w:rPr>
        <w:t xml:space="preserve">góp phần hạn chế việc </w:t>
      </w:r>
      <w:r w:rsidRPr="00BF519C">
        <w:rPr>
          <w:bCs/>
          <w:color w:val="000000"/>
          <w:szCs w:val="28"/>
          <w:lang w:val="nl-NL"/>
        </w:rPr>
        <w:t>sử dụng</w:t>
      </w:r>
      <w:r w:rsidRPr="00AE2A95">
        <w:rPr>
          <w:color w:val="000000"/>
          <w:szCs w:val="28"/>
          <w:lang w:val="nl-NL"/>
        </w:rPr>
        <w:t xml:space="preserve"> tiền mặt </w:t>
      </w:r>
      <w:r w:rsidRPr="00BF519C">
        <w:rPr>
          <w:rFonts w:eastAsia="Times New Roman"/>
          <w:color w:val="000000"/>
          <w:szCs w:val="28"/>
          <w:lang w:val="vi-VN"/>
        </w:rPr>
        <w:t>trong các giao dịch thanh toán</w:t>
      </w:r>
      <w:r w:rsidRPr="00AE2A95">
        <w:rPr>
          <w:rFonts w:eastAsia="Times New Roman"/>
          <w:color w:val="000000"/>
          <w:szCs w:val="28"/>
          <w:lang w:val="nl-NL"/>
        </w:rPr>
        <w:t xml:space="preserve">, đặc biệt là các giao dịch thanh toán </w:t>
      </w:r>
      <w:r w:rsidRPr="00BF519C">
        <w:rPr>
          <w:rFonts w:eastAsia="Times New Roman"/>
          <w:iCs/>
          <w:color w:val="000000"/>
          <w:szCs w:val="28"/>
          <w:lang w:val="nl-NL"/>
        </w:rPr>
        <w:t>của</w:t>
      </w:r>
      <w:r w:rsidRPr="00AE2A95">
        <w:rPr>
          <w:rFonts w:eastAsia="Times New Roman"/>
          <w:color w:val="000000"/>
          <w:szCs w:val="28"/>
          <w:lang w:val="nl-NL"/>
        </w:rPr>
        <w:t xml:space="preserve"> </w:t>
      </w:r>
      <w:r w:rsidRPr="00BF519C">
        <w:rPr>
          <w:rFonts w:eastAsia="Times New Roman"/>
          <w:bCs/>
          <w:iCs/>
          <w:color w:val="000000"/>
          <w:szCs w:val="28"/>
          <w:lang w:val="nl-NL"/>
        </w:rPr>
        <w:t>hoạt động</w:t>
      </w:r>
      <w:r w:rsidRPr="00AE2A95">
        <w:rPr>
          <w:rFonts w:eastAsia="Times New Roman"/>
          <w:color w:val="000000"/>
          <w:szCs w:val="28"/>
          <w:lang w:val="nl-NL"/>
        </w:rPr>
        <w:t xml:space="preserve"> kinh tế phi chính thức, thúc đẩy </w:t>
      </w:r>
      <w:r w:rsidRPr="00BF519C">
        <w:rPr>
          <w:rFonts w:eastAsia="Times New Roman"/>
          <w:color w:val="000000"/>
          <w:szCs w:val="28"/>
          <w:lang w:val="nl-NL"/>
        </w:rPr>
        <w:t>thực hiện</w:t>
      </w:r>
      <w:r w:rsidRPr="00AE2A95">
        <w:rPr>
          <w:rFonts w:eastAsia="Times New Roman"/>
          <w:color w:val="000000"/>
          <w:szCs w:val="28"/>
          <w:lang w:val="nl-NL"/>
        </w:rPr>
        <w:t xml:space="preserve"> đồng bộ </w:t>
      </w:r>
      <w:r w:rsidRPr="00BF519C">
        <w:rPr>
          <w:color w:val="000000"/>
          <w:szCs w:val="28"/>
          <w:lang w:val="nl-NL"/>
        </w:rPr>
        <w:t xml:space="preserve">đề án không dùng tiền mặt đã được </w:t>
      </w:r>
      <w:r w:rsidRPr="00BF519C">
        <w:rPr>
          <w:bCs/>
          <w:color w:val="000000"/>
          <w:szCs w:val="28"/>
          <w:lang w:val="nl-NL"/>
        </w:rPr>
        <w:t>Chính phủ, Thủ tướng Chính phủ</w:t>
      </w:r>
      <w:r w:rsidRPr="00BF519C">
        <w:rPr>
          <w:color w:val="000000"/>
          <w:szCs w:val="28"/>
          <w:lang w:val="nl-NL"/>
        </w:rPr>
        <w:t xml:space="preserve"> ban hành.</w:t>
      </w:r>
    </w:p>
    <w:p w14:paraId="4F467723" w14:textId="77777777" w:rsidR="007204EE" w:rsidRPr="00F90947" w:rsidRDefault="007204EE" w:rsidP="007204EE">
      <w:pPr>
        <w:widowControl w:val="0"/>
        <w:spacing w:before="120" w:after="120"/>
        <w:ind w:firstLine="720"/>
        <w:rPr>
          <w:szCs w:val="28"/>
          <w:lang w:val="nl-NL"/>
        </w:rPr>
      </w:pPr>
      <w:r>
        <w:rPr>
          <w:color w:val="000000"/>
          <w:szCs w:val="28"/>
          <w:lang w:val="nl-NL"/>
        </w:rPr>
        <w:t xml:space="preserve">- </w:t>
      </w:r>
      <w:r w:rsidRPr="00BF519C">
        <w:rPr>
          <w:color w:val="000000"/>
          <w:szCs w:val="28"/>
          <w:lang w:val="nl-NL"/>
        </w:rPr>
        <w:t>Xây dựng cơ sở pháp lý để vận hành việc áp dụng hóa đơn điện tử đối với tất cả các doanh nghiệp đã</w:t>
      </w:r>
      <w:r w:rsidRPr="00AE2A95">
        <w:rPr>
          <w:color w:val="000000"/>
          <w:szCs w:val="28"/>
          <w:lang w:val="nl-NL"/>
        </w:rPr>
        <w:t xml:space="preserve"> tham gia sử dụng dịch vụ khai thuế điện tử</w:t>
      </w:r>
      <w:r w:rsidRPr="00BF519C">
        <w:rPr>
          <w:color w:val="000000"/>
          <w:szCs w:val="28"/>
          <w:lang w:val="nl-NL"/>
        </w:rPr>
        <w:t xml:space="preserve">, đối với các hộ </w:t>
      </w:r>
      <w:r w:rsidRPr="00BF519C">
        <w:rPr>
          <w:bCs/>
          <w:color w:val="000000"/>
          <w:szCs w:val="28"/>
          <w:lang w:val="nl-NL"/>
        </w:rPr>
        <w:t>kinh doanh</w:t>
      </w:r>
      <w:r w:rsidRPr="00BF519C">
        <w:rPr>
          <w:color w:val="000000"/>
          <w:szCs w:val="28"/>
          <w:lang w:val="nl-NL"/>
        </w:rPr>
        <w:t xml:space="preserve"> có doanh số lớn, thường xuyên </w:t>
      </w:r>
      <w:r w:rsidRPr="00BF519C">
        <w:rPr>
          <w:bCs/>
          <w:color w:val="000000"/>
          <w:szCs w:val="28"/>
          <w:lang w:val="nl-NL"/>
        </w:rPr>
        <w:t>sử dụng</w:t>
      </w:r>
      <w:r w:rsidRPr="00BF519C">
        <w:rPr>
          <w:color w:val="000000"/>
          <w:szCs w:val="28"/>
          <w:lang w:val="nl-NL"/>
        </w:rPr>
        <w:t xml:space="preserve"> hoá đơn, hoặc thuộc trường hợp có dấu hiệu rủi ro... để tạo cơ sở dữ liệu về hóa đơn</w:t>
      </w:r>
      <w:r w:rsidRPr="00F90947">
        <w:rPr>
          <w:szCs w:val="28"/>
          <w:lang w:val="nl-NL"/>
        </w:rPr>
        <w:t>,</w:t>
      </w:r>
      <w:r>
        <w:rPr>
          <w:szCs w:val="28"/>
          <w:lang w:val="nl-NL"/>
        </w:rPr>
        <w:t xml:space="preserve"> chứng từ</w:t>
      </w:r>
      <w:r w:rsidRPr="00F90947">
        <w:rPr>
          <w:szCs w:val="28"/>
          <w:lang w:val="nl-NL"/>
        </w:rPr>
        <w:t xml:space="preserve"> phục vụ quản lý thuế điện tử, phục vụ quản lý Nhà nước của các lĩnh vực quản lý thị trường; quản lý tài nguyên khoáng sản; nhà đấ</w:t>
      </w:r>
      <w:r>
        <w:rPr>
          <w:szCs w:val="28"/>
          <w:lang w:val="nl-NL"/>
        </w:rPr>
        <w:t>t.</w:t>
      </w:r>
    </w:p>
    <w:p w14:paraId="5D5549D0" w14:textId="77777777" w:rsidR="007204EE" w:rsidRPr="00BF519C" w:rsidRDefault="007204EE" w:rsidP="007204EE">
      <w:pPr>
        <w:widowControl w:val="0"/>
        <w:spacing w:before="120" w:after="120"/>
        <w:ind w:firstLine="720"/>
        <w:rPr>
          <w:color w:val="000000"/>
          <w:szCs w:val="28"/>
          <w:lang w:val="nl-NL"/>
        </w:rPr>
      </w:pPr>
      <w:r>
        <w:rPr>
          <w:color w:val="000000"/>
          <w:szCs w:val="28"/>
          <w:lang w:val="nl-NL"/>
        </w:rPr>
        <w:t xml:space="preserve">- </w:t>
      </w:r>
      <w:r w:rsidRPr="00BF519C">
        <w:rPr>
          <w:color w:val="000000"/>
          <w:szCs w:val="28"/>
          <w:lang w:val="nl-NL"/>
        </w:rPr>
        <w:t>Đảm bảo phù hợp với quy định của Luật kế toán năm 2015, Luật giao dịch điện tử, Luật quản lý thuế, Luật ban hành văn bản quy phạm pháp luật năm 2015, các Luật thuế và pháp luật có liên quan.</w:t>
      </w:r>
    </w:p>
    <w:p w14:paraId="2BFD9112" w14:textId="77777777" w:rsidR="007204EE" w:rsidRPr="00BF519C" w:rsidRDefault="007204EE" w:rsidP="007204EE">
      <w:pPr>
        <w:widowControl w:val="0"/>
        <w:spacing w:before="120" w:after="120"/>
        <w:ind w:firstLine="720"/>
        <w:rPr>
          <w:color w:val="000000"/>
          <w:szCs w:val="28"/>
          <w:lang w:val="nl-NL"/>
        </w:rPr>
      </w:pPr>
      <w:r>
        <w:rPr>
          <w:color w:val="000000"/>
          <w:szCs w:val="28"/>
          <w:lang w:val="nl-NL"/>
        </w:rPr>
        <w:t xml:space="preserve">- </w:t>
      </w:r>
      <w:r w:rsidRPr="00BF519C">
        <w:rPr>
          <w:color w:val="000000"/>
          <w:szCs w:val="28"/>
          <w:lang w:val="nl-NL"/>
        </w:rPr>
        <w:t>Kế thừa và phát triển các kết quả đạt được của việc quy định và triể</w:t>
      </w:r>
      <w:r>
        <w:rPr>
          <w:color w:val="000000"/>
          <w:szCs w:val="28"/>
          <w:lang w:val="nl-NL"/>
        </w:rPr>
        <w:t>n khai hóa đơn</w:t>
      </w:r>
      <w:r w:rsidRPr="00BF519C">
        <w:rPr>
          <w:color w:val="000000"/>
          <w:szCs w:val="28"/>
          <w:lang w:val="nl-NL"/>
        </w:rPr>
        <w:t>,</w:t>
      </w:r>
      <w:r>
        <w:rPr>
          <w:color w:val="000000"/>
          <w:szCs w:val="28"/>
          <w:lang w:val="nl-NL"/>
        </w:rPr>
        <w:t xml:space="preserve"> chứng từ</w:t>
      </w:r>
      <w:r w:rsidRPr="00BF519C">
        <w:rPr>
          <w:color w:val="000000"/>
          <w:szCs w:val="28"/>
          <w:lang w:val="nl-NL"/>
        </w:rPr>
        <w:t xml:space="preserve"> thời gian qua.</w:t>
      </w:r>
    </w:p>
    <w:p w14:paraId="39B33795" w14:textId="77777777" w:rsidR="007204EE" w:rsidRPr="00AE2A95" w:rsidRDefault="007204EE" w:rsidP="007204EE">
      <w:pPr>
        <w:widowControl w:val="0"/>
        <w:spacing w:before="120" w:after="120"/>
        <w:ind w:firstLine="720"/>
        <w:rPr>
          <w:lang w:val="nl-NL"/>
        </w:rPr>
      </w:pPr>
      <w:r w:rsidRPr="00AE2A95">
        <w:rPr>
          <w:b/>
          <w:sz w:val="26"/>
          <w:szCs w:val="24"/>
          <w:lang w:val="nl-NL"/>
        </w:rPr>
        <w:t>III. NỘI DUNG CƠ BẢN CỦA NGHỊ ĐỊNH</w:t>
      </w:r>
    </w:p>
    <w:p w14:paraId="2B681304" w14:textId="77777777" w:rsidR="007204EE" w:rsidRPr="00AE2A95" w:rsidRDefault="007204EE" w:rsidP="007204EE">
      <w:pPr>
        <w:widowControl w:val="0"/>
        <w:spacing w:before="120" w:after="120"/>
        <w:ind w:firstLine="720"/>
        <w:rPr>
          <w:b/>
          <w:szCs w:val="28"/>
          <w:lang w:val="nl-NL"/>
        </w:rPr>
      </w:pPr>
      <w:r w:rsidRPr="00AE2A95">
        <w:rPr>
          <w:b/>
          <w:szCs w:val="28"/>
          <w:lang w:val="nl-NL"/>
        </w:rPr>
        <w:t xml:space="preserve">1. Về tên gọi của Nghị định </w:t>
      </w:r>
    </w:p>
    <w:p w14:paraId="52AE49A8" w14:textId="77777777" w:rsidR="007204EE" w:rsidRDefault="007204EE" w:rsidP="007204EE">
      <w:pPr>
        <w:widowControl w:val="0"/>
        <w:spacing w:before="120" w:after="120"/>
        <w:ind w:firstLine="720"/>
        <w:rPr>
          <w:szCs w:val="28"/>
        </w:rPr>
      </w:pPr>
      <w:r>
        <w:rPr>
          <w:szCs w:val="28"/>
          <w:lang w:val="vi-VN"/>
        </w:rPr>
        <w:t xml:space="preserve">Theo Quyết định số 936/QĐ-TTg ngày 26/7/2019 của Thủ tướng Chính phủ về danh mục các văn bản hướng dẫn Luật, Nghị quyết của Quốc hội, trong đó có Luật quản lý thuế, Bộ Tài chính được phân công chủ trì soạn thảo Nghị định bổ sung, sửa đổi một số điều của Nghị định 119; Tuy nhiên qua rà soát các nội dung quy định của Luật quản lý thuế, Bộ Tài chính thấy rằng nội dung hướng dẫn về chứng từ thuế cần được đưa vào Nghị định này. Mặt khác, Nghị định 119 được xây dựng trên cơ sở Luật quản lý thuế cũ (Luật quản lý thuế số </w:t>
      </w:r>
      <w:r w:rsidRPr="00670A33">
        <w:rPr>
          <w:szCs w:val="28"/>
          <w:lang w:val="vi-VN"/>
        </w:rPr>
        <w:t>78/2006/QH11</w:t>
      </w:r>
      <w:r>
        <w:rPr>
          <w:szCs w:val="28"/>
          <w:lang w:val="vi-VN"/>
        </w:rPr>
        <w:t xml:space="preserve"> ngày 29/11/2006), nay Luật quản lý thuế mới (Luật quản lý thuế số 38</w:t>
      </w:r>
      <w:r w:rsidRPr="00670A33">
        <w:rPr>
          <w:szCs w:val="28"/>
          <w:lang w:val="vi-VN"/>
        </w:rPr>
        <w:t>/20</w:t>
      </w:r>
      <w:r>
        <w:rPr>
          <w:szCs w:val="28"/>
          <w:lang w:val="vi-VN"/>
        </w:rPr>
        <w:t>19/QH14 ngày 13/6/2019) đã được Quốc hội ban hành, vì vậy cần ban hành Nghị định thay thế Nghị định 119.</w:t>
      </w:r>
    </w:p>
    <w:p w14:paraId="034C9DA2" w14:textId="77777777" w:rsidR="007204EE" w:rsidRPr="00AE2A95" w:rsidRDefault="007204EE" w:rsidP="007204EE">
      <w:pPr>
        <w:widowControl w:val="0"/>
        <w:spacing w:before="120" w:after="120"/>
        <w:ind w:firstLine="720"/>
        <w:rPr>
          <w:szCs w:val="28"/>
        </w:rPr>
      </w:pPr>
      <w:r>
        <w:rPr>
          <w:szCs w:val="28"/>
        </w:rPr>
        <w:t>Ng</w:t>
      </w:r>
      <w:r w:rsidRPr="000B3620">
        <w:rPr>
          <w:szCs w:val="28"/>
        </w:rPr>
        <w:t>oài</w:t>
      </w:r>
      <w:r>
        <w:rPr>
          <w:szCs w:val="28"/>
        </w:rPr>
        <w:t xml:space="preserve"> ra </w:t>
      </w:r>
      <w:r w:rsidRPr="000B3620">
        <w:rPr>
          <w:szCs w:val="28"/>
        </w:rPr>
        <w:t>định</w:t>
      </w:r>
      <w:r>
        <w:rPr>
          <w:szCs w:val="28"/>
        </w:rPr>
        <w:t xml:space="preserve"> hư</w:t>
      </w:r>
      <w:r w:rsidRPr="000B3620">
        <w:rPr>
          <w:szCs w:val="28"/>
        </w:rPr>
        <w:t>ớng</w:t>
      </w:r>
      <w:r>
        <w:rPr>
          <w:szCs w:val="28"/>
        </w:rPr>
        <w:t xml:space="preserve"> c</w:t>
      </w:r>
      <w:r w:rsidRPr="000B3620">
        <w:rPr>
          <w:szCs w:val="28"/>
        </w:rPr>
        <w:t>ủa</w:t>
      </w:r>
      <w:r>
        <w:rPr>
          <w:szCs w:val="28"/>
        </w:rPr>
        <w:t xml:space="preserve"> </w:t>
      </w:r>
      <w:r w:rsidRPr="000B3620">
        <w:rPr>
          <w:szCs w:val="28"/>
        </w:rPr>
        <w:t>Đảng</w:t>
      </w:r>
      <w:r>
        <w:rPr>
          <w:szCs w:val="28"/>
        </w:rPr>
        <w:t>, Ch</w:t>
      </w:r>
      <w:r w:rsidRPr="000B3620">
        <w:rPr>
          <w:szCs w:val="28"/>
        </w:rPr>
        <w:t>ín</w:t>
      </w:r>
      <w:r>
        <w:rPr>
          <w:szCs w:val="28"/>
        </w:rPr>
        <w:t>h ph</w:t>
      </w:r>
      <w:r w:rsidRPr="000B3620">
        <w:rPr>
          <w:szCs w:val="28"/>
        </w:rPr>
        <w:t>ủ</w:t>
      </w:r>
      <w:r>
        <w:rPr>
          <w:szCs w:val="28"/>
        </w:rPr>
        <w:t xml:space="preserve"> l</w:t>
      </w:r>
      <w:r w:rsidRPr="000B3620">
        <w:rPr>
          <w:szCs w:val="28"/>
        </w:rPr>
        <w:t>à</w:t>
      </w:r>
      <w:r>
        <w:rPr>
          <w:szCs w:val="28"/>
        </w:rPr>
        <w:t xml:space="preserve"> </w:t>
      </w:r>
      <w:r w:rsidRPr="000B3620">
        <w:rPr>
          <w:szCs w:val="28"/>
        </w:rPr>
        <w:t>á</w:t>
      </w:r>
      <w:r>
        <w:rPr>
          <w:szCs w:val="28"/>
        </w:rPr>
        <w:t>p d</w:t>
      </w:r>
      <w:r w:rsidRPr="000B3620">
        <w:rPr>
          <w:szCs w:val="28"/>
        </w:rPr>
        <w:t>ụng</w:t>
      </w:r>
      <w:r>
        <w:rPr>
          <w:szCs w:val="28"/>
        </w:rPr>
        <w:t xml:space="preserve"> h</w:t>
      </w:r>
      <w:r w:rsidRPr="000B3620">
        <w:rPr>
          <w:szCs w:val="28"/>
        </w:rPr>
        <w:t>ó</w:t>
      </w:r>
      <w:r>
        <w:rPr>
          <w:szCs w:val="28"/>
        </w:rPr>
        <w:t xml:space="preserve">a </w:t>
      </w:r>
      <w:r w:rsidRPr="000B3620">
        <w:rPr>
          <w:szCs w:val="28"/>
        </w:rPr>
        <w:t>đơ</w:t>
      </w:r>
      <w:r>
        <w:rPr>
          <w:szCs w:val="28"/>
        </w:rPr>
        <w:t>n, ch</w:t>
      </w:r>
      <w:r w:rsidRPr="000B3620">
        <w:rPr>
          <w:szCs w:val="28"/>
        </w:rPr>
        <w:t>ứng</w:t>
      </w:r>
      <w:r>
        <w:rPr>
          <w:szCs w:val="28"/>
        </w:rPr>
        <w:t xml:space="preserve"> t</w:t>
      </w:r>
      <w:r w:rsidRPr="000B3620">
        <w:rPr>
          <w:szCs w:val="28"/>
        </w:rPr>
        <w:t>ừ</w:t>
      </w:r>
      <w:r>
        <w:rPr>
          <w:szCs w:val="28"/>
        </w:rPr>
        <w:t xml:space="preserve"> </w:t>
      </w:r>
      <w:r w:rsidRPr="000B3620">
        <w:rPr>
          <w:szCs w:val="28"/>
        </w:rPr>
        <w:t>đ</w:t>
      </w:r>
      <w:r>
        <w:rPr>
          <w:szCs w:val="28"/>
        </w:rPr>
        <w:t>i</w:t>
      </w:r>
      <w:r w:rsidRPr="000B3620">
        <w:rPr>
          <w:szCs w:val="28"/>
        </w:rPr>
        <w:t>ện</w:t>
      </w:r>
      <w:r>
        <w:rPr>
          <w:szCs w:val="28"/>
        </w:rPr>
        <w:t xml:space="preserve"> t</w:t>
      </w:r>
      <w:r w:rsidRPr="000B3620">
        <w:rPr>
          <w:szCs w:val="28"/>
        </w:rPr>
        <w:t>ử</w:t>
      </w:r>
      <w:r>
        <w:rPr>
          <w:szCs w:val="28"/>
        </w:rPr>
        <w:t xml:space="preserve"> cho c</w:t>
      </w:r>
      <w:r w:rsidRPr="000B3620">
        <w:rPr>
          <w:szCs w:val="28"/>
        </w:rPr>
        <w:t>á</w:t>
      </w:r>
      <w:r>
        <w:rPr>
          <w:szCs w:val="28"/>
        </w:rPr>
        <w:t>c giao d</w:t>
      </w:r>
      <w:r w:rsidRPr="000B3620">
        <w:rPr>
          <w:szCs w:val="28"/>
        </w:rPr>
        <w:t>ịch</w:t>
      </w:r>
      <w:r>
        <w:rPr>
          <w:szCs w:val="28"/>
        </w:rPr>
        <w:t xml:space="preserve"> kinh t</w:t>
      </w:r>
      <w:r w:rsidRPr="000B3620">
        <w:rPr>
          <w:szCs w:val="28"/>
        </w:rPr>
        <w:t>ế</w:t>
      </w:r>
      <w:r>
        <w:rPr>
          <w:szCs w:val="28"/>
        </w:rPr>
        <w:t>, giao d</w:t>
      </w:r>
      <w:r w:rsidRPr="000B3620">
        <w:rPr>
          <w:szCs w:val="28"/>
        </w:rPr>
        <w:t>ịch</w:t>
      </w:r>
      <w:r>
        <w:rPr>
          <w:szCs w:val="28"/>
        </w:rPr>
        <w:t xml:space="preserve"> thu thu</w:t>
      </w:r>
      <w:r w:rsidRPr="000B3620">
        <w:rPr>
          <w:szCs w:val="28"/>
        </w:rPr>
        <w:t>ế</w:t>
      </w:r>
      <w:r>
        <w:rPr>
          <w:szCs w:val="28"/>
        </w:rPr>
        <w:t>, ph</w:t>
      </w:r>
      <w:r w:rsidRPr="000B3620">
        <w:rPr>
          <w:szCs w:val="28"/>
        </w:rPr>
        <w:t>í</w:t>
      </w:r>
      <w:r>
        <w:rPr>
          <w:szCs w:val="28"/>
        </w:rPr>
        <w:t>, l</w:t>
      </w:r>
      <w:r w:rsidRPr="000B3620">
        <w:rPr>
          <w:szCs w:val="28"/>
        </w:rPr>
        <w:t>ệ</w:t>
      </w:r>
      <w:r>
        <w:rPr>
          <w:szCs w:val="28"/>
        </w:rPr>
        <w:t xml:space="preserve"> ph</w:t>
      </w:r>
      <w:r w:rsidRPr="000B3620">
        <w:rPr>
          <w:szCs w:val="28"/>
        </w:rPr>
        <w:t>í</w:t>
      </w:r>
      <w:r>
        <w:rPr>
          <w:szCs w:val="28"/>
        </w:rPr>
        <w:t>, tuy nhi</w:t>
      </w:r>
      <w:r w:rsidRPr="000B3620">
        <w:rPr>
          <w:szCs w:val="28"/>
        </w:rPr>
        <w:t>ê</w:t>
      </w:r>
      <w:r>
        <w:rPr>
          <w:szCs w:val="28"/>
        </w:rPr>
        <w:t>n th</w:t>
      </w:r>
      <w:r w:rsidRPr="000B3620">
        <w:rPr>
          <w:szCs w:val="28"/>
        </w:rPr>
        <w:t>ực</w:t>
      </w:r>
      <w:r>
        <w:rPr>
          <w:szCs w:val="28"/>
        </w:rPr>
        <w:t xml:space="preserve"> t</w:t>
      </w:r>
      <w:r w:rsidRPr="000B3620">
        <w:rPr>
          <w:szCs w:val="28"/>
        </w:rPr>
        <w:t>ế</w:t>
      </w:r>
      <w:r>
        <w:rPr>
          <w:szCs w:val="28"/>
        </w:rPr>
        <w:t xml:space="preserve"> s</w:t>
      </w:r>
      <w:r w:rsidRPr="000B3620">
        <w:rPr>
          <w:szCs w:val="28"/>
        </w:rPr>
        <w:t>ẽ</w:t>
      </w:r>
      <w:r>
        <w:rPr>
          <w:szCs w:val="28"/>
        </w:rPr>
        <w:t xml:space="preserve"> v</w:t>
      </w:r>
      <w:r w:rsidRPr="000B3620">
        <w:rPr>
          <w:szCs w:val="28"/>
        </w:rPr>
        <w:t>ẫn</w:t>
      </w:r>
      <w:r>
        <w:rPr>
          <w:szCs w:val="28"/>
        </w:rPr>
        <w:t xml:space="preserve"> ph</w:t>
      </w:r>
      <w:r w:rsidRPr="000B3620">
        <w:rPr>
          <w:szCs w:val="28"/>
        </w:rPr>
        <w:t>ải</w:t>
      </w:r>
      <w:r>
        <w:rPr>
          <w:szCs w:val="28"/>
        </w:rPr>
        <w:t xml:space="preserve"> c</w:t>
      </w:r>
      <w:r w:rsidRPr="000B3620">
        <w:rPr>
          <w:szCs w:val="28"/>
        </w:rPr>
        <w:t>ó</w:t>
      </w:r>
      <w:r>
        <w:rPr>
          <w:szCs w:val="28"/>
        </w:rPr>
        <w:t xml:space="preserve"> m</w:t>
      </w:r>
      <w:r w:rsidRPr="000B3620">
        <w:rPr>
          <w:szCs w:val="28"/>
        </w:rPr>
        <w:t>ột</w:t>
      </w:r>
      <w:r>
        <w:rPr>
          <w:szCs w:val="28"/>
        </w:rPr>
        <w:t xml:space="preserve"> s</w:t>
      </w:r>
      <w:r w:rsidRPr="000B3620">
        <w:rPr>
          <w:szCs w:val="28"/>
        </w:rPr>
        <w:t>ố</w:t>
      </w:r>
      <w:r>
        <w:rPr>
          <w:szCs w:val="28"/>
        </w:rPr>
        <w:t xml:space="preserve"> </w:t>
      </w:r>
      <w:r w:rsidRPr="000B3620">
        <w:rPr>
          <w:szCs w:val="28"/>
        </w:rPr>
        <w:t>ít</w:t>
      </w:r>
      <w:r>
        <w:rPr>
          <w:szCs w:val="28"/>
        </w:rPr>
        <w:t xml:space="preserve"> trư</w:t>
      </w:r>
      <w:r w:rsidRPr="000B3620">
        <w:rPr>
          <w:szCs w:val="28"/>
        </w:rPr>
        <w:t>ờng</w:t>
      </w:r>
      <w:r>
        <w:rPr>
          <w:szCs w:val="28"/>
        </w:rPr>
        <w:t xml:space="preserve"> h</w:t>
      </w:r>
      <w:r w:rsidRPr="000B3620">
        <w:rPr>
          <w:szCs w:val="28"/>
        </w:rPr>
        <w:t>ợp</w:t>
      </w:r>
      <w:r>
        <w:rPr>
          <w:szCs w:val="28"/>
        </w:rPr>
        <w:t xml:space="preserve"> </w:t>
      </w:r>
      <w:r w:rsidRPr="000B3620">
        <w:rPr>
          <w:szCs w:val="28"/>
        </w:rPr>
        <w:t>á</w:t>
      </w:r>
      <w:r>
        <w:rPr>
          <w:szCs w:val="28"/>
        </w:rPr>
        <w:t>p d</w:t>
      </w:r>
      <w:r w:rsidRPr="000B3620">
        <w:rPr>
          <w:szCs w:val="28"/>
        </w:rPr>
        <w:t>ụng</w:t>
      </w:r>
      <w:r>
        <w:rPr>
          <w:szCs w:val="28"/>
        </w:rPr>
        <w:t xml:space="preserve"> h</w:t>
      </w:r>
      <w:r w:rsidRPr="000B3620">
        <w:rPr>
          <w:szCs w:val="28"/>
        </w:rPr>
        <w:t>ó</w:t>
      </w:r>
      <w:r>
        <w:rPr>
          <w:szCs w:val="28"/>
        </w:rPr>
        <w:t xml:space="preserve">a </w:t>
      </w:r>
      <w:r w:rsidRPr="000B3620">
        <w:rPr>
          <w:szCs w:val="28"/>
        </w:rPr>
        <w:t>đơ</w:t>
      </w:r>
      <w:r>
        <w:rPr>
          <w:szCs w:val="28"/>
        </w:rPr>
        <w:t>n gi</w:t>
      </w:r>
      <w:r w:rsidRPr="000B3620">
        <w:rPr>
          <w:szCs w:val="28"/>
        </w:rPr>
        <w:t>ấ</w:t>
      </w:r>
      <w:r>
        <w:rPr>
          <w:szCs w:val="28"/>
        </w:rPr>
        <w:t>y, ch</w:t>
      </w:r>
      <w:r w:rsidRPr="000B3620">
        <w:rPr>
          <w:szCs w:val="28"/>
        </w:rPr>
        <w:t>ứng</w:t>
      </w:r>
      <w:r>
        <w:rPr>
          <w:szCs w:val="28"/>
        </w:rPr>
        <w:t xml:space="preserve"> t</w:t>
      </w:r>
      <w:r w:rsidRPr="000B3620">
        <w:rPr>
          <w:szCs w:val="28"/>
        </w:rPr>
        <w:t>ừ</w:t>
      </w:r>
      <w:r>
        <w:rPr>
          <w:szCs w:val="28"/>
        </w:rPr>
        <w:t xml:space="preserve"> gi</w:t>
      </w:r>
      <w:r w:rsidRPr="000B3620">
        <w:rPr>
          <w:szCs w:val="28"/>
        </w:rPr>
        <w:t>ấ</w:t>
      </w:r>
      <w:r>
        <w:rPr>
          <w:szCs w:val="28"/>
        </w:rPr>
        <w:t>y do ch</w:t>
      </w:r>
      <w:r w:rsidRPr="000B3620">
        <w:rPr>
          <w:szCs w:val="28"/>
        </w:rPr>
        <w:t>ư</w:t>
      </w:r>
      <w:r>
        <w:rPr>
          <w:szCs w:val="28"/>
        </w:rPr>
        <w:t xml:space="preserve">a </w:t>
      </w:r>
      <w:r w:rsidRPr="000B3620">
        <w:rPr>
          <w:szCs w:val="28"/>
        </w:rPr>
        <w:t>đủ</w:t>
      </w:r>
      <w:r>
        <w:rPr>
          <w:szCs w:val="28"/>
        </w:rPr>
        <w:t xml:space="preserve"> </w:t>
      </w:r>
      <w:r w:rsidRPr="000B3620">
        <w:rPr>
          <w:szCs w:val="28"/>
        </w:rPr>
        <w:t>đ</w:t>
      </w:r>
      <w:r>
        <w:rPr>
          <w:szCs w:val="28"/>
        </w:rPr>
        <w:t>i</w:t>
      </w:r>
      <w:r w:rsidRPr="000B3620">
        <w:rPr>
          <w:szCs w:val="28"/>
        </w:rPr>
        <w:t>ề</w:t>
      </w:r>
      <w:r>
        <w:rPr>
          <w:szCs w:val="28"/>
        </w:rPr>
        <w:t>u ki</w:t>
      </w:r>
      <w:r w:rsidRPr="000B3620">
        <w:rPr>
          <w:szCs w:val="28"/>
        </w:rPr>
        <w:t>ện</w:t>
      </w:r>
      <w:r>
        <w:rPr>
          <w:szCs w:val="28"/>
        </w:rPr>
        <w:t xml:space="preserve"> </w:t>
      </w:r>
      <w:r w:rsidRPr="000B3620">
        <w:rPr>
          <w:szCs w:val="28"/>
        </w:rPr>
        <w:t>á</w:t>
      </w:r>
      <w:r>
        <w:rPr>
          <w:szCs w:val="28"/>
        </w:rPr>
        <w:t>p d</w:t>
      </w:r>
      <w:r w:rsidRPr="000B3620">
        <w:rPr>
          <w:szCs w:val="28"/>
        </w:rPr>
        <w:t>ụng</w:t>
      </w:r>
      <w:r>
        <w:rPr>
          <w:szCs w:val="28"/>
        </w:rPr>
        <w:t xml:space="preserve"> ph</w:t>
      </w:r>
      <w:r w:rsidRPr="000B3620">
        <w:rPr>
          <w:szCs w:val="28"/>
        </w:rPr>
        <w:t>ươ</w:t>
      </w:r>
      <w:r>
        <w:rPr>
          <w:szCs w:val="28"/>
        </w:rPr>
        <w:t>ng th</w:t>
      </w:r>
      <w:r w:rsidRPr="000B3620">
        <w:rPr>
          <w:szCs w:val="28"/>
        </w:rPr>
        <w:t>ức</w:t>
      </w:r>
      <w:r>
        <w:rPr>
          <w:szCs w:val="28"/>
        </w:rPr>
        <w:t xml:space="preserve"> </w:t>
      </w:r>
      <w:r w:rsidRPr="000B3620">
        <w:rPr>
          <w:szCs w:val="28"/>
        </w:rPr>
        <w:t>đ</w:t>
      </w:r>
      <w:r>
        <w:rPr>
          <w:szCs w:val="28"/>
        </w:rPr>
        <w:t>i</w:t>
      </w:r>
      <w:r w:rsidRPr="000B3620">
        <w:rPr>
          <w:szCs w:val="28"/>
        </w:rPr>
        <w:t>ện</w:t>
      </w:r>
      <w:r>
        <w:rPr>
          <w:szCs w:val="28"/>
        </w:rPr>
        <w:t xml:space="preserve"> t</w:t>
      </w:r>
      <w:r w:rsidRPr="000B3620">
        <w:rPr>
          <w:szCs w:val="28"/>
        </w:rPr>
        <w:t>ử</w:t>
      </w:r>
      <w:r>
        <w:rPr>
          <w:szCs w:val="28"/>
        </w:rPr>
        <w:t>. Qua r</w:t>
      </w:r>
      <w:r w:rsidRPr="000B3620">
        <w:rPr>
          <w:szCs w:val="28"/>
        </w:rPr>
        <w:t>à</w:t>
      </w:r>
      <w:r>
        <w:rPr>
          <w:szCs w:val="28"/>
        </w:rPr>
        <w:t xml:space="preserve"> s</w:t>
      </w:r>
      <w:r w:rsidRPr="000B3620">
        <w:rPr>
          <w:szCs w:val="28"/>
        </w:rPr>
        <w:t>oát</w:t>
      </w:r>
      <w:r>
        <w:rPr>
          <w:szCs w:val="28"/>
        </w:rPr>
        <w:t xml:space="preserve"> kinh nghi</w:t>
      </w:r>
      <w:r w:rsidRPr="000B3620">
        <w:rPr>
          <w:szCs w:val="28"/>
        </w:rPr>
        <w:t>ệm</w:t>
      </w:r>
      <w:r>
        <w:rPr>
          <w:szCs w:val="28"/>
        </w:rPr>
        <w:t xml:space="preserve"> qu</w:t>
      </w:r>
      <w:r w:rsidRPr="000B3620">
        <w:rPr>
          <w:szCs w:val="28"/>
        </w:rPr>
        <w:t>ốc</w:t>
      </w:r>
      <w:r>
        <w:rPr>
          <w:szCs w:val="28"/>
        </w:rPr>
        <w:t xml:space="preserve"> t</w:t>
      </w:r>
      <w:r w:rsidRPr="000B3620">
        <w:rPr>
          <w:szCs w:val="28"/>
        </w:rPr>
        <w:t>ế</w:t>
      </w:r>
      <w:r>
        <w:rPr>
          <w:szCs w:val="28"/>
        </w:rPr>
        <w:t xml:space="preserve"> th</w:t>
      </w:r>
      <w:r w:rsidRPr="000B3620">
        <w:rPr>
          <w:szCs w:val="28"/>
        </w:rPr>
        <w:t>ì</w:t>
      </w:r>
      <w:r>
        <w:rPr>
          <w:szCs w:val="28"/>
        </w:rPr>
        <w:t xml:space="preserve"> t</w:t>
      </w:r>
      <w:r w:rsidRPr="000B3620">
        <w:rPr>
          <w:szCs w:val="28"/>
        </w:rPr>
        <w:t>ại</w:t>
      </w:r>
      <w:r>
        <w:rPr>
          <w:szCs w:val="28"/>
        </w:rPr>
        <w:t xml:space="preserve"> c</w:t>
      </w:r>
      <w:r w:rsidRPr="000B3620">
        <w:rPr>
          <w:szCs w:val="28"/>
        </w:rPr>
        <w:t>á</w:t>
      </w:r>
      <w:r>
        <w:rPr>
          <w:szCs w:val="28"/>
        </w:rPr>
        <w:t>c nư</w:t>
      </w:r>
      <w:r w:rsidRPr="000B3620">
        <w:rPr>
          <w:szCs w:val="28"/>
        </w:rPr>
        <w:t>ớc</w:t>
      </w:r>
      <w:r>
        <w:rPr>
          <w:szCs w:val="28"/>
        </w:rPr>
        <w:t xml:space="preserve"> </w:t>
      </w:r>
      <w:r w:rsidRPr="000B3620">
        <w:rPr>
          <w:szCs w:val="28"/>
        </w:rPr>
        <w:t>đã</w:t>
      </w:r>
      <w:r>
        <w:rPr>
          <w:szCs w:val="28"/>
        </w:rPr>
        <w:t xml:space="preserve"> c</w:t>
      </w:r>
      <w:r w:rsidRPr="000B3620">
        <w:rPr>
          <w:szCs w:val="28"/>
        </w:rPr>
        <w:t>ó</w:t>
      </w:r>
      <w:r>
        <w:rPr>
          <w:szCs w:val="28"/>
        </w:rPr>
        <w:t xml:space="preserve"> quy </w:t>
      </w:r>
      <w:r w:rsidRPr="000B3620">
        <w:rPr>
          <w:szCs w:val="28"/>
        </w:rPr>
        <w:t>định</w:t>
      </w:r>
      <w:r>
        <w:rPr>
          <w:szCs w:val="28"/>
        </w:rPr>
        <w:t xml:space="preserve"> </w:t>
      </w:r>
      <w:r w:rsidRPr="000B3620">
        <w:rPr>
          <w:szCs w:val="28"/>
        </w:rPr>
        <w:t>á</w:t>
      </w:r>
      <w:r>
        <w:rPr>
          <w:szCs w:val="28"/>
        </w:rPr>
        <w:t>p d</w:t>
      </w:r>
      <w:r w:rsidRPr="000B3620">
        <w:rPr>
          <w:szCs w:val="28"/>
        </w:rPr>
        <w:t>ụng</w:t>
      </w:r>
      <w:r>
        <w:rPr>
          <w:szCs w:val="28"/>
        </w:rPr>
        <w:t xml:space="preserve"> h</w:t>
      </w:r>
      <w:r w:rsidRPr="000B3620">
        <w:rPr>
          <w:szCs w:val="28"/>
        </w:rPr>
        <w:t>ó</w:t>
      </w:r>
      <w:r>
        <w:rPr>
          <w:szCs w:val="28"/>
        </w:rPr>
        <w:t xml:space="preserve">a </w:t>
      </w:r>
      <w:r w:rsidRPr="000B3620">
        <w:rPr>
          <w:szCs w:val="28"/>
        </w:rPr>
        <w:t>đơ</w:t>
      </w:r>
      <w:r>
        <w:rPr>
          <w:szCs w:val="28"/>
        </w:rPr>
        <w:t xml:space="preserve">n </w:t>
      </w:r>
      <w:r w:rsidRPr="000B3620">
        <w:rPr>
          <w:szCs w:val="28"/>
        </w:rPr>
        <w:t>đ</w:t>
      </w:r>
      <w:r>
        <w:rPr>
          <w:szCs w:val="28"/>
        </w:rPr>
        <w:t>i</w:t>
      </w:r>
      <w:r w:rsidRPr="000B3620">
        <w:rPr>
          <w:szCs w:val="28"/>
        </w:rPr>
        <w:t>ện</w:t>
      </w:r>
      <w:r>
        <w:rPr>
          <w:szCs w:val="28"/>
        </w:rPr>
        <w:t xml:space="preserve"> t</w:t>
      </w:r>
      <w:r w:rsidRPr="000B3620">
        <w:rPr>
          <w:szCs w:val="28"/>
        </w:rPr>
        <w:t>ử</w:t>
      </w:r>
      <w:r>
        <w:rPr>
          <w:szCs w:val="28"/>
        </w:rPr>
        <w:t xml:space="preserve"> th</w:t>
      </w:r>
      <w:r w:rsidRPr="000B3620">
        <w:rPr>
          <w:szCs w:val="28"/>
        </w:rPr>
        <w:t>ì</w:t>
      </w:r>
      <w:r>
        <w:rPr>
          <w:szCs w:val="28"/>
        </w:rPr>
        <w:t xml:space="preserve"> v</w:t>
      </w:r>
      <w:r w:rsidRPr="000B3620">
        <w:rPr>
          <w:szCs w:val="28"/>
        </w:rPr>
        <w:t>ẫn</w:t>
      </w:r>
      <w:r>
        <w:rPr>
          <w:szCs w:val="28"/>
        </w:rPr>
        <w:t xml:space="preserve"> c</w:t>
      </w:r>
      <w:r w:rsidRPr="000B3620">
        <w:rPr>
          <w:szCs w:val="28"/>
        </w:rPr>
        <w:t>ó</w:t>
      </w:r>
      <w:r>
        <w:rPr>
          <w:szCs w:val="28"/>
        </w:rPr>
        <w:t xml:space="preserve"> m</w:t>
      </w:r>
      <w:r w:rsidRPr="000B3620">
        <w:rPr>
          <w:szCs w:val="28"/>
        </w:rPr>
        <w:t>ột</w:t>
      </w:r>
      <w:r>
        <w:rPr>
          <w:szCs w:val="28"/>
        </w:rPr>
        <w:t xml:space="preserve"> b</w:t>
      </w:r>
      <w:r w:rsidRPr="000B3620">
        <w:rPr>
          <w:szCs w:val="28"/>
        </w:rPr>
        <w:t>ộ</w:t>
      </w:r>
      <w:r>
        <w:rPr>
          <w:szCs w:val="28"/>
        </w:rPr>
        <w:t xml:space="preserve"> ph</w:t>
      </w:r>
      <w:r w:rsidRPr="000B3620">
        <w:rPr>
          <w:szCs w:val="28"/>
        </w:rPr>
        <w:t>ận</w:t>
      </w:r>
      <w:r>
        <w:rPr>
          <w:szCs w:val="28"/>
        </w:rPr>
        <w:t xml:space="preserve"> doanh nghi</w:t>
      </w:r>
      <w:r w:rsidRPr="000B3620">
        <w:rPr>
          <w:szCs w:val="28"/>
        </w:rPr>
        <w:t>ệp</w:t>
      </w:r>
      <w:r>
        <w:rPr>
          <w:szCs w:val="28"/>
        </w:rPr>
        <w:t>, t</w:t>
      </w:r>
      <w:r w:rsidRPr="000B3620">
        <w:rPr>
          <w:szCs w:val="28"/>
        </w:rPr>
        <w:t>ổ</w:t>
      </w:r>
      <w:r>
        <w:rPr>
          <w:szCs w:val="28"/>
        </w:rPr>
        <w:t xml:space="preserve"> ch</w:t>
      </w:r>
      <w:r w:rsidRPr="000B3620">
        <w:rPr>
          <w:szCs w:val="28"/>
        </w:rPr>
        <w:t>ức</w:t>
      </w:r>
      <w:r>
        <w:rPr>
          <w:szCs w:val="28"/>
        </w:rPr>
        <w:t xml:space="preserve"> </w:t>
      </w:r>
      <w:r w:rsidRPr="000B3620">
        <w:rPr>
          <w:szCs w:val="28"/>
        </w:rPr>
        <w:t>á</w:t>
      </w:r>
      <w:r>
        <w:rPr>
          <w:szCs w:val="28"/>
        </w:rPr>
        <w:t>p d</w:t>
      </w:r>
      <w:r w:rsidRPr="000B3620">
        <w:rPr>
          <w:szCs w:val="28"/>
        </w:rPr>
        <w:t>ụng</w:t>
      </w:r>
      <w:r>
        <w:rPr>
          <w:szCs w:val="28"/>
        </w:rPr>
        <w:t xml:space="preserve"> h</w:t>
      </w:r>
      <w:r w:rsidRPr="000B3620">
        <w:rPr>
          <w:szCs w:val="28"/>
        </w:rPr>
        <w:t>ó</w:t>
      </w:r>
      <w:r>
        <w:rPr>
          <w:szCs w:val="28"/>
        </w:rPr>
        <w:t xml:space="preserve">a </w:t>
      </w:r>
      <w:r w:rsidRPr="000B3620">
        <w:rPr>
          <w:szCs w:val="28"/>
        </w:rPr>
        <w:t>đơ</w:t>
      </w:r>
      <w:r>
        <w:rPr>
          <w:szCs w:val="28"/>
        </w:rPr>
        <w:t>n gi</w:t>
      </w:r>
      <w:r w:rsidRPr="000B3620">
        <w:rPr>
          <w:szCs w:val="28"/>
        </w:rPr>
        <w:t>ấ</w:t>
      </w:r>
      <w:r>
        <w:rPr>
          <w:szCs w:val="28"/>
        </w:rPr>
        <w:t>y, ch</w:t>
      </w:r>
      <w:r w:rsidRPr="000B3620">
        <w:rPr>
          <w:szCs w:val="28"/>
        </w:rPr>
        <w:t>ứng</w:t>
      </w:r>
      <w:r>
        <w:rPr>
          <w:szCs w:val="28"/>
        </w:rPr>
        <w:t xml:space="preserve"> t</w:t>
      </w:r>
      <w:r w:rsidRPr="000B3620">
        <w:rPr>
          <w:szCs w:val="28"/>
        </w:rPr>
        <w:t>ừ</w:t>
      </w:r>
      <w:r>
        <w:rPr>
          <w:szCs w:val="28"/>
        </w:rPr>
        <w:t xml:space="preserve"> gi</w:t>
      </w:r>
      <w:r w:rsidRPr="000B3620">
        <w:rPr>
          <w:szCs w:val="28"/>
        </w:rPr>
        <w:t>ấ</w:t>
      </w:r>
      <w:r>
        <w:rPr>
          <w:szCs w:val="28"/>
        </w:rPr>
        <w:t>y theo h</w:t>
      </w:r>
      <w:r w:rsidRPr="000B3620">
        <w:rPr>
          <w:szCs w:val="28"/>
        </w:rPr>
        <w:t>ìn</w:t>
      </w:r>
      <w:r>
        <w:rPr>
          <w:szCs w:val="28"/>
        </w:rPr>
        <w:t>h th</w:t>
      </w:r>
      <w:r w:rsidRPr="000B3620">
        <w:rPr>
          <w:szCs w:val="28"/>
        </w:rPr>
        <w:t>ức</w:t>
      </w:r>
      <w:r>
        <w:rPr>
          <w:szCs w:val="28"/>
        </w:rPr>
        <w:t xml:space="preserve"> truy</w:t>
      </w:r>
      <w:r w:rsidRPr="000B3620">
        <w:rPr>
          <w:szCs w:val="28"/>
        </w:rPr>
        <w:t>ề</w:t>
      </w:r>
      <w:r>
        <w:rPr>
          <w:szCs w:val="28"/>
        </w:rPr>
        <w:t>n th</w:t>
      </w:r>
      <w:r w:rsidRPr="000B3620">
        <w:rPr>
          <w:szCs w:val="28"/>
        </w:rPr>
        <w:t>ống</w:t>
      </w:r>
      <w:r>
        <w:rPr>
          <w:szCs w:val="28"/>
        </w:rPr>
        <w:t xml:space="preserve">. </w:t>
      </w:r>
    </w:p>
    <w:p w14:paraId="2D47FD09" w14:textId="77777777" w:rsidR="007204EE" w:rsidRPr="00AE2A95" w:rsidRDefault="007204EE" w:rsidP="007204EE">
      <w:pPr>
        <w:widowControl w:val="0"/>
        <w:spacing w:before="120" w:after="120"/>
        <w:ind w:firstLine="720"/>
        <w:rPr>
          <w:szCs w:val="28"/>
          <w:lang w:val="vi-VN"/>
        </w:rPr>
      </w:pPr>
      <w:r>
        <w:rPr>
          <w:szCs w:val="28"/>
          <w:lang w:val="vi-VN"/>
        </w:rPr>
        <w:t xml:space="preserve"> Từ tình hình trên, Bộ Tài chính trình Chính phủ tên gọi Nghị định là:</w:t>
      </w:r>
      <w:r w:rsidRPr="00670A33">
        <w:rPr>
          <w:i/>
          <w:szCs w:val="28"/>
          <w:lang w:val="nl-NL"/>
        </w:rPr>
        <w:t xml:space="preserve"> </w:t>
      </w:r>
      <w:r>
        <w:rPr>
          <w:i/>
          <w:szCs w:val="28"/>
          <w:lang w:val="vi-VN"/>
        </w:rPr>
        <w:t>“</w:t>
      </w:r>
      <w:r w:rsidRPr="009C2E1F">
        <w:rPr>
          <w:i/>
          <w:szCs w:val="28"/>
          <w:lang w:val="nl-NL"/>
        </w:rPr>
        <w:t>Nghị định quy định về hóa đơn, chứng từ</w:t>
      </w:r>
      <w:r>
        <w:rPr>
          <w:i/>
          <w:szCs w:val="28"/>
          <w:lang w:val="vi-VN"/>
        </w:rPr>
        <w:t xml:space="preserve">” </w:t>
      </w:r>
      <w:r>
        <w:rPr>
          <w:szCs w:val="28"/>
          <w:lang w:val="vi-VN"/>
        </w:rPr>
        <w:t xml:space="preserve">để thay thế cho Nghị định 119 và Nghị định này được hướng dẫn trên cơ sở Luật quản lý thuế cũng như phải căn cứ vào các Luật: </w:t>
      </w:r>
      <w:r w:rsidRPr="009C2E1F">
        <w:rPr>
          <w:szCs w:val="28"/>
          <w:lang w:val="nl-NL"/>
        </w:rPr>
        <w:t>Luật thuế giá trị gia tăng, Luật phí, lệ phí</w:t>
      </w:r>
      <w:r>
        <w:rPr>
          <w:szCs w:val="28"/>
          <w:lang w:val="vi-VN"/>
        </w:rPr>
        <w:t xml:space="preserve"> và</w:t>
      </w:r>
      <w:r w:rsidRPr="009C2E1F">
        <w:rPr>
          <w:szCs w:val="28"/>
          <w:lang w:val="nl-NL"/>
        </w:rPr>
        <w:t xml:space="preserve"> Luật Kế toán</w:t>
      </w:r>
      <w:r>
        <w:rPr>
          <w:szCs w:val="28"/>
          <w:lang w:val="vi-VN"/>
        </w:rPr>
        <w:t>.</w:t>
      </w:r>
    </w:p>
    <w:p w14:paraId="3DC30A0E" w14:textId="77777777" w:rsidR="007204EE" w:rsidRDefault="007204EE" w:rsidP="007204EE">
      <w:pPr>
        <w:widowControl w:val="0"/>
        <w:spacing w:before="120" w:after="120"/>
        <w:ind w:firstLine="720"/>
        <w:rPr>
          <w:b/>
          <w:szCs w:val="28"/>
          <w:lang w:val="nl-NL"/>
        </w:rPr>
      </w:pPr>
      <w:r w:rsidRPr="00AE2A95">
        <w:rPr>
          <w:b/>
          <w:szCs w:val="28"/>
          <w:lang w:val="nl-NL"/>
        </w:rPr>
        <w:t xml:space="preserve">2. Về kết cấu </w:t>
      </w:r>
    </w:p>
    <w:p w14:paraId="7E658603" w14:textId="77777777" w:rsidR="007204EE" w:rsidRPr="00AE2A95" w:rsidRDefault="007204EE" w:rsidP="007204EE">
      <w:pPr>
        <w:widowControl w:val="0"/>
        <w:spacing w:before="120" w:after="120"/>
        <w:ind w:firstLine="720"/>
        <w:rPr>
          <w:iCs/>
          <w:szCs w:val="28"/>
          <w:lang w:val="nl-NL"/>
        </w:rPr>
      </w:pPr>
      <w:r w:rsidRPr="00AE2A95">
        <w:rPr>
          <w:iCs/>
          <w:szCs w:val="28"/>
          <w:lang w:val="nl-NL"/>
        </w:rPr>
        <w:t>Nghị định bao gồm 6 Chương với 53 Điều, 1 Quy chế và 02 Phụ lục kèm theo, cụ thể như sau:</w:t>
      </w:r>
    </w:p>
    <w:p w14:paraId="17D31382" w14:textId="77777777" w:rsidR="007204EE" w:rsidRPr="00DD2279" w:rsidRDefault="007204EE" w:rsidP="007204EE">
      <w:pPr>
        <w:widowControl w:val="0"/>
        <w:spacing w:before="120" w:after="120"/>
        <w:ind w:firstLine="720"/>
        <w:rPr>
          <w:iCs/>
          <w:szCs w:val="28"/>
        </w:rPr>
      </w:pPr>
      <w:r w:rsidRPr="00AE2A95">
        <w:rPr>
          <w:iCs/>
          <w:szCs w:val="28"/>
          <w:lang w:val="nl-NL"/>
        </w:rPr>
        <w:t>- Chương I: Những quy định chung (gồm 6 Điều từ Điều 1 – Điều 6)</w:t>
      </w:r>
      <w:r>
        <w:rPr>
          <w:iCs/>
          <w:szCs w:val="28"/>
          <w:lang w:val="vi-VN"/>
        </w:rPr>
        <w:t xml:space="preserve"> bao gồm </w:t>
      </w:r>
      <w:r>
        <w:rPr>
          <w:iCs/>
          <w:szCs w:val="28"/>
          <w:lang w:val="vi-VN"/>
        </w:rPr>
        <w:lastRenderedPageBreak/>
        <w:t xml:space="preserve">các nội dung như: phạm vi điều chỉnh, đối tượng áp dụng, giải thích từ ngữ và </w:t>
      </w:r>
      <w:r w:rsidRPr="009C2E1F">
        <w:rPr>
          <w:lang w:val="sv-SE"/>
        </w:rPr>
        <w:t>nguyên tắc lập, quản lý, sử dụng hóa đơn, chứng từ</w:t>
      </w:r>
      <w:r>
        <w:t xml:space="preserve">. </w:t>
      </w:r>
    </w:p>
    <w:p w14:paraId="17A023CB" w14:textId="77777777" w:rsidR="007204EE" w:rsidRPr="00AE2A95" w:rsidRDefault="007204EE" w:rsidP="007204EE">
      <w:pPr>
        <w:widowControl w:val="0"/>
        <w:spacing w:before="120" w:after="120"/>
        <w:ind w:firstLine="720"/>
        <w:rPr>
          <w:iCs/>
          <w:szCs w:val="28"/>
          <w:lang w:val="vi-VN"/>
        </w:rPr>
      </w:pPr>
      <w:r w:rsidRPr="00AE2A95">
        <w:rPr>
          <w:iCs/>
          <w:szCs w:val="28"/>
          <w:lang w:val="nl-NL"/>
        </w:rPr>
        <w:t>- Chương II: Quy định đối với hóa đơn (gồm 26 Điều chia làm 3 Mục)</w:t>
      </w:r>
      <w:r>
        <w:rPr>
          <w:iCs/>
          <w:szCs w:val="28"/>
          <w:lang w:val="vi-VN"/>
        </w:rPr>
        <w:t xml:space="preserve"> bao gồm các </w:t>
      </w:r>
      <w:r>
        <w:rPr>
          <w:iCs/>
          <w:szCs w:val="28"/>
        </w:rPr>
        <w:t xml:space="preserve">quy </w:t>
      </w:r>
      <w:r w:rsidRPr="00301386">
        <w:rPr>
          <w:iCs/>
          <w:szCs w:val="28"/>
        </w:rPr>
        <w:t>định</w:t>
      </w:r>
      <w:r>
        <w:rPr>
          <w:iCs/>
          <w:szCs w:val="28"/>
        </w:rPr>
        <w:t xml:space="preserve"> v</w:t>
      </w:r>
      <w:r w:rsidRPr="00301386">
        <w:rPr>
          <w:iCs/>
          <w:szCs w:val="28"/>
        </w:rPr>
        <w:t>ề</w:t>
      </w:r>
      <w:r>
        <w:rPr>
          <w:iCs/>
          <w:szCs w:val="28"/>
        </w:rPr>
        <w:t xml:space="preserve">  </w:t>
      </w:r>
      <w:r w:rsidRPr="007C670C">
        <w:rPr>
          <w:iCs/>
          <w:szCs w:val="28"/>
          <w:lang w:val="vi-VN"/>
        </w:rPr>
        <w:t>qu</w:t>
      </w:r>
      <w:r w:rsidRPr="00B30599">
        <w:rPr>
          <w:iCs/>
          <w:szCs w:val="28"/>
          <w:lang w:val="vi-VN"/>
        </w:rPr>
        <w:t>ản lý hóa đơn,</w:t>
      </w:r>
      <w:r>
        <w:rPr>
          <w:iCs/>
          <w:szCs w:val="28"/>
          <w:lang w:val="vi-VN"/>
        </w:rPr>
        <w:t xml:space="preserve"> quy định về hóa đơn điện tử và hóa đơn do cơ quan thuế đặt in.</w:t>
      </w:r>
    </w:p>
    <w:p w14:paraId="7589D3BF" w14:textId="77777777" w:rsidR="007204EE" w:rsidRPr="00DD2279" w:rsidRDefault="007204EE" w:rsidP="007204EE">
      <w:pPr>
        <w:widowControl w:val="0"/>
        <w:spacing w:before="120" w:after="120"/>
        <w:ind w:firstLine="720"/>
        <w:rPr>
          <w:iCs/>
          <w:szCs w:val="28"/>
        </w:rPr>
      </w:pPr>
      <w:r w:rsidRPr="00AE2A95">
        <w:rPr>
          <w:iCs/>
          <w:szCs w:val="28"/>
          <w:lang w:val="nl-NL"/>
        </w:rPr>
        <w:t>- Chương III: Quy định đối với chứng từ (gồm 10 Điều từ Điều 33 – Điều 42)</w:t>
      </w:r>
      <w:r>
        <w:rPr>
          <w:iCs/>
          <w:szCs w:val="28"/>
          <w:lang w:val="vi-VN"/>
        </w:rPr>
        <w:t xml:space="preserve"> bao gồm các nội dung quy định chung về chứng từ</w:t>
      </w:r>
      <w:r>
        <w:rPr>
          <w:iCs/>
          <w:szCs w:val="28"/>
        </w:rPr>
        <w:t>, ch</w:t>
      </w:r>
      <w:r w:rsidRPr="00301386">
        <w:rPr>
          <w:iCs/>
          <w:szCs w:val="28"/>
        </w:rPr>
        <w:t>ứng</w:t>
      </w:r>
      <w:r>
        <w:rPr>
          <w:iCs/>
          <w:szCs w:val="28"/>
        </w:rPr>
        <w:t xml:space="preserve"> t</w:t>
      </w:r>
      <w:r w:rsidRPr="00301386">
        <w:rPr>
          <w:iCs/>
          <w:szCs w:val="28"/>
        </w:rPr>
        <w:t>ừ</w:t>
      </w:r>
      <w:r>
        <w:rPr>
          <w:iCs/>
          <w:szCs w:val="28"/>
        </w:rPr>
        <w:t xml:space="preserve"> ti</w:t>
      </w:r>
      <w:r w:rsidRPr="00301386">
        <w:rPr>
          <w:iCs/>
          <w:szCs w:val="28"/>
        </w:rPr>
        <w:t>ện</w:t>
      </w:r>
      <w:r>
        <w:rPr>
          <w:iCs/>
          <w:szCs w:val="28"/>
        </w:rPr>
        <w:t xml:space="preserve"> t</w:t>
      </w:r>
      <w:r w:rsidRPr="00301386">
        <w:rPr>
          <w:iCs/>
          <w:szCs w:val="28"/>
        </w:rPr>
        <w:t>ử</w:t>
      </w:r>
      <w:r>
        <w:rPr>
          <w:iCs/>
          <w:szCs w:val="28"/>
        </w:rPr>
        <w:t xml:space="preserve"> v</w:t>
      </w:r>
      <w:r w:rsidRPr="00301386">
        <w:rPr>
          <w:iCs/>
          <w:szCs w:val="28"/>
        </w:rPr>
        <w:t>à</w:t>
      </w:r>
      <w:r>
        <w:rPr>
          <w:iCs/>
          <w:szCs w:val="28"/>
        </w:rPr>
        <w:t xml:space="preserve"> ch</w:t>
      </w:r>
      <w:r w:rsidRPr="00301386">
        <w:rPr>
          <w:iCs/>
          <w:szCs w:val="28"/>
        </w:rPr>
        <w:t>ứng</w:t>
      </w:r>
      <w:r>
        <w:rPr>
          <w:iCs/>
          <w:szCs w:val="28"/>
        </w:rPr>
        <w:t xml:space="preserve"> t</w:t>
      </w:r>
      <w:r w:rsidRPr="00301386">
        <w:rPr>
          <w:iCs/>
          <w:szCs w:val="28"/>
        </w:rPr>
        <w:t>ừ</w:t>
      </w:r>
      <w:r>
        <w:rPr>
          <w:iCs/>
          <w:szCs w:val="28"/>
        </w:rPr>
        <w:t xml:space="preserve"> theo h</w:t>
      </w:r>
      <w:r w:rsidRPr="00301386">
        <w:rPr>
          <w:iCs/>
          <w:szCs w:val="28"/>
        </w:rPr>
        <w:t>ìn</w:t>
      </w:r>
      <w:r>
        <w:rPr>
          <w:iCs/>
          <w:szCs w:val="28"/>
        </w:rPr>
        <w:t>h th</w:t>
      </w:r>
      <w:r w:rsidRPr="00301386">
        <w:rPr>
          <w:iCs/>
          <w:szCs w:val="28"/>
        </w:rPr>
        <w:t>ức</w:t>
      </w:r>
      <w:r>
        <w:rPr>
          <w:iCs/>
          <w:szCs w:val="28"/>
        </w:rPr>
        <w:t xml:space="preserve"> đ</w:t>
      </w:r>
      <w:r w:rsidRPr="00301386">
        <w:rPr>
          <w:iCs/>
          <w:szCs w:val="28"/>
        </w:rPr>
        <w:t>ặt</w:t>
      </w:r>
      <w:r>
        <w:rPr>
          <w:iCs/>
          <w:szCs w:val="28"/>
        </w:rPr>
        <w:t xml:space="preserve"> in. </w:t>
      </w:r>
    </w:p>
    <w:p w14:paraId="438D3EA6" w14:textId="77777777" w:rsidR="007204EE" w:rsidRPr="00AE2A95" w:rsidRDefault="007204EE" w:rsidP="007204EE">
      <w:pPr>
        <w:widowControl w:val="0"/>
        <w:spacing w:before="120" w:after="120"/>
        <w:ind w:firstLine="720"/>
        <w:rPr>
          <w:iCs/>
          <w:szCs w:val="28"/>
          <w:lang w:val="nl-NL"/>
        </w:rPr>
      </w:pPr>
      <w:r w:rsidRPr="00AE2A95">
        <w:rPr>
          <w:iCs/>
          <w:szCs w:val="28"/>
          <w:lang w:val="nl-NL"/>
        </w:rPr>
        <w:t>- Chương IV: Xây dựng thông tin hóa đơn điện tử, chứng từ điện tử (gồm 4 Điều từ Điều 43 – Điều 46)</w:t>
      </w:r>
    </w:p>
    <w:p w14:paraId="1CA92E50" w14:textId="77777777" w:rsidR="007204EE" w:rsidRPr="00AE2A95" w:rsidRDefault="007204EE" w:rsidP="007204EE">
      <w:pPr>
        <w:widowControl w:val="0"/>
        <w:spacing w:before="120" w:after="120"/>
        <w:ind w:firstLine="720"/>
        <w:rPr>
          <w:iCs/>
          <w:szCs w:val="28"/>
          <w:lang w:val="nl-NL"/>
        </w:rPr>
      </w:pPr>
      <w:r w:rsidRPr="00AE2A95">
        <w:rPr>
          <w:iCs/>
          <w:szCs w:val="28"/>
          <w:lang w:val="nl-NL"/>
        </w:rPr>
        <w:t>- Chương V: Quyền, nghĩa vụ, trách nhiệm của các tổ chức, cá nhân trong quản lý, sử dụng hóa đơn, chứng từ điện tử (gồm 5 Điều từ Điều 47 – Điều 51)</w:t>
      </w:r>
    </w:p>
    <w:p w14:paraId="21627BE5" w14:textId="77777777" w:rsidR="007204EE" w:rsidRPr="00AE2A95" w:rsidRDefault="007204EE" w:rsidP="007204EE">
      <w:pPr>
        <w:widowControl w:val="0"/>
        <w:spacing w:before="120" w:after="120"/>
        <w:ind w:firstLine="720"/>
        <w:rPr>
          <w:iCs/>
          <w:szCs w:val="28"/>
          <w:lang w:val="nl-NL"/>
        </w:rPr>
      </w:pPr>
      <w:r w:rsidRPr="00AE2A95">
        <w:rPr>
          <w:iCs/>
          <w:szCs w:val="28"/>
          <w:lang w:val="nl-NL"/>
        </w:rPr>
        <w:t>- Chương VI: Điều khoản thi hành (gồm 2 Điều: Điều 52 và Điều 53)</w:t>
      </w:r>
    </w:p>
    <w:p w14:paraId="5A37C8F2" w14:textId="77777777" w:rsidR="007204EE" w:rsidRDefault="007204EE" w:rsidP="007204EE">
      <w:pPr>
        <w:widowControl w:val="0"/>
        <w:spacing w:before="120" w:after="120"/>
        <w:ind w:firstLine="720"/>
        <w:rPr>
          <w:iCs/>
          <w:szCs w:val="28"/>
          <w:lang w:val="nl-NL"/>
        </w:rPr>
      </w:pPr>
      <w:r>
        <w:rPr>
          <w:iCs/>
          <w:szCs w:val="28"/>
          <w:lang w:val="nl-NL"/>
        </w:rPr>
        <w:t>Ngh</w:t>
      </w:r>
      <w:r w:rsidRPr="00301386">
        <w:rPr>
          <w:iCs/>
          <w:szCs w:val="28"/>
          <w:lang w:val="nl-NL"/>
        </w:rPr>
        <w:t>ị</w:t>
      </w:r>
      <w:r>
        <w:rPr>
          <w:iCs/>
          <w:szCs w:val="28"/>
          <w:lang w:val="nl-NL"/>
        </w:rPr>
        <w:t xml:space="preserve"> </w:t>
      </w:r>
      <w:r w:rsidRPr="00301386">
        <w:rPr>
          <w:iCs/>
          <w:szCs w:val="28"/>
          <w:lang w:val="nl-NL"/>
        </w:rPr>
        <w:t>định</w:t>
      </w:r>
      <w:r>
        <w:rPr>
          <w:iCs/>
          <w:szCs w:val="28"/>
          <w:lang w:val="nl-NL"/>
        </w:rPr>
        <w:t xml:space="preserve"> ban h</w:t>
      </w:r>
      <w:r w:rsidRPr="00301386">
        <w:rPr>
          <w:iCs/>
          <w:szCs w:val="28"/>
          <w:lang w:val="nl-NL"/>
        </w:rPr>
        <w:t>à</w:t>
      </w:r>
      <w:r>
        <w:rPr>
          <w:iCs/>
          <w:szCs w:val="28"/>
          <w:lang w:val="nl-NL"/>
        </w:rPr>
        <w:t>nh k</w:t>
      </w:r>
      <w:r w:rsidRPr="00301386">
        <w:rPr>
          <w:iCs/>
          <w:szCs w:val="28"/>
          <w:lang w:val="nl-NL"/>
        </w:rPr>
        <w:t>è</w:t>
      </w:r>
      <w:r>
        <w:rPr>
          <w:iCs/>
          <w:szCs w:val="28"/>
          <w:lang w:val="nl-NL"/>
        </w:rPr>
        <w:t xml:space="preserve">m theo </w:t>
      </w:r>
      <w:r w:rsidRPr="00AE2A95">
        <w:rPr>
          <w:iCs/>
          <w:szCs w:val="28"/>
          <w:lang w:val="nl-NL"/>
        </w:rPr>
        <w:t xml:space="preserve">Quy chế về việc tra cứu, cung cấp sử dụng thông tin hóa đơn, chứng từ điện tử </w:t>
      </w:r>
      <w:r>
        <w:rPr>
          <w:iCs/>
          <w:szCs w:val="28"/>
          <w:lang w:val="nl-NL"/>
        </w:rPr>
        <w:t>v</w:t>
      </w:r>
      <w:r w:rsidRPr="00301386">
        <w:rPr>
          <w:iCs/>
          <w:szCs w:val="28"/>
          <w:lang w:val="nl-NL"/>
        </w:rPr>
        <w:t>à</w:t>
      </w:r>
      <w:r>
        <w:rPr>
          <w:iCs/>
          <w:szCs w:val="28"/>
          <w:lang w:val="nl-NL"/>
        </w:rPr>
        <w:t xml:space="preserve"> 02 Ph</w:t>
      </w:r>
      <w:r w:rsidRPr="00301386">
        <w:rPr>
          <w:iCs/>
          <w:szCs w:val="28"/>
          <w:lang w:val="nl-NL"/>
        </w:rPr>
        <w:t>ụ</w:t>
      </w:r>
      <w:r>
        <w:rPr>
          <w:iCs/>
          <w:szCs w:val="28"/>
          <w:lang w:val="nl-NL"/>
        </w:rPr>
        <w:t xml:space="preserve"> l</w:t>
      </w:r>
      <w:r w:rsidRPr="00301386">
        <w:rPr>
          <w:iCs/>
          <w:szCs w:val="28"/>
          <w:lang w:val="nl-NL"/>
        </w:rPr>
        <w:t>ục</w:t>
      </w:r>
      <w:r>
        <w:rPr>
          <w:iCs/>
          <w:szCs w:val="28"/>
          <w:lang w:val="nl-NL"/>
        </w:rPr>
        <w:t xml:space="preserve"> l</w:t>
      </w:r>
      <w:r w:rsidRPr="00301386">
        <w:rPr>
          <w:iCs/>
          <w:szCs w:val="28"/>
          <w:lang w:val="nl-NL"/>
        </w:rPr>
        <w:t>à</w:t>
      </w:r>
      <w:r>
        <w:rPr>
          <w:iCs/>
          <w:szCs w:val="28"/>
          <w:lang w:val="nl-NL"/>
        </w:rPr>
        <w:t xml:space="preserve"> c</w:t>
      </w:r>
      <w:r w:rsidRPr="00301386">
        <w:rPr>
          <w:iCs/>
          <w:szCs w:val="28"/>
          <w:lang w:val="nl-NL"/>
        </w:rPr>
        <w:t>á</w:t>
      </w:r>
      <w:r>
        <w:rPr>
          <w:iCs/>
          <w:szCs w:val="28"/>
          <w:lang w:val="nl-NL"/>
        </w:rPr>
        <w:t>c m</w:t>
      </w:r>
      <w:r w:rsidRPr="00301386">
        <w:rPr>
          <w:iCs/>
          <w:szCs w:val="28"/>
          <w:lang w:val="nl-NL"/>
        </w:rPr>
        <w:t>ẫu</w:t>
      </w:r>
      <w:r>
        <w:rPr>
          <w:iCs/>
          <w:szCs w:val="28"/>
          <w:lang w:val="nl-NL"/>
        </w:rPr>
        <w:t xml:space="preserve"> bi</w:t>
      </w:r>
      <w:r w:rsidRPr="00301386">
        <w:rPr>
          <w:iCs/>
          <w:szCs w:val="28"/>
          <w:lang w:val="nl-NL"/>
        </w:rPr>
        <w:t>ể</w:t>
      </w:r>
      <w:r>
        <w:rPr>
          <w:iCs/>
          <w:szCs w:val="28"/>
          <w:lang w:val="nl-NL"/>
        </w:rPr>
        <w:t xml:space="preserve">u quy </w:t>
      </w:r>
      <w:r w:rsidRPr="00301386">
        <w:rPr>
          <w:iCs/>
          <w:szCs w:val="28"/>
          <w:lang w:val="nl-NL"/>
        </w:rPr>
        <w:t>định</w:t>
      </w:r>
      <w:r>
        <w:rPr>
          <w:iCs/>
          <w:szCs w:val="28"/>
          <w:lang w:val="nl-NL"/>
        </w:rPr>
        <w:t xml:space="preserve"> t</w:t>
      </w:r>
      <w:r w:rsidRPr="00301386">
        <w:rPr>
          <w:iCs/>
          <w:szCs w:val="28"/>
          <w:lang w:val="nl-NL"/>
        </w:rPr>
        <w:t>ại</w:t>
      </w:r>
      <w:r>
        <w:rPr>
          <w:iCs/>
          <w:szCs w:val="28"/>
          <w:lang w:val="nl-NL"/>
        </w:rPr>
        <w:t xml:space="preserve"> Ngh</w:t>
      </w:r>
      <w:r w:rsidRPr="00301386">
        <w:rPr>
          <w:iCs/>
          <w:szCs w:val="28"/>
          <w:lang w:val="nl-NL"/>
        </w:rPr>
        <w:t>ị</w:t>
      </w:r>
      <w:r>
        <w:rPr>
          <w:iCs/>
          <w:szCs w:val="28"/>
          <w:lang w:val="nl-NL"/>
        </w:rPr>
        <w:t xml:space="preserve"> </w:t>
      </w:r>
      <w:r w:rsidRPr="00301386">
        <w:rPr>
          <w:iCs/>
          <w:szCs w:val="28"/>
          <w:lang w:val="nl-NL"/>
        </w:rPr>
        <w:t>định</w:t>
      </w:r>
      <w:r>
        <w:rPr>
          <w:iCs/>
          <w:szCs w:val="28"/>
          <w:lang w:val="nl-NL"/>
        </w:rPr>
        <w:t xml:space="preserve"> v</w:t>
      </w:r>
      <w:r w:rsidRPr="00301386">
        <w:rPr>
          <w:iCs/>
          <w:szCs w:val="28"/>
          <w:lang w:val="nl-NL"/>
        </w:rPr>
        <w:t>à</w:t>
      </w:r>
      <w:r>
        <w:rPr>
          <w:iCs/>
          <w:szCs w:val="28"/>
          <w:lang w:val="nl-NL"/>
        </w:rPr>
        <w:t xml:space="preserve"> quy ch</w:t>
      </w:r>
      <w:r w:rsidRPr="00301386">
        <w:rPr>
          <w:iCs/>
          <w:szCs w:val="28"/>
          <w:lang w:val="nl-NL"/>
        </w:rPr>
        <w:t>ế</w:t>
      </w:r>
      <w:r>
        <w:rPr>
          <w:iCs/>
          <w:szCs w:val="28"/>
          <w:lang w:val="nl-NL"/>
        </w:rPr>
        <w:t xml:space="preserve">. </w:t>
      </w:r>
    </w:p>
    <w:p w14:paraId="2924D411" w14:textId="77777777" w:rsidR="007204EE" w:rsidRDefault="007204EE" w:rsidP="007204EE">
      <w:pPr>
        <w:widowControl w:val="0"/>
        <w:spacing w:before="120" w:after="120"/>
        <w:ind w:firstLine="720"/>
        <w:rPr>
          <w:b/>
          <w:iCs/>
          <w:szCs w:val="28"/>
        </w:rPr>
      </w:pPr>
      <w:r>
        <w:rPr>
          <w:b/>
          <w:iCs/>
          <w:szCs w:val="28"/>
        </w:rPr>
        <w:t xml:space="preserve">3. </w:t>
      </w:r>
      <w:r w:rsidRPr="005D1990">
        <w:rPr>
          <w:b/>
          <w:iCs/>
          <w:szCs w:val="28"/>
        </w:rPr>
        <w:t xml:space="preserve">Các nội dung cơ bản </w:t>
      </w:r>
      <w:r w:rsidRPr="005D1990">
        <w:rPr>
          <w:b/>
          <w:iCs/>
          <w:szCs w:val="28"/>
          <w:lang w:val="nl-NL"/>
        </w:rPr>
        <w:t>của</w:t>
      </w:r>
      <w:r w:rsidRPr="005D1990">
        <w:rPr>
          <w:b/>
          <w:iCs/>
          <w:szCs w:val="28"/>
        </w:rPr>
        <w:t xml:space="preserve"> dự thảo Nghị định</w:t>
      </w:r>
    </w:p>
    <w:p w14:paraId="04E85616" w14:textId="77777777" w:rsidR="007204EE" w:rsidRPr="005D1990" w:rsidRDefault="007204EE" w:rsidP="007204EE">
      <w:pPr>
        <w:widowControl w:val="0"/>
        <w:ind w:firstLine="720"/>
        <w:rPr>
          <w:b/>
          <w:i/>
          <w:szCs w:val="28"/>
        </w:rPr>
      </w:pPr>
      <w:r>
        <w:rPr>
          <w:b/>
          <w:i/>
          <w:szCs w:val="28"/>
        </w:rPr>
        <w:t xml:space="preserve">3.1. </w:t>
      </w:r>
      <w:r w:rsidRPr="005D1990">
        <w:rPr>
          <w:b/>
          <w:i/>
          <w:szCs w:val="28"/>
        </w:rPr>
        <w:t xml:space="preserve">Về phạm vi, </w:t>
      </w:r>
      <w:r w:rsidRPr="005D1990">
        <w:rPr>
          <w:b/>
          <w:i/>
          <w:szCs w:val="28"/>
          <w:lang w:val="nl-NL"/>
        </w:rPr>
        <w:t>đối tượng</w:t>
      </w:r>
      <w:r w:rsidRPr="005D1990">
        <w:rPr>
          <w:b/>
          <w:i/>
          <w:szCs w:val="28"/>
        </w:rPr>
        <w:t xml:space="preserve"> điều chỉnh </w:t>
      </w:r>
      <w:r w:rsidRPr="005D1990">
        <w:rPr>
          <w:b/>
          <w:i/>
          <w:iCs/>
          <w:szCs w:val="28"/>
          <w:lang w:val="nl-NL"/>
        </w:rPr>
        <w:t>của</w:t>
      </w:r>
      <w:r w:rsidRPr="005D1990">
        <w:rPr>
          <w:b/>
          <w:i/>
          <w:szCs w:val="28"/>
        </w:rPr>
        <w:t xml:space="preserve"> Nghị định</w:t>
      </w:r>
    </w:p>
    <w:p w14:paraId="603B4F86" w14:textId="77777777" w:rsidR="007204EE" w:rsidRPr="00C7699C" w:rsidRDefault="007204EE" w:rsidP="007204EE">
      <w:pPr>
        <w:widowControl w:val="0"/>
        <w:spacing w:before="120"/>
        <w:ind w:firstLine="720"/>
      </w:pPr>
      <w:r>
        <w:rPr>
          <w:szCs w:val="28"/>
        </w:rPr>
        <w:t>- V</w:t>
      </w:r>
      <w:r w:rsidRPr="00301386">
        <w:rPr>
          <w:szCs w:val="28"/>
        </w:rPr>
        <w:t>ề</w:t>
      </w:r>
      <w:r>
        <w:rPr>
          <w:szCs w:val="28"/>
        </w:rPr>
        <w:t xml:space="preserve"> ph</w:t>
      </w:r>
      <w:r w:rsidRPr="00301386">
        <w:rPr>
          <w:szCs w:val="28"/>
        </w:rPr>
        <w:t>ạm</w:t>
      </w:r>
      <w:r>
        <w:rPr>
          <w:szCs w:val="28"/>
        </w:rPr>
        <w:t xml:space="preserve"> vi </w:t>
      </w:r>
      <w:r w:rsidRPr="00301386">
        <w:rPr>
          <w:szCs w:val="28"/>
        </w:rPr>
        <w:t>đ</w:t>
      </w:r>
      <w:r>
        <w:rPr>
          <w:szCs w:val="28"/>
        </w:rPr>
        <w:t>i</w:t>
      </w:r>
      <w:r w:rsidRPr="00301386">
        <w:rPr>
          <w:szCs w:val="28"/>
        </w:rPr>
        <w:t>ề</w:t>
      </w:r>
      <w:r>
        <w:rPr>
          <w:szCs w:val="28"/>
        </w:rPr>
        <w:t>u ch</w:t>
      </w:r>
      <w:r w:rsidRPr="00301386">
        <w:rPr>
          <w:szCs w:val="28"/>
        </w:rPr>
        <w:t>ỉn</w:t>
      </w:r>
      <w:r>
        <w:rPr>
          <w:szCs w:val="28"/>
        </w:rPr>
        <w:t>h: Dự thảo Ngh</w:t>
      </w:r>
      <w:r w:rsidRPr="00465517">
        <w:rPr>
          <w:szCs w:val="28"/>
        </w:rPr>
        <w:t>ị</w:t>
      </w:r>
      <w:r>
        <w:rPr>
          <w:szCs w:val="28"/>
        </w:rPr>
        <w:t xml:space="preserve"> </w:t>
      </w:r>
      <w:r w:rsidRPr="00465517">
        <w:rPr>
          <w:szCs w:val="28"/>
        </w:rPr>
        <w:t>định</w:t>
      </w:r>
      <w:r>
        <w:rPr>
          <w:szCs w:val="28"/>
        </w:rPr>
        <w:t xml:space="preserve"> quy </w:t>
      </w:r>
      <w:r w:rsidRPr="00465517">
        <w:rPr>
          <w:szCs w:val="28"/>
        </w:rPr>
        <w:t>định</w:t>
      </w:r>
      <w:r>
        <w:rPr>
          <w:szCs w:val="28"/>
        </w:rPr>
        <w:t xml:space="preserve"> v</w:t>
      </w:r>
      <w:r w:rsidRPr="00C7699C">
        <w:t>iệc quản lý,</w:t>
      </w:r>
      <w:r w:rsidRPr="00C7699C">
        <w:rPr>
          <w:lang w:val="vi-VN"/>
        </w:rPr>
        <w:t xml:space="preserve"> sử dụng hóa đơn khi bán hàng hóa, cung cấp dịch vụ; </w:t>
      </w:r>
      <w:r>
        <w:t>v</w:t>
      </w:r>
      <w:r w:rsidRPr="00C7699C">
        <w:t xml:space="preserve">iệc quản lý, sử dụng chứng từ </w:t>
      </w:r>
      <w:r w:rsidRPr="00C7699C">
        <w:rPr>
          <w:szCs w:val="28"/>
        </w:rPr>
        <w:t>khi thực hiện các thủ tục về thuế hoặc các khoản thu khác thuộc ngân sách nhà nước;</w:t>
      </w:r>
      <w:r>
        <w:rPr>
          <w:szCs w:val="28"/>
        </w:rPr>
        <w:t xml:space="preserve"> n</w:t>
      </w:r>
      <w:r w:rsidRPr="00C7699C">
        <w:rPr>
          <w:lang w:val="vi-VN"/>
        </w:rPr>
        <w:t xml:space="preserve">hiệm vụ, quyền hạn </w:t>
      </w:r>
      <w:r w:rsidRPr="00C7699C">
        <w:t xml:space="preserve">và trách nhiệm </w:t>
      </w:r>
      <w:r w:rsidRPr="00C7699C">
        <w:rPr>
          <w:lang w:val="vi-VN"/>
        </w:rPr>
        <w:t>của cơ quan</w:t>
      </w:r>
      <w:r w:rsidRPr="00C7699C">
        <w:t xml:space="preserve">, tổ chức, cá nhân trong việc </w:t>
      </w:r>
      <w:r w:rsidRPr="00C7699C">
        <w:rPr>
          <w:lang w:val="vi-VN"/>
        </w:rPr>
        <w:t>quản lý</w:t>
      </w:r>
      <w:r w:rsidRPr="00C7699C">
        <w:t>, sử dụng hóa đơn, chứng từ</w:t>
      </w:r>
      <w:r>
        <w:t xml:space="preserve"> </w:t>
      </w:r>
      <w:r w:rsidRPr="00AE2A95">
        <w:rPr>
          <w:i/>
        </w:rPr>
        <w:t>(Điều 1)</w:t>
      </w:r>
      <w:r>
        <w:t xml:space="preserve">. </w:t>
      </w:r>
    </w:p>
    <w:p w14:paraId="5E66B719" w14:textId="77777777" w:rsidR="007204EE" w:rsidRPr="00551400" w:rsidRDefault="007204EE" w:rsidP="007204EE">
      <w:pPr>
        <w:pStyle w:val="NormalWeb"/>
        <w:widowControl w:val="0"/>
        <w:shd w:val="clear" w:color="auto" w:fill="FFFFFF"/>
        <w:spacing w:before="60" w:beforeAutospacing="0" w:after="0" w:afterAutospacing="0"/>
        <w:ind w:firstLine="720"/>
        <w:jc w:val="both"/>
        <w:rPr>
          <w:sz w:val="28"/>
          <w:szCs w:val="28"/>
        </w:rPr>
      </w:pPr>
      <w:r w:rsidRPr="00551400">
        <w:rPr>
          <w:sz w:val="28"/>
          <w:szCs w:val="28"/>
        </w:rPr>
        <w:t xml:space="preserve">- </w:t>
      </w:r>
      <w:r>
        <w:rPr>
          <w:sz w:val="28"/>
          <w:szCs w:val="28"/>
          <w:lang w:val="en-US"/>
        </w:rPr>
        <w:t>V</w:t>
      </w:r>
      <w:r w:rsidRPr="00301386">
        <w:rPr>
          <w:sz w:val="28"/>
          <w:szCs w:val="28"/>
          <w:lang w:val="en-US"/>
        </w:rPr>
        <w:t>ề</w:t>
      </w:r>
      <w:r>
        <w:rPr>
          <w:sz w:val="28"/>
          <w:szCs w:val="28"/>
          <w:lang w:val="en-US"/>
        </w:rPr>
        <w:t xml:space="preserve"> </w:t>
      </w:r>
      <w:r w:rsidRPr="00301386">
        <w:rPr>
          <w:sz w:val="28"/>
          <w:szCs w:val="28"/>
          <w:lang w:val="en-US"/>
        </w:rPr>
        <w:t>đố</w:t>
      </w:r>
      <w:r>
        <w:rPr>
          <w:sz w:val="28"/>
          <w:szCs w:val="28"/>
          <w:lang w:val="en-US"/>
        </w:rPr>
        <w:t>i tư</w:t>
      </w:r>
      <w:r w:rsidRPr="00301386">
        <w:rPr>
          <w:sz w:val="28"/>
          <w:szCs w:val="28"/>
          <w:lang w:val="en-US"/>
        </w:rPr>
        <w:t>ợng</w:t>
      </w:r>
      <w:r>
        <w:rPr>
          <w:sz w:val="28"/>
          <w:szCs w:val="28"/>
          <w:lang w:val="en-US"/>
        </w:rPr>
        <w:t xml:space="preserve"> </w:t>
      </w:r>
      <w:r w:rsidRPr="00301386">
        <w:rPr>
          <w:sz w:val="28"/>
          <w:szCs w:val="28"/>
          <w:lang w:val="en-US"/>
        </w:rPr>
        <w:t>á</w:t>
      </w:r>
      <w:r>
        <w:rPr>
          <w:sz w:val="28"/>
          <w:szCs w:val="28"/>
          <w:lang w:val="en-US"/>
        </w:rPr>
        <w:t>p d</w:t>
      </w:r>
      <w:r w:rsidRPr="00301386">
        <w:rPr>
          <w:sz w:val="28"/>
          <w:szCs w:val="28"/>
          <w:lang w:val="en-US"/>
        </w:rPr>
        <w:t>ụng</w:t>
      </w:r>
      <w:r>
        <w:rPr>
          <w:sz w:val="28"/>
          <w:szCs w:val="28"/>
          <w:lang w:val="en-US"/>
        </w:rPr>
        <w:t xml:space="preserve">: Dự thảo </w:t>
      </w:r>
      <w:r w:rsidRPr="00551400">
        <w:rPr>
          <w:sz w:val="28"/>
          <w:szCs w:val="28"/>
        </w:rPr>
        <w:t>Nghị định quy định về đối tượng điều chỉnh bao gồm: người bán hàng hóa, cung cấp dịch vụ</w:t>
      </w:r>
      <w:r w:rsidRPr="00551400">
        <w:rPr>
          <w:sz w:val="28"/>
          <w:szCs w:val="28"/>
          <w:lang w:val="en-US"/>
        </w:rPr>
        <w:t xml:space="preserve">; </w:t>
      </w:r>
      <w:r w:rsidRPr="00551400">
        <w:rPr>
          <w:sz w:val="28"/>
          <w:szCs w:val="28"/>
        </w:rPr>
        <w:t xml:space="preserve">người mua hàng hóa; tổ chức thu nộp phí, lệ phí; người nộp phí, lệ phí; tổ chức </w:t>
      </w:r>
      <w:r w:rsidRPr="00551400">
        <w:rPr>
          <w:color w:val="000000"/>
          <w:sz w:val="28"/>
          <w:szCs w:val="28"/>
        </w:rPr>
        <w:t>khấu trừ thuế thu nhập cá nhân</w:t>
      </w:r>
      <w:r w:rsidRPr="00551400">
        <w:rPr>
          <w:color w:val="000000"/>
          <w:sz w:val="28"/>
          <w:szCs w:val="28"/>
          <w:lang w:val="en-US"/>
        </w:rPr>
        <w:t xml:space="preserve">; </w:t>
      </w:r>
      <w:r w:rsidRPr="00551400">
        <w:rPr>
          <w:color w:val="000000"/>
          <w:sz w:val="28"/>
          <w:szCs w:val="28"/>
          <w:lang w:val="vi-VN"/>
        </w:rPr>
        <w:t>Tổ chức nhận in</w:t>
      </w:r>
      <w:r w:rsidRPr="00551400">
        <w:rPr>
          <w:rStyle w:val="apple-converted-space"/>
          <w:color w:val="000000"/>
          <w:sz w:val="28"/>
          <w:szCs w:val="28"/>
          <w:lang w:val="vi-VN"/>
        </w:rPr>
        <w:t> </w:t>
      </w:r>
      <w:r w:rsidRPr="00551400">
        <w:rPr>
          <w:rStyle w:val="apple-converted-space"/>
          <w:color w:val="000000"/>
          <w:sz w:val="28"/>
          <w:szCs w:val="28"/>
        </w:rPr>
        <w:t>hóa đơn, biên lai; tổ chức cung cấp phần mềm tự in biên lai; t</w:t>
      </w:r>
      <w:r w:rsidRPr="00551400">
        <w:rPr>
          <w:sz w:val="28"/>
          <w:szCs w:val="28"/>
          <w:lang w:val="vi-VN"/>
        </w:rPr>
        <w:t>ổ chức cung cấp dịch vụ hóa đơn</w:t>
      </w:r>
      <w:r w:rsidRPr="00551400">
        <w:rPr>
          <w:sz w:val="28"/>
          <w:szCs w:val="28"/>
        </w:rPr>
        <w:t>, chứng từ</w:t>
      </w:r>
      <w:r w:rsidRPr="00551400">
        <w:rPr>
          <w:sz w:val="28"/>
          <w:szCs w:val="28"/>
          <w:lang w:val="vi-VN"/>
        </w:rPr>
        <w:t xml:space="preserve"> điện tử</w:t>
      </w:r>
      <w:r>
        <w:rPr>
          <w:sz w:val="28"/>
          <w:szCs w:val="28"/>
          <w:lang w:val="en-US"/>
        </w:rPr>
        <w:t xml:space="preserve"> </w:t>
      </w:r>
      <w:r w:rsidRPr="00AE2A95">
        <w:rPr>
          <w:i/>
          <w:sz w:val="28"/>
          <w:szCs w:val="28"/>
          <w:lang w:val="en-US"/>
        </w:rPr>
        <w:t>(Điều 2)</w:t>
      </w:r>
      <w:r w:rsidRPr="00AE2A95">
        <w:rPr>
          <w:i/>
          <w:sz w:val="28"/>
          <w:szCs w:val="28"/>
        </w:rPr>
        <w:t>.</w:t>
      </w:r>
      <w:r w:rsidRPr="00551400">
        <w:rPr>
          <w:sz w:val="28"/>
          <w:szCs w:val="28"/>
        </w:rPr>
        <w:t xml:space="preserve"> </w:t>
      </w:r>
    </w:p>
    <w:p w14:paraId="258B17BF" w14:textId="77777777" w:rsidR="007204EE" w:rsidRPr="00AE2A95" w:rsidRDefault="007204EE" w:rsidP="007204EE">
      <w:pPr>
        <w:widowControl w:val="0"/>
        <w:spacing w:before="120" w:after="120"/>
        <w:rPr>
          <w:b/>
          <w:i/>
          <w:lang w:val="sv-SE"/>
        </w:rPr>
      </w:pPr>
      <w:r>
        <w:rPr>
          <w:b/>
          <w:i/>
          <w:spacing w:val="-2"/>
          <w:szCs w:val="28"/>
          <w:lang w:val="sv-SE"/>
        </w:rPr>
        <w:tab/>
        <w:t xml:space="preserve">3.2. Quy </w:t>
      </w:r>
      <w:r w:rsidRPr="00551400">
        <w:rPr>
          <w:b/>
          <w:i/>
          <w:spacing w:val="-2"/>
          <w:szCs w:val="28"/>
          <w:lang w:val="sv-SE"/>
        </w:rPr>
        <w:t>định</w:t>
      </w:r>
      <w:r>
        <w:rPr>
          <w:b/>
          <w:i/>
          <w:spacing w:val="-2"/>
          <w:szCs w:val="28"/>
          <w:lang w:val="sv-SE"/>
        </w:rPr>
        <w:t xml:space="preserve"> chung đ</w:t>
      </w:r>
      <w:r w:rsidRPr="00551400">
        <w:rPr>
          <w:b/>
          <w:i/>
          <w:spacing w:val="-2"/>
          <w:szCs w:val="28"/>
          <w:lang w:val="sv-SE"/>
        </w:rPr>
        <w:t>ối</w:t>
      </w:r>
      <w:r>
        <w:rPr>
          <w:b/>
          <w:i/>
          <w:spacing w:val="-2"/>
          <w:szCs w:val="28"/>
          <w:lang w:val="sv-SE"/>
        </w:rPr>
        <w:t xml:space="preserve"> v</w:t>
      </w:r>
      <w:r w:rsidRPr="00551400">
        <w:rPr>
          <w:b/>
          <w:i/>
          <w:spacing w:val="-2"/>
          <w:szCs w:val="28"/>
          <w:lang w:val="sv-SE"/>
        </w:rPr>
        <w:t>ới</w:t>
      </w:r>
      <w:r>
        <w:rPr>
          <w:b/>
          <w:i/>
          <w:spacing w:val="-2"/>
          <w:szCs w:val="28"/>
          <w:lang w:val="sv-SE"/>
        </w:rPr>
        <w:t xml:space="preserve"> </w:t>
      </w:r>
      <w:r w:rsidRPr="00AE2A95">
        <w:rPr>
          <w:b/>
          <w:i/>
          <w:lang w:val="sv-SE"/>
        </w:rPr>
        <w:t>hóa đơn, chứng từ</w:t>
      </w:r>
    </w:p>
    <w:p w14:paraId="641AAFCF" w14:textId="77777777" w:rsidR="007204EE" w:rsidRPr="00AE2A95" w:rsidRDefault="007204EE" w:rsidP="007204EE">
      <w:pPr>
        <w:widowControl w:val="0"/>
        <w:spacing w:before="60"/>
        <w:ind w:firstLine="720"/>
        <w:rPr>
          <w:lang w:val="sv-SE"/>
        </w:rPr>
      </w:pPr>
      <w:r w:rsidRPr="00AE2A95">
        <w:rPr>
          <w:lang w:val="sv-SE"/>
        </w:rPr>
        <w:t xml:space="preserve">- </w:t>
      </w:r>
      <w:r>
        <w:rPr>
          <w:lang w:val="sv-SE"/>
        </w:rPr>
        <w:t>D</w:t>
      </w:r>
      <w:r w:rsidRPr="00AE2A95">
        <w:rPr>
          <w:lang w:val="sv-SE"/>
        </w:rPr>
        <w:t xml:space="preserve">ự thảo Nghị định quy định nguyên tắc lập, quản lý, sử dụng hóa đơn, chứng từ </w:t>
      </w:r>
      <w:r>
        <w:rPr>
          <w:lang w:val="sv-SE"/>
        </w:rPr>
        <w:t>(</w:t>
      </w:r>
      <w:r w:rsidRPr="00B30599">
        <w:rPr>
          <w:lang w:val="sv-SE"/>
        </w:rPr>
        <w:t>Đ</w:t>
      </w:r>
      <w:r>
        <w:rPr>
          <w:lang w:val="sv-SE"/>
        </w:rPr>
        <w:t>i</w:t>
      </w:r>
      <w:r w:rsidRPr="00B30599">
        <w:rPr>
          <w:lang w:val="sv-SE"/>
        </w:rPr>
        <w:t>ề</w:t>
      </w:r>
      <w:r>
        <w:rPr>
          <w:lang w:val="sv-SE"/>
        </w:rPr>
        <w:t xml:space="preserve">u 4) </w:t>
      </w:r>
      <w:r w:rsidRPr="00AE2A95">
        <w:rPr>
          <w:lang w:val="sv-SE"/>
        </w:rPr>
        <w:t xml:space="preserve">với nội dung: </w:t>
      </w:r>
    </w:p>
    <w:p w14:paraId="6ED78598" w14:textId="77777777" w:rsidR="007204EE" w:rsidRPr="00AE2A95" w:rsidRDefault="007204EE" w:rsidP="007204EE">
      <w:pPr>
        <w:widowControl w:val="0"/>
        <w:spacing w:before="60"/>
        <w:ind w:firstLine="720"/>
        <w:rPr>
          <w:szCs w:val="28"/>
          <w:lang w:val="sv-SE"/>
        </w:rPr>
      </w:pPr>
      <w:r w:rsidRPr="00AE2A95">
        <w:rPr>
          <w:b/>
          <w:lang w:val="sv-SE"/>
        </w:rPr>
        <w:t xml:space="preserve">+ </w:t>
      </w:r>
      <w:r w:rsidRPr="00AE2A95">
        <w:rPr>
          <w:szCs w:val="28"/>
          <w:lang w:val="sv-SE"/>
        </w:rPr>
        <w:t xml:space="preserve">Khi bán hàng hóa, cung cấp dịch vụ, người bán phải lập hóa đơn hóa đơn để giao cho người mua. </w:t>
      </w:r>
    </w:p>
    <w:p w14:paraId="5D2CF98D" w14:textId="77777777" w:rsidR="007204EE" w:rsidRPr="00AE2A95" w:rsidRDefault="007204EE" w:rsidP="007204EE">
      <w:pPr>
        <w:widowControl w:val="0"/>
        <w:spacing w:before="60"/>
        <w:ind w:firstLine="720"/>
        <w:rPr>
          <w:color w:val="000000"/>
          <w:szCs w:val="28"/>
          <w:shd w:val="clear" w:color="auto" w:fill="FFFFFF"/>
          <w:lang w:val="sv-SE"/>
        </w:rPr>
      </w:pPr>
      <w:r w:rsidRPr="00AE2A95">
        <w:rPr>
          <w:color w:val="000000"/>
          <w:szCs w:val="28"/>
          <w:lang w:val="sv-SE"/>
        </w:rPr>
        <w:t xml:space="preserve">+ Khi khấu trừ thuế TNCN, </w:t>
      </w:r>
      <w:r w:rsidRPr="00C7699C">
        <w:rPr>
          <w:color w:val="000000"/>
          <w:szCs w:val="28"/>
          <w:shd w:val="clear" w:color="auto" w:fill="FFFFFF"/>
          <w:lang w:val="vi-VN"/>
        </w:rPr>
        <w:t>khi thu các khoản</w:t>
      </w:r>
      <w:r w:rsidRPr="00AE2A95">
        <w:rPr>
          <w:color w:val="000000"/>
          <w:szCs w:val="28"/>
          <w:shd w:val="clear" w:color="auto" w:fill="FFFFFF"/>
          <w:lang w:val="sv-SE"/>
        </w:rPr>
        <w:t xml:space="preserve"> phí, lệ phí thu khác thuộc NSNN do cơ quan quản lý thuế quản lý thu thì tổ chức khấu trừ thuế, tổ chức thu phí, lệ phí phải lập chứng từ, biên lai giao cho người nộp thuế, người nộp phí, lệ phí. </w:t>
      </w:r>
    </w:p>
    <w:p w14:paraId="216E6E44" w14:textId="77777777" w:rsidR="007204EE" w:rsidRPr="00AE2A95" w:rsidRDefault="007204EE" w:rsidP="007204EE">
      <w:pPr>
        <w:widowControl w:val="0"/>
        <w:spacing w:before="60"/>
        <w:ind w:firstLine="720"/>
        <w:rPr>
          <w:color w:val="000000"/>
          <w:szCs w:val="28"/>
          <w:lang w:val="sv-SE"/>
        </w:rPr>
      </w:pPr>
      <w:r w:rsidRPr="00AE2A95">
        <w:rPr>
          <w:color w:val="000000"/>
          <w:szCs w:val="28"/>
          <w:lang w:val="sv-SE"/>
        </w:rPr>
        <w:t>+ Trước khi sử dụng hóa đơn, chứng từ d</w:t>
      </w:r>
      <w:r w:rsidRPr="00C7699C">
        <w:rPr>
          <w:color w:val="000000"/>
          <w:szCs w:val="28"/>
          <w:lang w:val="vi-VN"/>
        </w:rPr>
        <w:t xml:space="preserve">oanh nghiệp, tổ chức kinh tế, tổ chức khác, hộ, cá nhân kinh doanh </w:t>
      </w:r>
      <w:r w:rsidRPr="00AE2A95">
        <w:rPr>
          <w:color w:val="000000"/>
          <w:szCs w:val="28"/>
          <w:lang w:val="sv-SE"/>
        </w:rPr>
        <w:t>phải thực hiện đăng ký sử dụng với cơ quan thuế hoặc thực hiện thông báo phát hành trừ trường hợp mua hóa đơn, biên lai do cơ quan thuế đặt in.</w:t>
      </w:r>
    </w:p>
    <w:p w14:paraId="2488EA97" w14:textId="77777777" w:rsidR="007204EE" w:rsidRPr="00AE2A95" w:rsidRDefault="007204EE" w:rsidP="007204EE">
      <w:pPr>
        <w:widowControl w:val="0"/>
        <w:spacing w:before="60"/>
        <w:ind w:firstLine="720"/>
        <w:rPr>
          <w:color w:val="000000"/>
          <w:szCs w:val="28"/>
          <w:lang w:val="sv-SE"/>
        </w:rPr>
      </w:pPr>
      <w:r w:rsidRPr="00AE2A95">
        <w:rPr>
          <w:color w:val="000000"/>
          <w:szCs w:val="28"/>
          <w:lang w:val="sv-SE"/>
        </w:rPr>
        <w:lastRenderedPageBreak/>
        <w:t xml:space="preserve">+ Trường hợp mất hóa đơn, biên lai phải báo cáo cho cơ quan thuế quản lý trực tiếp biết. </w:t>
      </w:r>
    </w:p>
    <w:p w14:paraId="339C6C10" w14:textId="77777777" w:rsidR="007204EE" w:rsidRDefault="007204EE" w:rsidP="007204EE">
      <w:pPr>
        <w:widowControl w:val="0"/>
        <w:spacing w:before="120" w:after="120"/>
        <w:ind w:firstLine="720"/>
      </w:pPr>
      <w:r w:rsidRPr="00AE2A95">
        <w:rPr>
          <w:lang w:val="sv-SE"/>
        </w:rPr>
        <w:t>+ V</w:t>
      </w:r>
      <w:r w:rsidRPr="00C7699C">
        <w:rPr>
          <w:lang w:val="vi-VN"/>
        </w:rPr>
        <w:t>iệc đăng ký, quản lý, sử dụng hóa đơn điện tử</w:t>
      </w:r>
      <w:r w:rsidRPr="00AE2A95">
        <w:rPr>
          <w:lang w:val="sv-SE"/>
        </w:rPr>
        <w:t>, chứng từ điện tử</w:t>
      </w:r>
      <w:r w:rsidRPr="00C7699C">
        <w:rPr>
          <w:lang w:val="vi-VN"/>
        </w:rPr>
        <w:t xml:space="preserve"> phải tuân thủ các quy định của pháp luật về giao dịch điện tử, kế toán, thuế và quy định tại Nghị định này.</w:t>
      </w:r>
    </w:p>
    <w:p w14:paraId="12EA670D" w14:textId="77777777" w:rsidR="007204EE" w:rsidRPr="00AE2A95" w:rsidRDefault="007204EE" w:rsidP="007204EE">
      <w:pPr>
        <w:widowControl w:val="0"/>
        <w:spacing w:before="60"/>
        <w:ind w:firstLine="720"/>
        <w:rPr>
          <w:i/>
          <w:lang w:val="sv-SE"/>
        </w:rPr>
      </w:pPr>
      <w:r w:rsidRPr="00AE2A95">
        <w:rPr>
          <w:bCs/>
          <w:lang w:val="sv-SE"/>
        </w:rPr>
        <w:t xml:space="preserve">- </w:t>
      </w:r>
      <w:r>
        <w:rPr>
          <w:bCs/>
          <w:lang w:val="sv-SE"/>
        </w:rPr>
        <w:t>D</w:t>
      </w:r>
      <w:r w:rsidRPr="00AE2A95">
        <w:rPr>
          <w:bCs/>
          <w:lang w:val="sv-SE"/>
        </w:rPr>
        <w:t>ự thảo Nghị định quy định về b</w:t>
      </w:r>
      <w:r w:rsidRPr="00551400">
        <w:rPr>
          <w:bCs/>
          <w:lang w:val="vi-VN"/>
        </w:rPr>
        <w:t>ảo quản, lưu trữ, hóa đơn</w:t>
      </w:r>
      <w:r w:rsidRPr="00AE2A95">
        <w:rPr>
          <w:bCs/>
          <w:lang w:val="sv-SE"/>
        </w:rPr>
        <w:t>, chứng từ</w:t>
      </w:r>
      <w:r>
        <w:rPr>
          <w:bCs/>
          <w:lang w:val="sv-SE"/>
        </w:rPr>
        <w:t xml:space="preserve"> (</w:t>
      </w:r>
      <w:r w:rsidRPr="00B30599">
        <w:rPr>
          <w:bCs/>
          <w:lang w:val="sv-SE"/>
        </w:rPr>
        <w:t>Đ</w:t>
      </w:r>
      <w:r>
        <w:rPr>
          <w:bCs/>
          <w:lang w:val="sv-SE"/>
        </w:rPr>
        <w:t>i</w:t>
      </w:r>
      <w:r w:rsidRPr="00B30599">
        <w:rPr>
          <w:bCs/>
          <w:lang w:val="sv-SE"/>
        </w:rPr>
        <w:t>ề</w:t>
      </w:r>
      <w:r>
        <w:rPr>
          <w:bCs/>
          <w:lang w:val="sv-SE"/>
        </w:rPr>
        <w:t>u 5) theo nguy</w:t>
      </w:r>
      <w:r w:rsidRPr="00A42B21">
        <w:rPr>
          <w:bCs/>
          <w:lang w:val="sv-SE"/>
        </w:rPr>
        <w:t>ê</w:t>
      </w:r>
      <w:r>
        <w:rPr>
          <w:bCs/>
          <w:lang w:val="sv-SE"/>
        </w:rPr>
        <w:t>n t</w:t>
      </w:r>
      <w:r w:rsidRPr="00A42B21">
        <w:rPr>
          <w:bCs/>
          <w:lang w:val="sv-SE"/>
        </w:rPr>
        <w:t>ắc</w:t>
      </w:r>
      <w:r>
        <w:rPr>
          <w:bCs/>
          <w:lang w:val="sv-SE"/>
        </w:rPr>
        <w:t xml:space="preserve"> t</w:t>
      </w:r>
      <w:r w:rsidRPr="00A42B21">
        <w:rPr>
          <w:bCs/>
          <w:lang w:val="sv-SE"/>
        </w:rPr>
        <w:t>ín</w:t>
      </w:r>
      <w:r>
        <w:rPr>
          <w:bCs/>
          <w:lang w:val="sv-SE"/>
        </w:rPr>
        <w:t>h an t</w:t>
      </w:r>
      <w:r w:rsidRPr="00A42B21">
        <w:rPr>
          <w:bCs/>
          <w:lang w:val="sv-SE"/>
        </w:rPr>
        <w:t>oàn</w:t>
      </w:r>
      <w:r>
        <w:rPr>
          <w:bCs/>
          <w:lang w:val="sv-SE"/>
        </w:rPr>
        <w:t>, b</w:t>
      </w:r>
      <w:r w:rsidRPr="00A42B21">
        <w:rPr>
          <w:bCs/>
          <w:lang w:val="sv-SE"/>
        </w:rPr>
        <w:t>ảo</w:t>
      </w:r>
      <w:r>
        <w:rPr>
          <w:bCs/>
          <w:lang w:val="sv-SE"/>
        </w:rPr>
        <w:t xml:space="preserve"> m</w:t>
      </w:r>
      <w:r w:rsidRPr="00A42B21">
        <w:rPr>
          <w:bCs/>
          <w:lang w:val="sv-SE"/>
        </w:rPr>
        <w:t>ật</w:t>
      </w:r>
      <w:r>
        <w:rPr>
          <w:bCs/>
          <w:lang w:val="sv-SE"/>
        </w:rPr>
        <w:t>, t</w:t>
      </w:r>
      <w:r w:rsidRPr="00A42B21">
        <w:rPr>
          <w:bCs/>
          <w:lang w:val="sv-SE"/>
        </w:rPr>
        <w:t>oàn</w:t>
      </w:r>
      <w:r>
        <w:rPr>
          <w:bCs/>
          <w:lang w:val="sv-SE"/>
        </w:rPr>
        <w:t xml:space="preserve"> v</w:t>
      </w:r>
      <w:r w:rsidRPr="00A42B21">
        <w:rPr>
          <w:bCs/>
          <w:lang w:val="sv-SE"/>
        </w:rPr>
        <w:t>ẹn</w:t>
      </w:r>
      <w:r>
        <w:rPr>
          <w:bCs/>
          <w:lang w:val="sv-SE"/>
        </w:rPr>
        <w:t>, đ</w:t>
      </w:r>
      <w:r w:rsidRPr="00A42B21">
        <w:rPr>
          <w:bCs/>
          <w:lang w:val="sv-SE"/>
        </w:rPr>
        <w:t>ầ</w:t>
      </w:r>
      <w:r>
        <w:rPr>
          <w:bCs/>
          <w:lang w:val="sv-SE"/>
        </w:rPr>
        <w:t xml:space="preserve">y </w:t>
      </w:r>
      <w:r w:rsidRPr="00A42B21">
        <w:rPr>
          <w:bCs/>
          <w:lang w:val="sv-SE"/>
        </w:rPr>
        <w:t>đủ</w:t>
      </w:r>
      <w:r>
        <w:rPr>
          <w:bCs/>
          <w:lang w:val="sv-SE"/>
        </w:rPr>
        <w:t xml:space="preserve"> kh</w:t>
      </w:r>
      <w:r w:rsidRPr="00A42B21">
        <w:rPr>
          <w:bCs/>
          <w:lang w:val="sv-SE"/>
        </w:rPr>
        <w:t>ô</w:t>
      </w:r>
      <w:r>
        <w:rPr>
          <w:bCs/>
          <w:lang w:val="sv-SE"/>
        </w:rPr>
        <w:t>ng b</w:t>
      </w:r>
      <w:r w:rsidRPr="00A42B21">
        <w:rPr>
          <w:bCs/>
          <w:lang w:val="sv-SE"/>
        </w:rPr>
        <w:t>ị</w:t>
      </w:r>
      <w:r>
        <w:rPr>
          <w:bCs/>
          <w:lang w:val="sv-SE"/>
        </w:rPr>
        <w:t xml:space="preserve"> thay đ</w:t>
      </w:r>
      <w:r w:rsidRPr="00A42B21">
        <w:rPr>
          <w:bCs/>
          <w:lang w:val="sv-SE"/>
        </w:rPr>
        <w:t>ổi</w:t>
      </w:r>
      <w:r>
        <w:rPr>
          <w:bCs/>
          <w:lang w:val="sv-SE"/>
        </w:rPr>
        <w:t>, sai l</w:t>
      </w:r>
      <w:r w:rsidRPr="00A42B21">
        <w:rPr>
          <w:bCs/>
          <w:lang w:val="sv-SE"/>
        </w:rPr>
        <w:t>ệch</w:t>
      </w:r>
      <w:r>
        <w:rPr>
          <w:bCs/>
          <w:lang w:val="sv-SE"/>
        </w:rPr>
        <w:t>, th</w:t>
      </w:r>
      <w:r w:rsidRPr="00A42B21">
        <w:rPr>
          <w:bCs/>
          <w:lang w:val="sv-SE"/>
        </w:rPr>
        <w:t>ờ</w:t>
      </w:r>
      <w:r>
        <w:rPr>
          <w:bCs/>
          <w:lang w:val="sv-SE"/>
        </w:rPr>
        <w:t>i gian l</w:t>
      </w:r>
      <w:r w:rsidRPr="00A42B21">
        <w:rPr>
          <w:bCs/>
          <w:lang w:val="sv-SE"/>
        </w:rPr>
        <w:t>ư</w:t>
      </w:r>
      <w:r>
        <w:rPr>
          <w:bCs/>
          <w:lang w:val="sv-SE"/>
        </w:rPr>
        <w:t>u tr</w:t>
      </w:r>
      <w:r w:rsidRPr="00A42B21">
        <w:rPr>
          <w:bCs/>
          <w:lang w:val="sv-SE"/>
        </w:rPr>
        <w:t>ữ</w:t>
      </w:r>
      <w:r>
        <w:rPr>
          <w:bCs/>
          <w:lang w:val="sv-SE"/>
        </w:rPr>
        <w:t xml:space="preserve"> theo quy </w:t>
      </w:r>
      <w:r w:rsidRPr="00A42B21">
        <w:rPr>
          <w:bCs/>
          <w:lang w:val="sv-SE"/>
        </w:rPr>
        <w:t>định</w:t>
      </w:r>
      <w:r>
        <w:rPr>
          <w:bCs/>
          <w:lang w:val="sv-SE"/>
        </w:rPr>
        <w:t xml:space="preserve"> c</w:t>
      </w:r>
      <w:r w:rsidRPr="00A42B21">
        <w:rPr>
          <w:bCs/>
          <w:lang w:val="sv-SE"/>
        </w:rPr>
        <w:t>ủa</w:t>
      </w:r>
      <w:r>
        <w:rPr>
          <w:bCs/>
          <w:lang w:val="sv-SE"/>
        </w:rPr>
        <w:t xml:space="preserve"> ph</w:t>
      </w:r>
      <w:r w:rsidRPr="00A42B21">
        <w:rPr>
          <w:bCs/>
          <w:lang w:val="sv-SE"/>
        </w:rPr>
        <w:t>á</w:t>
      </w:r>
      <w:r>
        <w:rPr>
          <w:bCs/>
          <w:lang w:val="sv-SE"/>
        </w:rPr>
        <w:t>p lu</w:t>
      </w:r>
      <w:r w:rsidRPr="00A42B21">
        <w:rPr>
          <w:bCs/>
          <w:lang w:val="sv-SE"/>
        </w:rPr>
        <w:t>ật</w:t>
      </w:r>
      <w:r>
        <w:rPr>
          <w:bCs/>
          <w:lang w:val="sv-SE"/>
        </w:rPr>
        <w:t xml:space="preserve"> k</w:t>
      </w:r>
      <w:r w:rsidRPr="00A42B21">
        <w:rPr>
          <w:bCs/>
          <w:lang w:val="sv-SE"/>
        </w:rPr>
        <w:t>ế</w:t>
      </w:r>
      <w:r>
        <w:rPr>
          <w:bCs/>
          <w:lang w:val="sv-SE"/>
        </w:rPr>
        <w:t xml:space="preserve"> toán v</w:t>
      </w:r>
      <w:r w:rsidRPr="00A42B21">
        <w:rPr>
          <w:bCs/>
          <w:lang w:val="sv-SE"/>
        </w:rPr>
        <w:t>à</w:t>
      </w:r>
      <w:r>
        <w:rPr>
          <w:bCs/>
          <w:lang w:val="sv-SE"/>
        </w:rPr>
        <w:t xml:space="preserve"> c</w:t>
      </w:r>
      <w:r w:rsidRPr="00A42B21">
        <w:rPr>
          <w:bCs/>
          <w:lang w:val="sv-SE"/>
        </w:rPr>
        <w:t>ó</w:t>
      </w:r>
      <w:r>
        <w:rPr>
          <w:bCs/>
          <w:lang w:val="sv-SE"/>
        </w:rPr>
        <w:t xml:space="preserve"> quy </w:t>
      </w:r>
      <w:r w:rsidRPr="00A42B21">
        <w:rPr>
          <w:bCs/>
          <w:lang w:val="sv-SE"/>
        </w:rPr>
        <w:t>định</w:t>
      </w:r>
      <w:r>
        <w:rPr>
          <w:bCs/>
          <w:lang w:val="sv-SE"/>
        </w:rPr>
        <w:t xml:space="preserve"> v</w:t>
      </w:r>
      <w:r w:rsidRPr="00A42B21">
        <w:rPr>
          <w:bCs/>
          <w:lang w:val="sv-SE"/>
        </w:rPr>
        <w:t>ề</w:t>
      </w:r>
      <w:r>
        <w:rPr>
          <w:bCs/>
          <w:lang w:val="sv-SE"/>
        </w:rPr>
        <w:t xml:space="preserve"> ph</w:t>
      </w:r>
      <w:r w:rsidRPr="00A42B21">
        <w:rPr>
          <w:bCs/>
          <w:lang w:val="sv-SE"/>
        </w:rPr>
        <w:t>ươ</w:t>
      </w:r>
      <w:r>
        <w:rPr>
          <w:bCs/>
          <w:lang w:val="sv-SE"/>
        </w:rPr>
        <w:t>ng th</w:t>
      </w:r>
      <w:r w:rsidRPr="00A42B21">
        <w:rPr>
          <w:bCs/>
          <w:lang w:val="sv-SE"/>
        </w:rPr>
        <w:t>ức</w:t>
      </w:r>
      <w:r>
        <w:rPr>
          <w:bCs/>
          <w:lang w:val="sv-SE"/>
        </w:rPr>
        <w:t xml:space="preserve"> l</w:t>
      </w:r>
      <w:r w:rsidRPr="00A42B21">
        <w:rPr>
          <w:bCs/>
          <w:lang w:val="sv-SE"/>
        </w:rPr>
        <w:t>ư</w:t>
      </w:r>
      <w:r>
        <w:rPr>
          <w:bCs/>
          <w:lang w:val="sv-SE"/>
        </w:rPr>
        <w:t>u tr</w:t>
      </w:r>
      <w:r w:rsidRPr="00A42B21">
        <w:rPr>
          <w:bCs/>
          <w:lang w:val="sv-SE"/>
        </w:rPr>
        <w:t>ữ</w:t>
      </w:r>
      <w:r>
        <w:rPr>
          <w:bCs/>
          <w:lang w:val="sv-SE"/>
        </w:rPr>
        <w:t>, b</w:t>
      </w:r>
      <w:r w:rsidRPr="00A42B21">
        <w:rPr>
          <w:bCs/>
          <w:lang w:val="sv-SE"/>
        </w:rPr>
        <w:t>ảo</w:t>
      </w:r>
      <w:r>
        <w:rPr>
          <w:bCs/>
          <w:lang w:val="sv-SE"/>
        </w:rPr>
        <w:t xml:space="preserve"> qu</w:t>
      </w:r>
      <w:r w:rsidRPr="00A42B21">
        <w:rPr>
          <w:bCs/>
          <w:lang w:val="sv-SE"/>
        </w:rPr>
        <w:t>ản</w:t>
      </w:r>
      <w:r>
        <w:rPr>
          <w:bCs/>
          <w:lang w:val="sv-SE"/>
        </w:rPr>
        <w:t xml:space="preserve"> h</w:t>
      </w:r>
      <w:r w:rsidRPr="00A42B21">
        <w:rPr>
          <w:bCs/>
          <w:lang w:val="sv-SE"/>
        </w:rPr>
        <w:t>ó</w:t>
      </w:r>
      <w:r>
        <w:rPr>
          <w:bCs/>
          <w:lang w:val="sv-SE"/>
        </w:rPr>
        <w:t xml:space="preserve">a </w:t>
      </w:r>
      <w:r w:rsidRPr="00A42B21">
        <w:rPr>
          <w:bCs/>
          <w:lang w:val="sv-SE"/>
        </w:rPr>
        <w:t>đơ</w:t>
      </w:r>
      <w:r>
        <w:rPr>
          <w:bCs/>
          <w:lang w:val="sv-SE"/>
        </w:rPr>
        <w:t>n, ch</w:t>
      </w:r>
      <w:r w:rsidRPr="00A42B21">
        <w:rPr>
          <w:bCs/>
          <w:lang w:val="sv-SE"/>
        </w:rPr>
        <w:t>ứng</w:t>
      </w:r>
      <w:r>
        <w:rPr>
          <w:bCs/>
          <w:lang w:val="sv-SE"/>
        </w:rPr>
        <w:t xml:space="preserve"> t</w:t>
      </w:r>
      <w:r w:rsidRPr="00A42B21">
        <w:rPr>
          <w:bCs/>
          <w:lang w:val="sv-SE"/>
        </w:rPr>
        <w:t>ừ</w:t>
      </w:r>
      <w:r>
        <w:rPr>
          <w:bCs/>
          <w:lang w:val="sv-SE"/>
        </w:rPr>
        <w:t xml:space="preserve"> </w:t>
      </w:r>
      <w:r w:rsidRPr="00A42B21">
        <w:rPr>
          <w:bCs/>
          <w:lang w:val="sv-SE"/>
        </w:rPr>
        <w:t>đ</w:t>
      </w:r>
      <w:r>
        <w:rPr>
          <w:bCs/>
          <w:lang w:val="sv-SE"/>
        </w:rPr>
        <w:t>i</w:t>
      </w:r>
      <w:r w:rsidRPr="00A42B21">
        <w:rPr>
          <w:bCs/>
          <w:lang w:val="sv-SE"/>
        </w:rPr>
        <w:t>ện</w:t>
      </w:r>
      <w:r>
        <w:rPr>
          <w:bCs/>
          <w:lang w:val="sv-SE"/>
        </w:rPr>
        <w:t xml:space="preserve"> t</w:t>
      </w:r>
      <w:r w:rsidRPr="00A42B21">
        <w:rPr>
          <w:bCs/>
          <w:lang w:val="sv-SE"/>
        </w:rPr>
        <w:t>ử</w:t>
      </w:r>
      <w:r>
        <w:rPr>
          <w:bCs/>
          <w:lang w:val="sv-SE"/>
        </w:rPr>
        <w:t xml:space="preserve"> kh</w:t>
      </w:r>
      <w:r w:rsidRPr="00A42B21">
        <w:rPr>
          <w:bCs/>
          <w:lang w:val="sv-SE"/>
        </w:rPr>
        <w:t>á</w:t>
      </w:r>
      <w:r>
        <w:rPr>
          <w:bCs/>
          <w:lang w:val="sv-SE"/>
        </w:rPr>
        <w:t>c h</w:t>
      </w:r>
      <w:r w:rsidRPr="00A42B21">
        <w:rPr>
          <w:bCs/>
          <w:lang w:val="sv-SE"/>
        </w:rPr>
        <w:t>ó</w:t>
      </w:r>
      <w:r>
        <w:rPr>
          <w:bCs/>
          <w:lang w:val="sv-SE"/>
        </w:rPr>
        <w:t xml:space="preserve">a </w:t>
      </w:r>
      <w:r w:rsidRPr="00A42B21">
        <w:rPr>
          <w:bCs/>
          <w:lang w:val="sv-SE"/>
        </w:rPr>
        <w:t>đơ</w:t>
      </w:r>
      <w:r>
        <w:rPr>
          <w:bCs/>
          <w:lang w:val="sv-SE"/>
        </w:rPr>
        <w:t>n, ch</w:t>
      </w:r>
      <w:r w:rsidRPr="00A42B21">
        <w:rPr>
          <w:bCs/>
          <w:lang w:val="sv-SE"/>
        </w:rPr>
        <w:t>ứng</w:t>
      </w:r>
      <w:r>
        <w:rPr>
          <w:bCs/>
          <w:lang w:val="sv-SE"/>
        </w:rPr>
        <w:t xml:space="preserve"> t</w:t>
      </w:r>
      <w:r w:rsidRPr="00A42B21">
        <w:rPr>
          <w:bCs/>
          <w:lang w:val="sv-SE"/>
        </w:rPr>
        <w:t>ừ</w:t>
      </w:r>
      <w:r>
        <w:rPr>
          <w:bCs/>
          <w:lang w:val="sv-SE"/>
        </w:rPr>
        <w:t xml:space="preserve"> đ</w:t>
      </w:r>
      <w:r w:rsidRPr="00A42B21">
        <w:rPr>
          <w:bCs/>
          <w:lang w:val="sv-SE"/>
        </w:rPr>
        <w:t>ặt</w:t>
      </w:r>
      <w:r>
        <w:rPr>
          <w:bCs/>
          <w:lang w:val="sv-SE"/>
        </w:rPr>
        <w:t xml:space="preserve"> in, t</w:t>
      </w:r>
      <w:r w:rsidRPr="00A42B21">
        <w:rPr>
          <w:bCs/>
          <w:lang w:val="sv-SE"/>
        </w:rPr>
        <w:t>ự</w:t>
      </w:r>
      <w:r>
        <w:rPr>
          <w:bCs/>
          <w:lang w:val="sv-SE"/>
        </w:rPr>
        <w:t xml:space="preserve"> in.</w:t>
      </w:r>
      <w:r w:rsidRPr="00AE2A95">
        <w:rPr>
          <w:i/>
          <w:lang w:val="sv-SE"/>
        </w:rPr>
        <w:t xml:space="preserve"> </w:t>
      </w:r>
    </w:p>
    <w:p w14:paraId="45800AE8" w14:textId="77777777" w:rsidR="007204EE" w:rsidRPr="00AE2A95" w:rsidRDefault="007204EE" w:rsidP="007204EE">
      <w:pPr>
        <w:widowControl w:val="0"/>
        <w:spacing w:before="60"/>
        <w:ind w:firstLine="720"/>
        <w:rPr>
          <w:i/>
          <w:lang w:val="sv-SE"/>
        </w:rPr>
      </w:pPr>
      <w:r w:rsidRPr="00AE2A95">
        <w:rPr>
          <w:lang w:val="sv-SE"/>
        </w:rPr>
        <w:t xml:space="preserve">- </w:t>
      </w:r>
      <w:r>
        <w:rPr>
          <w:bCs/>
          <w:lang w:val="sv-SE"/>
        </w:rPr>
        <w:t>D</w:t>
      </w:r>
      <w:r w:rsidRPr="00AE2A95">
        <w:rPr>
          <w:bCs/>
          <w:lang w:val="sv-SE"/>
        </w:rPr>
        <w:t>ự thảo Nghị định quy định về c</w:t>
      </w:r>
      <w:r w:rsidRPr="00551400">
        <w:rPr>
          <w:bCs/>
          <w:lang w:val="vi-VN"/>
        </w:rPr>
        <w:t>huyển đ</w:t>
      </w:r>
      <w:r w:rsidRPr="00AE2A95">
        <w:rPr>
          <w:bCs/>
          <w:lang w:val="sv-SE"/>
        </w:rPr>
        <w:t>ổ</w:t>
      </w:r>
      <w:r w:rsidRPr="00551400">
        <w:rPr>
          <w:bCs/>
          <w:lang w:val="vi-VN"/>
        </w:rPr>
        <w:t>i hóa đơn điện tử</w:t>
      </w:r>
      <w:r w:rsidRPr="00AE2A95">
        <w:rPr>
          <w:bCs/>
          <w:lang w:val="sv-SE"/>
        </w:rPr>
        <w:t xml:space="preserve">, chứng từ điện tử </w:t>
      </w:r>
      <w:r w:rsidRPr="00551400">
        <w:rPr>
          <w:bCs/>
          <w:lang w:val="vi-VN"/>
        </w:rPr>
        <w:t>thành chứng từ giấy</w:t>
      </w:r>
      <w:r>
        <w:rPr>
          <w:bCs/>
          <w:lang w:val="sv-SE"/>
        </w:rPr>
        <w:t xml:space="preserve"> (</w:t>
      </w:r>
      <w:r w:rsidRPr="00B30599">
        <w:rPr>
          <w:bCs/>
          <w:lang w:val="sv-SE"/>
        </w:rPr>
        <w:t>Đ</w:t>
      </w:r>
      <w:r>
        <w:rPr>
          <w:bCs/>
          <w:lang w:val="sv-SE"/>
        </w:rPr>
        <w:t>i</w:t>
      </w:r>
      <w:r w:rsidRPr="00B30599">
        <w:rPr>
          <w:bCs/>
          <w:lang w:val="sv-SE"/>
        </w:rPr>
        <w:t>ề</w:t>
      </w:r>
      <w:r>
        <w:rPr>
          <w:bCs/>
          <w:lang w:val="sv-SE"/>
        </w:rPr>
        <w:t>u 6) khi c</w:t>
      </w:r>
      <w:r w:rsidRPr="00A42B21">
        <w:rPr>
          <w:bCs/>
          <w:lang w:val="sv-SE"/>
        </w:rPr>
        <w:t>ó</w:t>
      </w:r>
      <w:r>
        <w:rPr>
          <w:bCs/>
          <w:lang w:val="sv-SE"/>
        </w:rPr>
        <w:t xml:space="preserve"> y</w:t>
      </w:r>
      <w:r w:rsidRPr="00A42B21">
        <w:rPr>
          <w:bCs/>
          <w:lang w:val="sv-SE"/>
        </w:rPr>
        <w:t>ê</w:t>
      </w:r>
      <w:r>
        <w:rPr>
          <w:bCs/>
          <w:lang w:val="sv-SE"/>
        </w:rPr>
        <w:t>u c</w:t>
      </w:r>
      <w:r w:rsidRPr="00A42B21">
        <w:rPr>
          <w:bCs/>
          <w:lang w:val="sv-SE"/>
        </w:rPr>
        <w:t>ầ</w:t>
      </w:r>
      <w:r>
        <w:rPr>
          <w:bCs/>
          <w:lang w:val="sv-SE"/>
        </w:rPr>
        <w:t>u nghi</w:t>
      </w:r>
      <w:r w:rsidRPr="00A42B21">
        <w:rPr>
          <w:bCs/>
          <w:lang w:val="sv-SE"/>
        </w:rPr>
        <w:t>ệp</w:t>
      </w:r>
      <w:r>
        <w:rPr>
          <w:bCs/>
          <w:lang w:val="sv-SE"/>
        </w:rPr>
        <w:t xml:space="preserve"> v</w:t>
      </w:r>
      <w:r w:rsidRPr="00A42B21">
        <w:rPr>
          <w:bCs/>
          <w:lang w:val="sv-SE"/>
        </w:rPr>
        <w:t>ụ</w:t>
      </w:r>
      <w:r>
        <w:rPr>
          <w:bCs/>
          <w:lang w:val="sv-SE"/>
        </w:rPr>
        <w:t xml:space="preserve"> ho</w:t>
      </w:r>
      <w:r w:rsidRPr="00A42B21">
        <w:rPr>
          <w:bCs/>
          <w:lang w:val="sv-SE"/>
        </w:rPr>
        <w:t>ặc</w:t>
      </w:r>
      <w:r>
        <w:rPr>
          <w:bCs/>
          <w:lang w:val="sv-SE"/>
        </w:rPr>
        <w:t xml:space="preserve"> theo y</w:t>
      </w:r>
      <w:r w:rsidRPr="00A42B21">
        <w:rPr>
          <w:bCs/>
          <w:lang w:val="sv-SE"/>
        </w:rPr>
        <w:t>ê</w:t>
      </w:r>
      <w:r>
        <w:rPr>
          <w:bCs/>
          <w:lang w:val="sv-SE"/>
        </w:rPr>
        <w:t>u c</w:t>
      </w:r>
      <w:r w:rsidRPr="00A42B21">
        <w:rPr>
          <w:bCs/>
          <w:lang w:val="sv-SE"/>
        </w:rPr>
        <w:t>ầ</w:t>
      </w:r>
      <w:r>
        <w:rPr>
          <w:bCs/>
          <w:lang w:val="sv-SE"/>
        </w:rPr>
        <w:t>u c</w:t>
      </w:r>
      <w:r w:rsidRPr="00A42B21">
        <w:rPr>
          <w:bCs/>
          <w:lang w:val="sv-SE"/>
        </w:rPr>
        <w:t>ủa</w:t>
      </w:r>
      <w:r>
        <w:rPr>
          <w:bCs/>
          <w:lang w:val="sv-SE"/>
        </w:rPr>
        <w:t xml:space="preserve"> c</w:t>
      </w:r>
      <w:r w:rsidRPr="00A42B21">
        <w:rPr>
          <w:bCs/>
          <w:lang w:val="sv-SE"/>
        </w:rPr>
        <w:t>ơ</w:t>
      </w:r>
      <w:r>
        <w:rPr>
          <w:bCs/>
          <w:lang w:val="sv-SE"/>
        </w:rPr>
        <w:t xml:space="preserve"> quan nh</w:t>
      </w:r>
      <w:r w:rsidRPr="00A42B21">
        <w:rPr>
          <w:bCs/>
          <w:lang w:val="sv-SE"/>
        </w:rPr>
        <w:t>à</w:t>
      </w:r>
      <w:r>
        <w:rPr>
          <w:bCs/>
          <w:lang w:val="sv-SE"/>
        </w:rPr>
        <w:t xml:space="preserve"> nư</w:t>
      </w:r>
      <w:r w:rsidRPr="00A42B21">
        <w:rPr>
          <w:bCs/>
          <w:lang w:val="sv-SE"/>
        </w:rPr>
        <w:t>ớc</w:t>
      </w:r>
      <w:r>
        <w:rPr>
          <w:bCs/>
          <w:lang w:val="sv-SE"/>
        </w:rPr>
        <w:t xml:space="preserve"> c</w:t>
      </w:r>
      <w:r w:rsidRPr="00A42B21">
        <w:rPr>
          <w:bCs/>
          <w:lang w:val="sv-SE"/>
        </w:rPr>
        <w:t>ó</w:t>
      </w:r>
      <w:r>
        <w:rPr>
          <w:bCs/>
          <w:lang w:val="sv-SE"/>
        </w:rPr>
        <w:t xml:space="preserve"> th</w:t>
      </w:r>
      <w:r w:rsidRPr="00A42B21">
        <w:rPr>
          <w:bCs/>
          <w:lang w:val="sv-SE"/>
        </w:rPr>
        <w:t>ẩ</w:t>
      </w:r>
      <w:r>
        <w:rPr>
          <w:bCs/>
          <w:lang w:val="sv-SE"/>
        </w:rPr>
        <w:t>m quy</w:t>
      </w:r>
      <w:r w:rsidRPr="00A42B21">
        <w:rPr>
          <w:bCs/>
          <w:lang w:val="sv-SE"/>
        </w:rPr>
        <w:t>ề</w:t>
      </w:r>
      <w:r>
        <w:rPr>
          <w:bCs/>
          <w:lang w:val="sv-SE"/>
        </w:rPr>
        <w:t>n, vi</w:t>
      </w:r>
      <w:r w:rsidRPr="00A42B21">
        <w:rPr>
          <w:bCs/>
          <w:lang w:val="sv-SE"/>
        </w:rPr>
        <w:t>ệc</w:t>
      </w:r>
      <w:r>
        <w:rPr>
          <w:bCs/>
          <w:lang w:val="sv-SE"/>
        </w:rPr>
        <w:t xml:space="preserve"> chuy</w:t>
      </w:r>
      <w:r w:rsidRPr="00A42B21">
        <w:rPr>
          <w:bCs/>
          <w:lang w:val="sv-SE"/>
        </w:rPr>
        <w:t>ể</w:t>
      </w:r>
      <w:r>
        <w:rPr>
          <w:bCs/>
          <w:lang w:val="sv-SE"/>
        </w:rPr>
        <w:t>n đ</w:t>
      </w:r>
      <w:r w:rsidRPr="00A42B21">
        <w:rPr>
          <w:bCs/>
          <w:lang w:val="sv-SE"/>
        </w:rPr>
        <w:t>ổi</w:t>
      </w:r>
      <w:r>
        <w:rPr>
          <w:bCs/>
          <w:lang w:val="sv-SE"/>
        </w:rPr>
        <w:t xml:space="preserve"> ph</w:t>
      </w:r>
      <w:r w:rsidRPr="00A42B21">
        <w:rPr>
          <w:bCs/>
          <w:lang w:val="sv-SE"/>
        </w:rPr>
        <w:t>ải</w:t>
      </w:r>
      <w:r>
        <w:rPr>
          <w:bCs/>
          <w:lang w:val="sv-SE"/>
        </w:rPr>
        <w:t xml:space="preserve"> </w:t>
      </w:r>
      <w:r w:rsidRPr="00A42B21">
        <w:rPr>
          <w:bCs/>
          <w:lang w:val="sv-SE"/>
        </w:rPr>
        <w:t>đảm</w:t>
      </w:r>
      <w:r>
        <w:rPr>
          <w:bCs/>
          <w:lang w:val="sv-SE"/>
        </w:rPr>
        <w:t xml:space="preserve"> b</w:t>
      </w:r>
      <w:r w:rsidRPr="00A42B21">
        <w:rPr>
          <w:bCs/>
          <w:lang w:val="sv-SE"/>
        </w:rPr>
        <w:t>ảo</w:t>
      </w:r>
      <w:r>
        <w:rPr>
          <w:bCs/>
          <w:lang w:val="sv-SE"/>
        </w:rPr>
        <w:t xml:space="preserve"> kh</w:t>
      </w:r>
      <w:r w:rsidRPr="00A42B21">
        <w:rPr>
          <w:bCs/>
          <w:lang w:val="sv-SE"/>
        </w:rPr>
        <w:t>ớp</w:t>
      </w:r>
      <w:r>
        <w:rPr>
          <w:bCs/>
          <w:lang w:val="sv-SE"/>
        </w:rPr>
        <w:t xml:space="preserve"> </w:t>
      </w:r>
      <w:r w:rsidRPr="00A42B21">
        <w:rPr>
          <w:bCs/>
          <w:lang w:val="sv-SE"/>
        </w:rPr>
        <w:t>đúng</w:t>
      </w:r>
      <w:r>
        <w:rPr>
          <w:bCs/>
          <w:lang w:val="sv-SE"/>
        </w:rPr>
        <w:t xml:space="preserve"> n</w:t>
      </w:r>
      <w:r w:rsidRPr="00A42B21">
        <w:rPr>
          <w:bCs/>
          <w:lang w:val="sv-SE"/>
        </w:rPr>
        <w:t>ội</w:t>
      </w:r>
      <w:r>
        <w:rPr>
          <w:bCs/>
          <w:lang w:val="sv-SE"/>
        </w:rPr>
        <w:t xml:space="preserve"> </w:t>
      </w:r>
      <w:r w:rsidRPr="00F93718">
        <w:rPr>
          <w:bCs/>
          <w:lang w:val="sv-SE"/>
        </w:rPr>
        <w:t>dung</w:t>
      </w:r>
      <w:r>
        <w:rPr>
          <w:bCs/>
          <w:i/>
          <w:lang w:val="sv-SE"/>
        </w:rPr>
        <w:t xml:space="preserve">, </w:t>
      </w:r>
      <w:r w:rsidRPr="00AE2A95">
        <w:rPr>
          <w:bCs/>
          <w:lang w:val="sv-SE"/>
        </w:rPr>
        <w:t>không sai lệch giữa bản điện tử và bản giấy</w:t>
      </w:r>
      <w:r>
        <w:rPr>
          <w:bCs/>
          <w:lang w:val="sv-SE"/>
        </w:rPr>
        <w:t>.</w:t>
      </w:r>
      <w:r w:rsidRPr="00AE2A95">
        <w:rPr>
          <w:bCs/>
          <w:i/>
          <w:lang w:val="sv-SE"/>
        </w:rPr>
        <w:t xml:space="preserve"> </w:t>
      </w:r>
    </w:p>
    <w:p w14:paraId="5C2F2E10" w14:textId="77777777" w:rsidR="007204EE" w:rsidRPr="00AE2A95" w:rsidRDefault="007204EE" w:rsidP="007204EE">
      <w:pPr>
        <w:widowControl w:val="0"/>
        <w:ind w:firstLine="720"/>
        <w:rPr>
          <w:b/>
          <w:i/>
          <w:color w:val="000000"/>
          <w:szCs w:val="28"/>
          <w:lang w:val="sv-SE"/>
        </w:rPr>
      </w:pPr>
    </w:p>
    <w:p w14:paraId="1906F61B" w14:textId="77777777" w:rsidR="007204EE" w:rsidRPr="00AE2A95" w:rsidRDefault="007204EE" w:rsidP="007204EE">
      <w:pPr>
        <w:widowControl w:val="0"/>
        <w:ind w:firstLine="720"/>
        <w:rPr>
          <w:b/>
          <w:i/>
          <w:color w:val="000000"/>
          <w:szCs w:val="28"/>
          <w:lang w:val="sv-SE"/>
        </w:rPr>
      </w:pPr>
      <w:r>
        <w:rPr>
          <w:b/>
          <w:i/>
          <w:color w:val="000000"/>
          <w:szCs w:val="28"/>
          <w:lang w:val="sv-SE"/>
        </w:rPr>
        <w:t>3.3.</w:t>
      </w:r>
      <w:r w:rsidRPr="00AE2A95">
        <w:rPr>
          <w:b/>
          <w:i/>
          <w:color w:val="000000"/>
          <w:szCs w:val="28"/>
          <w:lang w:val="sv-SE"/>
        </w:rPr>
        <w:t xml:space="preserve"> Quy định áp dụng đối với hóa đơn</w:t>
      </w:r>
    </w:p>
    <w:p w14:paraId="3B1C1891" w14:textId="77777777" w:rsidR="007204EE" w:rsidRPr="00AE2A95" w:rsidRDefault="007204EE" w:rsidP="007204EE">
      <w:pPr>
        <w:widowControl w:val="0"/>
        <w:ind w:firstLine="720"/>
        <w:rPr>
          <w:b/>
          <w:i/>
          <w:color w:val="000000"/>
          <w:szCs w:val="28"/>
          <w:lang w:val="sv-SE"/>
        </w:rPr>
      </w:pPr>
    </w:p>
    <w:p w14:paraId="3FE73357" w14:textId="77777777" w:rsidR="007204EE" w:rsidRPr="00AE2A95" w:rsidRDefault="007204EE" w:rsidP="007204EE">
      <w:pPr>
        <w:widowControl w:val="0"/>
        <w:ind w:firstLine="720"/>
        <w:rPr>
          <w:color w:val="000000"/>
          <w:szCs w:val="28"/>
          <w:lang w:val="sv-SE"/>
        </w:rPr>
      </w:pPr>
      <w:r w:rsidRPr="00AE2A95">
        <w:rPr>
          <w:color w:val="000000"/>
          <w:szCs w:val="28"/>
          <w:lang w:val="sv-SE"/>
        </w:rPr>
        <w:t>Chương II dự thảo Nghị định quy định đối với hóa đơn có 3 Mục cụ thể như sau:</w:t>
      </w:r>
    </w:p>
    <w:p w14:paraId="23A96115" w14:textId="77777777" w:rsidR="007204EE" w:rsidRPr="00AE2A95" w:rsidRDefault="007204EE" w:rsidP="007204EE">
      <w:pPr>
        <w:widowControl w:val="0"/>
        <w:ind w:firstLine="720"/>
        <w:rPr>
          <w:color w:val="000000"/>
          <w:szCs w:val="28"/>
          <w:lang w:val="sv-SE"/>
        </w:rPr>
      </w:pPr>
      <w:r w:rsidRPr="00AE2A95">
        <w:rPr>
          <w:color w:val="000000"/>
          <w:szCs w:val="28"/>
          <w:lang w:val="sv-SE"/>
        </w:rPr>
        <w:t xml:space="preserve">- Mục 1 quy định chung áp dụng về hóa đơn gồm các Điều có nội dung như </w:t>
      </w:r>
      <w:r>
        <w:rPr>
          <w:color w:val="000000"/>
          <w:szCs w:val="28"/>
          <w:lang w:val="sv-SE"/>
        </w:rPr>
        <w:t xml:space="preserve">quy </w:t>
      </w:r>
      <w:r w:rsidRPr="00DD2279">
        <w:rPr>
          <w:color w:val="000000"/>
          <w:szCs w:val="28"/>
          <w:lang w:val="sv-SE"/>
        </w:rPr>
        <w:t>định</w:t>
      </w:r>
      <w:r>
        <w:rPr>
          <w:color w:val="000000"/>
          <w:szCs w:val="28"/>
          <w:lang w:val="sv-SE"/>
        </w:rPr>
        <w:t xml:space="preserve"> v</w:t>
      </w:r>
      <w:r w:rsidRPr="00DD2279">
        <w:rPr>
          <w:color w:val="000000"/>
          <w:szCs w:val="28"/>
          <w:lang w:val="sv-SE"/>
        </w:rPr>
        <w:t>ề</w:t>
      </w:r>
      <w:r>
        <w:rPr>
          <w:color w:val="000000"/>
          <w:szCs w:val="28"/>
          <w:lang w:val="sv-SE"/>
        </w:rPr>
        <w:t xml:space="preserve"> c</w:t>
      </w:r>
      <w:r w:rsidRPr="00DD2279">
        <w:rPr>
          <w:color w:val="000000"/>
          <w:szCs w:val="28"/>
          <w:lang w:val="sv-SE"/>
        </w:rPr>
        <w:t>á</w:t>
      </w:r>
      <w:r>
        <w:rPr>
          <w:color w:val="000000"/>
          <w:szCs w:val="28"/>
          <w:lang w:val="sv-SE"/>
        </w:rPr>
        <w:t>c lo</w:t>
      </w:r>
      <w:r w:rsidRPr="00DD2279">
        <w:rPr>
          <w:color w:val="000000"/>
          <w:szCs w:val="28"/>
          <w:lang w:val="sv-SE"/>
        </w:rPr>
        <w:t>ại</w:t>
      </w:r>
      <w:r>
        <w:rPr>
          <w:color w:val="000000"/>
          <w:szCs w:val="28"/>
          <w:lang w:val="sv-SE"/>
        </w:rPr>
        <w:t xml:space="preserve"> h</w:t>
      </w:r>
      <w:r w:rsidRPr="00DD2279">
        <w:rPr>
          <w:color w:val="000000"/>
          <w:szCs w:val="28"/>
          <w:lang w:val="sv-SE"/>
        </w:rPr>
        <w:t>ó</w:t>
      </w:r>
      <w:r>
        <w:rPr>
          <w:color w:val="000000"/>
          <w:szCs w:val="28"/>
          <w:lang w:val="sv-SE"/>
        </w:rPr>
        <w:t xml:space="preserve">a </w:t>
      </w:r>
      <w:r w:rsidRPr="00DD2279">
        <w:rPr>
          <w:color w:val="000000"/>
          <w:szCs w:val="28"/>
          <w:lang w:val="sv-SE"/>
        </w:rPr>
        <w:t>đơ</w:t>
      </w:r>
      <w:r>
        <w:rPr>
          <w:color w:val="000000"/>
          <w:szCs w:val="28"/>
          <w:lang w:val="sv-SE"/>
        </w:rPr>
        <w:t>n, th</w:t>
      </w:r>
      <w:r w:rsidRPr="00DD2279">
        <w:rPr>
          <w:color w:val="000000"/>
          <w:szCs w:val="28"/>
          <w:lang w:val="sv-SE"/>
        </w:rPr>
        <w:t>ờ</w:t>
      </w:r>
      <w:r>
        <w:rPr>
          <w:color w:val="000000"/>
          <w:szCs w:val="28"/>
          <w:lang w:val="sv-SE"/>
        </w:rPr>
        <w:t xml:space="preserve">i </w:t>
      </w:r>
      <w:r w:rsidRPr="00DD2279">
        <w:rPr>
          <w:color w:val="000000"/>
          <w:szCs w:val="28"/>
          <w:lang w:val="sv-SE"/>
        </w:rPr>
        <w:t>đ</w:t>
      </w:r>
      <w:r>
        <w:rPr>
          <w:color w:val="000000"/>
          <w:szCs w:val="28"/>
          <w:lang w:val="sv-SE"/>
        </w:rPr>
        <w:t>i</w:t>
      </w:r>
      <w:r w:rsidRPr="00DD2279">
        <w:rPr>
          <w:color w:val="000000"/>
          <w:szCs w:val="28"/>
          <w:lang w:val="sv-SE"/>
        </w:rPr>
        <w:t>ể</w:t>
      </w:r>
      <w:r>
        <w:rPr>
          <w:color w:val="000000"/>
          <w:szCs w:val="28"/>
          <w:lang w:val="sv-SE"/>
        </w:rPr>
        <w:t>m l</w:t>
      </w:r>
      <w:r w:rsidRPr="00DD2279">
        <w:rPr>
          <w:color w:val="000000"/>
          <w:szCs w:val="28"/>
          <w:lang w:val="sv-SE"/>
        </w:rPr>
        <w:t>ập</w:t>
      </w:r>
      <w:r>
        <w:rPr>
          <w:color w:val="000000"/>
          <w:szCs w:val="28"/>
          <w:lang w:val="sv-SE"/>
        </w:rPr>
        <w:t xml:space="preserve"> h</w:t>
      </w:r>
      <w:r w:rsidRPr="00DD2279">
        <w:rPr>
          <w:color w:val="000000"/>
          <w:szCs w:val="28"/>
          <w:lang w:val="sv-SE"/>
        </w:rPr>
        <w:t>ó</w:t>
      </w:r>
      <w:r>
        <w:rPr>
          <w:color w:val="000000"/>
          <w:szCs w:val="28"/>
          <w:lang w:val="sv-SE"/>
        </w:rPr>
        <w:t xml:space="preserve">a </w:t>
      </w:r>
      <w:r w:rsidRPr="00DD2279">
        <w:rPr>
          <w:color w:val="000000"/>
          <w:szCs w:val="28"/>
          <w:lang w:val="sv-SE"/>
        </w:rPr>
        <w:t>đơ</w:t>
      </w:r>
      <w:r>
        <w:rPr>
          <w:color w:val="000000"/>
          <w:szCs w:val="28"/>
          <w:lang w:val="sv-SE"/>
        </w:rPr>
        <w:t>n, c</w:t>
      </w:r>
      <w:r w:rsidRPr="00DD2279">
        <w:rPr>
          <w:color w:val="000000"/>
          <w:szCs w:val="28"/>
          <w:lang w:val="sv-SE"/>
        </w:rPr>
        <w:t>á</w:t>
      </w:r>
      <w:r>
        <w:rPr>
          <w:color w:val="000000"/>
          <w:szCs w:val="28"/>
          <w:lang w:val="sv-SE"/>
        </w:rPr>
        <w:t>c ti</w:t>
      </w:r>
      <w:r w:rsidRPr="00DD2279">
        <w:rPr>
          <w:color w:val="000000"/>
          <w:szCs w:val="28"/>
          <w:lang w:val="sv-SE"/>
        </w:rPr>
        <w:t>ê</w:t>
      </w:r>
      <w:r>
        <w:rPr>
          <w:color w:val="000000"/>
          <w:szCs w:val="28"/>
          <w:lang w:val="sv-SE"/>
        </w:rPr>
        <w:t>u th</w:t>
      </w:r>
      <w:r w:rsidRPr="00DD2279">
        <w:rPr>
          <w:color w:val="000000"/>
          <w:szCs w:val="28"/>
          <w:lang w:val="sv-SE"/>
        </w:rPr>
        <w:t>ức</w:t>
      </w:r>
      <w:r>
        <w:rPr>
          <w:color w:val="000000"/>
          <w:szCs w:val="28"/>
          <w:lang w:val="sv-SE"/>
        </w:rPr>
        <w:t xml:space="preserve"> c</w:t>
      </w:r>
      <w:r w:rsidRPr="00DD2279">
        <w:rPr>
          <w:color w:val="000000"/>
          <w:szCs w:val="28"/>
          <w:lang w:val="sv-SE"/>
        </w:rPr>
        <w:t>ủa</w:t>
      </w:r>
      <w:r>
        <w:rPr>
          <w:color w:val="000000"/>
          <w:szCs w:val="28"/>
          <w:lang w:val="sv-SE"/>
        </w:rPr>
        <w:t xml:space="preserve"> h</w:t>
      </w:r>
      <w:r w:rsidRPr="00DD2279">
        <w:rPr>
          <w:color w:val="000000"/>
          <w:szCs w:val="28"/>
          <w:lang w:val="sv-SE"/>
        </w:rPr>
        <w:t>ó</w:t>
      </w:r>
      <w:r>
        <w:rPr>
          <w:color w:val="000000"/>
          <w:szCs w:val="28"/>
          <w:lang w:val="sv-SE"/>
        </w:rPr>
        <w:t xml:space="preserve">a </w:t>
      </w:r>
      <w:r w:rsidRPr="00DD2279">
        <w:rPr>
          <w:color w:val="000000"/>
          <w:szCs w:val="28"/>
          <w:lang w:val="sv-SE"/>
        </w:rPr>
        <w:t>đơ</w:t>
      </w:r>
      <w:r>
        <w:rPr>
          <w:color w:val="000000"/>
          <w:szCs w:val="28"/>
          <w:lang w:val="sv-SE"/>
        </w:rPr>
        <w:t>n v</w:t>
      </w:r>
      <w:r w:rsidRPr="00DD2279">
        <w:rPr>
          <w:color w:val="000000"/>
          <w:szCs w:val="28"/>
          <w:lang w:val="sv-SE"/>
        </w:rPr>
        <w:t>à</w:t>
      </w:r>
      <w:r>
        <w:rPr>
          <w:color w:val="000000"/>
          <w:szCs w:val="28"/>
          <w:lang w:val="sv-SE"/>
        </w:rPr>
        <w:t xml:space="preserve"> nguy</w:t>
      </w:r>
      <w:r w:rsidRPr="00DD2279">
        <w:rPr>
          <w:color w:val="000000"/>
          <w:szCs w:val="28"/>
          <w:lang w:val="sv-SE"/>
        </w:rPr>
        <w:t>ê</w:t>
      </w:r>
      <w:r>
        <w:rPr>
          <w:color w:val="000000"/>
          <w:szCs w:val="28"/>
          <w:lang w:val="sv-SE"/>
        </w:rPr>
        <w:t>n t</w:t>
      </w:r>
      <w:r w:rsidRPr="00DD2279">
        <w:rPr>
          <w:color w:val="000000"/>
          <w:szCs w:val="28"/>
          <w:lang w:val="sv-SE"/>
        </w:rPr>
        <w:t>ắc</w:t>
      </w:r>
      <w:r>
        <w:rPr>
          <w:color w:val="000000"/>
          <w:szCs w:val="28"/>
          <w:lang w:val="sv-SE"/>
        </w:rPr>
        <w:t xml:space="preserve"> </w:t>
      </w:r>
      <w:r w:rsidRPr="00DD2279">
        <w:rPr>
          <w:color w:val="000000"/>
          <w:szCs w:val="28"/>
          <w:lang w:val="sv-SE"/>
        </w:rPr>
        <w:t>á</w:t>
      </w:r>
      <w:r>
        <w:rPr>
          <w:color w:val="000000"/>
          <w:szCs w:val="28"/>
          <w:lang w:val="sv-SE"/>
        </w:rPr>
        <w:t>p d</w:t>
      </w:r>
      <w:r w:rsidRPr="00DD2279">
        <w:rPr>
          <w:color w:val="000000"/>
          <w:szCs w:val="28"/>
          <w:lang w:val="sv-SE"/>
        </w:rPr>
        <w:t>ụng</w:t>
      </w:r>
      <w:r>
        <w:rPr>
          <w:color w:val="000000"/>
          <w:szCs w:val="28"/>
          <w:lang w:val="sv-SE"/>
        </w:rPr>
        <w:t>.</w:t>
      </w:r>
    </w:p>
    <w:p w14:paraId="33FE1941" w14:textId="77777777" w:rsidR="007204EE" w:rsidRPr="00AE2A95" w:rsidRDefault="007204EE" w:rsidP="007204EE">
      <w:pPr>
        <w:pStyle w:val="Heading2"/>
        <w:keepNext w:val="0"/>
        <w:widowControl w:val="0"/>
        <w:ind w:firstLine="720"/>
        <w:rPr>
          <w:rFonts w:ascii="Times New Roman" w:hAnsi="Times New Roman"/>
          <w:b w:val="0"/>
          <w:color w:val="000000"/>
          <w:sz w:val="28"/>
          <w:szCs w:val="28"/>
          <w:lang w:val="sv-SE"/>
        </w:rPr>
      </w:pPr>
      <w:r w:rsidRPr="00A27594">
        <w:rPr>
          <w:rFonts w:ascii="Times New Roman" w:hAnsi="Times New Roman"/>
          <w:b w:val="0"/>
          <w:color w:val="000000"/>
          <w:sz w:val="28"/>
          <w:szCs w:val="28"/>
        </w:rPr>
        <w:t xml:space="preserve">+ </w:t>
      </w:r>
      <w:r>
        <w:rPr>
          <w:rFonts w:ascii="Times New Roman" w:hAnsi="Times New Roman"/>
          <w:b w:val="0"/>
          <w:color w:val="000000"/>
          <w:sz w:val="28"/>
          <w:szCs w:val="28"/>
          <w:lang w:val="sv-SE"/>
        </w:rPr>
        <w:t>C</w:t>
      </w:r>
      <w:r w:rsidRPr="00AE2A95">
        <w:rPr>
          <w:rFonts w:ascii="Times New Roman" w:hAnsi="Times New Roman"/>
          <w:b w:val="0"/>
          <w:color w:val="000000"/>
          <w:sz w:val="28"/>
          <w:szCs w:val="28"/>
          <w:lang w:val="sv-SE"/>
        </w:rPr>
        <w:t xml:space="preserve">ác loại hóa đơn áp dụng gồm: Hóa đơn GTGT, hóa đơn bán hàng; </w:t>
      </w:r>
      <w:r w:rsidRPr="00A27594">
        <w:rPr>
          <w:rFonts w:ascii="Times New Roman" w:hAnsi="Times New Roman"/>
          <w:b w:val="0"/>
          <w:color w:val="000000"/>
          <w:sz w:val="28"/>
          <w:szCs w:val="28"/>
          <w:lang w:val="nl-NL"/>
        </w:rPr>
        <w:t>hóa đơn bán tài sản nhà nước, hàng dự trữ quốc gia; c</w:t>
      </w:r>
      <w:r w:rsidRPr="00A27594">
        <w:rPr>
          <w:rFonts w:ascii="Times New Roman" w:hAnsi="Times New Roman"/>
          <w:b w:val="0"/>
          <w:color w:val="000000"/>
          <w:sz w:val="28"/>
          <w:szCs w:val="28"/>
          <w:lang w:val="vi-VN"/>
        </w:rPr>
        <w:t xml:space="preserve">ác loại hóa đơn khác, gồm: vé, thẻ hoặc </w:t>
      </w:r>
      <w:r>
        <w:rPr>
          <w:rFonts w:ascii="Times New Roman" w:hAnsi="Times New Roman"/>
          <w:b w:val="0"/>
          <w:color w:val="000000"/>
          <w:sz w:val="28"/>
          <w:szCs w:val="28"/>
          <w:lang w:val="en-US"/>
        </w:rPr>
        <w:t>c</w:t>
      </w:r>
      <w:r w:rsidRPr="00A27594">
        <w:rPr>
          <w:rFonts w:ascii="Times New Roman" w:hAnsi="Times New Roman"/>
          <w:b w:val="0"/>
          <w:color w:val="000000"/>
          <w:sz w:val="28"/>
          <w:szCs w:val="28"/>
          <w:lang w:val="vi-VN"/>
        </w:rPr>
        <w:t xml:space="preserve">ác chứng từ có tên gọi khác nhưng có hình thức và nội dung </w:t>
      </w:r>
      <w:r w:rsidRPr="00AE2A95">
        <w:rPr>
          <w:rFonts w:ascii="Times New Roman" w:hAnsi="Times New Roman"/>
          <w:b w:val="0"/>
          <w:color w:val="000000"/>
          <w:sz w:val="28"/>
          <w:szCs w:val="28"/>
          <w:lang w:val="sv-SE"/>
        </w:rPr>
        <w:t>của hóa đơn</w:t>
      </w:r>
      <w:r>
        <w:rPr>
          <w:rFonts w:ascii="Times New Roman" w:hAnsi="Times New Roman"/>
          <w:b w:val="0"/>
          <w:color w:val="000000"/>
          <w:sz w:val="28"/>
          <w:szCs w:val="28"/>
          <w:lang w:val="sv-SE"/>
        </w:rPr>
        <w:t xml:space="preserve"> </w:t>
      </w:r>
      <w:r w:rsidRPr="00AE2A95">
        <w:rPr>
          <w:rFonts w:ascii="Times New Roman" w:hAnsi="Times New Roman"/>
          <w:b w:val="0"/>
          <w:i/>
          <w:color w:val="000000"/>
          <w:sz w:val="28"/>
          <w:szCs w:val="28"/>
          <w:lang w:val="sv-SE"/>
        </w:rPr>
        <w:t>(Điều 7).</w:t>
      </w:r>
      <w:r>
        <w:rPr>
          <w:rFonts w:ascii="Times New Roman" w:hAnsi="Times New Roman"/>
          <w:b w:val="0"/>
          <w:color w:val="000000"/>
          <w:sz w:val="28"/>
          <w:szCs w:val="28"/>
          <w:lang w:val="sv-SE"/>
        </w:rPr>
        <w:t xml:space="preserve"> </w:t>
      </w:r>
    </w:p>
    <w:p w14:paraId="361B960D" w14:textId="77777777" w:rsidR="007204EE" w:rsidRPr="00AE2A95" w:rsidRDefault="007204EE" w:rsidP="007204EE">
      <w:pPr>
        <w:rPr>
          <w:i/>
          <w:color w:val="000000"/>
          <w:szCs w:val="28"/>
          <w:lang w:val="nl-NL" w:eastAsia="x-none"/>
        </w:rPr>
      </w:pPr>
      <w:r w:rsidRPr="00A27594">
        <w:rPr>
          <w:color w:val="000000"/>
          <w:szCs w:val="28"/>
          <w:lang w:val="nl-NL" w:eastAsia="x-none"/>
        </w:rPr>
        <w:tab/>
        <w:t xml:space="preserve">+ </w:t>
      </w:r>
      <w:r>
        <w:rPr>
          <w:color w:val="000000"/>
          <w:szCs w:val="28"/>
          <w:lang w:val="nl-NL" w:eastAsia="x-none"/>
        </w:rPr>
        <w:t>V</w:t>
      </w:r>
      <w:r w:rsidRPr="00AE2A95">
        <w:rPr>
          <w:color w:val="000000"/>
          <w:szCs w:val="28"/>
          <w:lang w:val="nl-NL" w:eastAsia="x-none"/>
        </w:rPr>
        <w:t>ề thời điểm lập hóa đơn căn cứ theo thời điểm xác định thuế GTGT theo quy định của pháp luật thuế GTGT là thời điểm chuyển giao quyền sở hữu, quyền sử dụng đối với hàng hóa, là thời điểm hoàn thành việc cung cấp dịch vụ hoặc thời điểm nhận tiền</w:t>
      </w:r>
      <w:r>
        <w:rPr>
          <w:color w:val="000000"/>
          <w:szCs w:val="28"/>
          <w:lang w:val="nl-NL" w:eastAsia="x-none"/>
        </w:rPr>
        <w:t xml:space="preserve"> </w:t>
      </w:r>
      <w:r w:rsidRPr="00AE2A95">
        <w:rPr>
          <w:i/>
          <w:color w:val="000000"/>
          <w:szCs w:val="28"/>
          <w:lang w:val="nl-NL" w:eastAsia="x-none"/>
        </w:rPr>
        <w:t>(Điều 8).</w:t>
      </w:r>
    </w:p>
    <w:p w14:paraId="5B58367B" w14:textId="77777777" w:rsidR="007204EE" w:rsidRPr="00AE2A95" w:rsidRDefault="007204EE" w:rsidP="007204EE">
      <w:pPr>
        <w:rPr>
          <w:bCs/>
          <w:color w:val="000000"/>
          <w:szCs w:val="28"/>
          <w:lang w:val="nl-NL"/>
        </w:rPr>
      </w:pPr>
      <w:r w:rsidRPr="00AE2A95">
        <w:rPr>
          <w:color w:val="000000"/>
          <w:szCs w:val="28"/>
          <w:lang w:val="nl-NL" w:eastAsia="x-none"/>
        </w:rPr>
        <w:tab/>
        <w:t xml:space="preserve">+ </w:t>
      </w:r>
      <w:r>
        <w:rPr>
          <w:bCs/>
          <w:color w:val="000000"/>
          <w:szCs w:val="28"/>
          <w:lang w:val="nl-NL"/>
        </w:rPr>
        <w:t>Q</w:t>
      </w:r>
      <w:r w:rsidRPr="00AE2A95">
        <w:rPr>
          <w:bCs/>
          <w:color w:val="000000"/>
          <w:szCs w:val="28"/>
          <w:lang w:val="nl-NL"/>
        </w:rPr>
        <w:t>uy định nội dung của hóa đơn gồm các tiêu thức: tên loại hóa đơn; ký hiệu mẫu số hóa đơn, ký hiệu hóa đơn; tên, địa chỉ, MST người bán, người mua; tiêu thức liên quan đến giao dịch kinh tế (tên, đơn vị tính, số lượng, giá trị, tiền thuế, tiền thanh toán); chữ ký người bán, người mua; mã cơ quan thuế (đối với hóa đơn điện tử có mã của cơ quan thuế); phí, lệ phí thuộc NSNN</w:t>
      </w:r>
      <w:r>
        <w:rPr>
          <w:bCs/>
          <w:color w:val="000000"/>
          <w:szCs w:val="28"/>
          <w:lang w:val="nl-NL"/>
        </w:rPr>
        <w:t xml:space="preserve"> </w:t>
      </w:r>
      <w:r w:rsidRPr="00AE2A95">
        <w:rPr>
          <w:bCs/>
          <w:i/>
          <w:color w:val="000000"/>
          <w:szCs w:val="28"/>
          <w:lang w:val="nl-NL"/>
        </w:rPr>
        <w:t>(Điều 9).</w:t>
      </w:r>
    </w:p>
    <w:p w14:paraId="622EEAA4" w14:textId="77777777" w:rsidR="007204EE" w:rsidRPr="00AE2A95" w:rsidRDefault="007204EE" w:rsidP="007204EE">
      <w:pPr>
        <w:rPr>
          <w:color w:val="000000"/>
          <w:szCs w:val="28"/>
          <w:lang w:val="nl-NL"/>
        </w:rPr>
      </w:pPr>
      <w:r w:rsidRPr="00AE2A95">
        <w:rPr>
          <w:bCs/>
          <w:color w:val="000000"/>
          <w:szCs w:val="28"/>
          <w:lang w:val="nl-NL"/>
        </w:rPr>
        <w:tab/>
        <w:t xml:space="preserve">+ </w:t>
      </w:r>
      <w:r>
        <w:rPr>
          <w:color w:val="000000"/>
          <w:szCs w:val="28"/>
          <w:lang w:val="nl-NL"/>
        </w:rPr>
        <w:t>Q</w:t>
      </w:r>
      <w:r w:rsidRPr="00AE2A95">
        <w:rPr>
          <w:color w:val="000000"/>
          <w:szCs w:val="28"/>
          <w:lang w:val="nl-NL"/>
        </w:rPr>
        <w:t>uy định</w:t>
      </w:r>
      <w:r>
        <w:rPr>
          <w:color w:val="000000"/>
          <w:szCs w:val="28"/>
          <w:lang w:val="nl-NL"/>
        </w:rPr>
        <w:t xml:space="preserve"> </w:t>
      </w:r>
      <w:r w:rsidRPr="00AE2A95">
        <w:rPr>
          <w:color w:val="000000"/>
          <w:szCs w:val="28"/>
          <w:lang w:val="nl-NL"/>
        </w:rPr>
        <w:t>các cơ sở kinh doanh trong cùng một đơn vị kế toán theo quy định tại Luật Kế toán, sử dụng hóa đơn của cơ sở chính và chỉ sử dụng một hình thức hóa đơn khi bán hàng hóa, cung cấp dịch vụ; quy định về ủy nhiệm lập hóa đơn; quy định nguyên tắc đối với h</w:t>
      </w:r>
      <w:r w:rsidRPr="00A27594">
        <w:rPr>
          <w:color w:val="000000"/>
          <w:szCs w:val="28"/>
          <w:lang w:val="vi-VN"/>
        </w:rPr>
        <w:t>óa đơn được khởi tạo từ máy tính tiền</w:t>
      </w:r>
      <w:r>
        <w:rPr>
          <w:color w:val="000000"/>
          <w:szCs w:val="28"/>
          <w:lang w:val="nl-NL"/>
        </w:rPr>
        <w:t xml:space="preserve"> </w:t>
      </w:r>
      <w:r w:rsidRPr="00AE2A95">
        <w:rPr>
          <w:i/>
          <w:color w:val="000000"/>
          <w:szCs w:val="28"/>
          <w:lang w:val="nl-NL"/>
        </w:rPr>
        <w:t>(Điều 10).</w:t>
      </w:r>
    </w:p>
    <w:p w14:paraId="3CEC8D3D" w14:textId="77777777" w:rsidR="007204EE" w:rsidRPr="00AE2A95" w:rsidRDefault="007204EE" w:rsidP="007204EE">
      <w:pPr>
        <w:rPr>
          <w:color w:val="000000"/>
          <w:szCs w:val="28"/>
          <w:lang w:val="nl-NL"/>
        </w:rPr>
      </w:pPr>
    </w:p>
    <w:p w14:paraId="59F33A12" w14:textId="77777777" w:rsidR="007204EE" w:rsidRPr="00AE2A95" w:rsidRDefault="007204EE" w:rsidP="007204EE">
      <w:pPr>
        <w:rPr>
          <w:szCs w:val="28"/>
          <w:lang w:val="nl-NL"/>
        </w:rPr>
      </w:pPr>
      <w:r w:rsidRPr="00AE2A95">
        <w:rPr>
          <w:szCs w:val="28"/>
          <w:lang w:val="nl-NL"/>
        </w:rPr>
        <w:tab/>
        <w:t xml:space="preserve">- Mục 2 quy định về hóa đơn điện tử gồm các Điều có nội dung như </w:t>
      </w:r>
      <w:r w:rsidRPr="00DD2279">
        <w:rPr>
          <w:szCs w:val="28"/>
          <w:lang w:val="nl-NL"/>
        </w:rPr>
        <w:t>định</w:t>
      </w:r>
      <w:r>
        <w:rPr>
          <w:szCs w:val="28"/>
          <w:lang w:val="nl-NL"/>
        </w:rPr>
        <w:t xml:space="preserve"> d</w:t>
      </w:r>
      <w:r w:rsidRPr="00DD2279">
        <w:rPr>
          <w:szCs w:val="28"/>
          <w:lang w:val="nl-NL"/>
        </w:rPr>
        <w:t>ạng</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 xml:space="preserve">n </w:t>
      </w:r>
      <w:r w:rsidRPr="00DD2279">
        <w:rPr>
          <w:szCs w:val="28"/>
          <w:lang w:val="nl-NL"/>
        </w:rPr>
        <w:t>đ</w:t>
      </w:r>
      <w:r>
        <w:rPr>
          <w:szCs w:val="28"/>
          <w:lang w:val="nl-NL"/>
        </w:rPr>
        <w:t>i</w:t>
      </w:r>
      <w:r w:rsidRPr="00DD2279">
        <w:rPr>
          <w:szCs w:val="28"/>
          <w:lang w:val="nl-NL"/>
        </w:rPr>
        <w:t>ện</w:t>
      </w:r>
      <w:r>
        <w:rPr>
          <w:szCs w:val="28"/>
          <w:lang w:val="nl-NL"/>
        </w:rPr>
        <w:t xml:space="preserve"> t</w:t>
      </w:r>
      <w:r w:rsidRPr="00DD2279">
        <w:rPr>
          <w:szCs w:val="28"/>
          <w:lang w:val="nl-NL"/>
        </w:rPr>
        <w:t>ử</w:t>
      </w:r>
      <w:r>
        <w:rPr>
          <w:szCs w:val="28"/>
          <w:lang w:val="nl-NL"/>
        </w:rPr>
        <w:t xml:space="preserve">, </w:t>
      </w:r>
      <w:r w:rsidRPr="00DD2279">
        <w:rPr>
          <w:szCs w:val="28"/>
          <w:lang w:val="nl-NL"/>
        </w:rPr>
        <w:t>á</w:t>
      </w:r>
      <w:r>
        <w:rPr>
          <w:szCs w:val="28"/>
          <w:lang w:val="nl-NL"/>
        </w:rPr>
        <w:t>p d</w:t>
      </w:r>
      <w:r w:rsidRPr="00DD2279">
        <w:rPr>
          <w:szCs w:val="28"/>
          <w:lang w:val="nl-NL"/>
        </w:rPr>
        <w:t>ụng</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 xml:space="preserve">n </w:t>
      </w:r>
      <w:r w:rsidRPr="00DD2279">
        <w:rPr>
          <w:szCs w:val="28"/>
          <w:lang w:val="nl-NL"/>
        </w:rPr>
        <w:t>đ</w:t>
      </w:r>
      <w:r>
        <w:rPr>
          <w:szCs w:val="28"/>
          <w:lang w:val="nl-NL"/>
        </w:rPr>
        <w:t>i</w:t>
      </w:r>
      <w:r w:rsidRPr="00DD2279">
        <w:rPr>
          <w:szCs w:val="28"/>
          <w:lang w:val="nl-NL"/>
        </w:rPr>
        <w:t>ện</w:t>
      </w:r>
      <w:r>
        <w:rPr>
          <w:szCs w:val="28"/>
          <w:lang w:val="nl-NL"/>
        </w:rPr>
        <w:t xml:space="preserve"> t</w:t>
      </w:r>
      <w:r w:rsidRPr="00DD2279">
        <w:rPr>
          <w:szCs w:val="28"/>
          <w:lang w:val="nl-NL"/>
        </w:rPr>
        <w:t>ử</w:t>
      </w:r>
      <w:r>
        <w:rPr>
          <w:szCs w:val="28"/>
          <w:lang w:val="nl-NL"/>
        </w:rPr>
        <w:t>, m</w:t>
      </w:r>
      <w:r w:rsidRPr="00DD2279">
        <w:rPr>
          <w:szCs w:val="28"/>
          <w:lang w:val="nl-NL"/>
        </w:rPr>
        <w:t>ột</w:t>
      </w:r>
      <w:r>
        <w:rPr>
          <w:szCs w:val="28"/>
          <w:lang w:val="nl-NL"/>
        </w:rPr>
        <w:t xml:space="preserve"> s</w:t>
      </w:r>
      <w:r w:rsidRPr="00DD2279">
        <w:rPr>
          <w:szCs w:val="28"/>
          <w:lang w:val="nl-NL"/>
        </w:rPr>
        <w:t>ố</w:t>
      </w:r>
      <w:r>
        <w:rPr>
          <w:szCs w:val="28"/>
          <w:lang w:val="nl-NL"/>
        </w:rPr>
        <w:t xml:space="preserve"> quy </w:t>
      </w:r>
      <w:r w:rsidRPr="00DD2279">
        <w:rPr>
          <w:szCs w:val="28"/>
          <w:lang w:val="nl-NL"/>
        </w:rPr>
        <w:t>định</w:t>
      </w:r>
      <w:r>
        <w:rPr>
          <w:szCs w:val="28"/>
          <w:lang w:val="nl-NL"/>
        </w:rPr>
        <w:t xml:space="preserve"> v</w:t>
      </w:r>
      <w:r w:rsidRPr="00DD2279">
        <w:rPr>
          <w:szCs w:val="28"/>
          <w:lang w:val="nl-NL"/>
        </w:rPr>
        <w:t>ề</w:t>
      </w:r>
      <w:r>
        <w:rPr>
          <w:szCs w:val="28"/>
          <w:lang w:val="nl-NL"/>
        </w:rPr>
        <w:t xml:space="preserve"> cung c</w:t>
      </w:r>
      <w:r w:rsidRPr="00DD2279">
        <w:rPr>
          <w:szCs w:val="28"/>
          <w:lang w:val="nl-NL"/>
        </w:rPr>
        <w:t>ấ</w:t>
      </w:r>
      <w:r>
        <w:rPr>
          <w:szCs w:val="28"/>
          <w:lang w:val="nl-NL"/>
        </w:rPr>
        <w:t>p d</w:t>
      </w:r>
      <w:r w:rsidRPr="00DD2279">
        <w:rPr>
          <w:szCs w:val="28"/>
          <w:lang w:val="nl-NL"/>
        </w:rPr>
        <w:t>ịch</w:t>
      </w:r>
      <w:r>
        <w:rPr>
          <w:szCs w:val="28"/>
          <w:lang w:val="nl-NL"/>
        </w:rPr>
        <w:t xml:space="preserve"> v</w:t>
      </w:r>
      <w:r w:rsidRPr="00DD2279">
        <w:rPr>
          <w:szCs w:val="28"/>
          <w:lang w:val="nl-NL"/>
        </w:rPr>
        <w:t>ụ</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 xml:space="preserve">n </w:t>
      </w:r>
      <w:r w:rsidRPr="00DD2279">
        <w:rPr>
          <w:szCs w:val="28"/>
          <w:lang w:val="nl-NL"/>
        </w:rPr>
        <w:t>đ</w:t>
      </w:r>
      <w:r>
        <w:rPr>
          <w:szCs w:val="28"/>
          <w:lang w:val="nl-NL"/>
        </w:rPr>
        <w:t>i</w:t>
      </w:r>
      <w:r w:rsidRPr="00DD2279">
        <w:rPr>
          <w:szCs w:val="28"/>
          <w:lang w:val="nl-NL"/>
        </w:rPr>
        <w:t>ện</w:t>
      </w:r>
      <w:r>
        <w:rPr>
          <w:szCs w:val="28"/>
          <w:lang w:val="nl-NL"/>
        </w:rPr>
        <w:t xml:space="preserve"> t</w:t>
      </w:r>
      <w:r w:rsidRPr="00DD2279">
        <w:rPr>
          <w:szCs w:val="28"/>
          <w:lang w:val="nl-NL"/>
        </w:rPr>
        <w:t>ử</w:t>
      </w:r>
      <w:r>
        <w:rPr>
          <w:szCs w:val="28"/>
          <w:lang w:val="nl-NL"/>
        </w:rPr>
        <w:t xml:space="preserve">, </w:t>
      </w:r>
      <w:r w:rsidRPr="00DD2279">
        <w:rPr>
          <w:szCs w:val="28"/>
          <w:lang w:val="nl-NL"/>
        </w:rPr>
        <w:t>đă</w:t>
      </w:r>
      <w:r>
        <w:rPr>
          <w:szCs w:val="28"/>
          <w:lang w:val="nl-NL"/>
        </w:rPr>
        <w:t>ng k</w:t>
      </w:r>
      <w:r w:rsidRPr="00DD2279">
        <w:rPr>
          <w:szCs w:val="28"/>
          <w:lang w:val="nl-NL"/>
        </w:rPr>
        <w:t>ý</w:t>
      </w:r>
      <w:r>
        <w:rPr>
          <w:szCs w:val="28"/>
          <w:lang w:val="nl-NL"/>
        </w:rPr>
        <w:t xml:space="preserve"> s</w:t>
      </w:r>
      <w:r w:rsidRPr="00DD2279">
        <w:rPr>
          <w:szCs w:val="28"/>
          <w:lang w:val="nl-NL"/>
        </w:rPr>
        <w:t>ử</w:t>
      </w:r>
      <w:r>
        <w:rPr>
          <w:szCs w:val="28"/>
          <w:lang w:val="nl-NL"/>
        </w:rPr>
        <w:t xml:space="preserve"> d</w:t>
      </w:r>
      <w:r w:rsidRPr="00DD2279">
        <w:rPr>
          <w:szCs w:val="28"/>
          <w:lang w:val="nl-NL"/>
        </w:rPr>
        <w:t>ụng</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n, ng</w:t>
      </w:r>
      <w:r w:rsidRPr="00DD2279">
        <w:rPr>
          <w:szCs w:val="28"/>
          <w:lang w:val="nl-NL"/>
        </w:rPr>
        <w:t>ừng</w:t>
      </w:r>
      <w:r>
        <w:rPr>
          <w:szCs w:val="28"/>
          <w:lang w:val="nl-NL"/>
        </w:rPr>
        <w:t xml:space="preserve"> s</w:t>
      </w:r>
      <w:r w:rsidRPr="00DD2279">
        <w:rPr>
          <w:szCs w:val="28"/>
          <w:lang w:val="nl-NL"/>
        </w:rPr>
        <w:t>ử</w:t>
      </w:r>
      <w:r>
        <w:rPr>
          <w:szCs w:val="28"/>
          <w:lang w:val="nl-NL"/>
        </w:rPr>
        <w:t xml:space="preserve"> d</w:t>
      </w:r>
      <w:r w:rsidRPr="00DD2279">
        <w:rPr>
          <w:szCs w:val="28"/>
          <w:lang w:val="nl-NL"/>
        </w:rPr>
        <w:t>ụng</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n, x</w:t>
      </w:r>
      <w:r w:rsidRPr="00DD2279">
        <w:rPr>
          <w:szCs w:val="28"/>
          <w:lang w:val="nl-NL"/>
        </w:rPr>
        <w:t>ử</w:t>
      </w:r>
      <w:r>
        <w:rPr>
          <w:szCs w:val="28"/>
          <w:lang w:val="nl-NL"/>
        </w:rPr>
        <w:t xml:space="preserve"> l</w:t>
      </w:r>
      <w:r w:rsidRPr="00DD2279">
        <w:rPr>
          <w:szCs w:val="28"/>
          <w:lang w:val="nl-NL"/>
        </w:rPr>
        <w:t>ý</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n c</w:t>
      </w:r>
      <w:r w:rsidRPr="00DD2279">
        <w:rPr>
          <w:szCs w:val="28"/>
          <w:lang w:val="nl-NL"/>
        </w:rPr>
        <w:t>ó</w:t>
      </w:r>
      <w:r>
        <w:rPr>
          <w:szCs w:val="28"/>
          <w:lang w:val="nl-NL"/>
        </w:rPr>
        <w:t xml:space="preserve"> sai s</w:t>
      </w:r>
      <w:r w:rsidRPr="00DD2279">
        <w:rPr>
          <w:szCs w:val="28"/>
          <w:lang w:val="nl-NL"/>
        </w:rPr>
        <w:t>ót</w:t>
      </w:r>
      <w:r>
        <w:rPr>
          <w:szCs w:val="28"/>
          <w:lang w:val="nl-NL"/>
        </w:rPr>
        <w:t>, tr</w:t>
      </w:r>
      <w:r w:rsidRPr="00DD2279">
        <w:rPr>
          <w:szCs w:val="28"/>
          <w:lang w:val="nl-NL"/>
        </w:rPr>
        <w:t>á</w:t>
      </w:r>
      <w:r>
        <w:rPr>
          <w:szCs w:val="28"/>
          <w:lang w:val="nl-NL"/>
        </w:rPr>
        <w:t>ch nhi</w:t>
      </w:r>
      <w:r w:rsidRPr="00DD2279">
        <w:rPr>
          <w:szCs w:val="28"/>
          <w:lang w:val="nl-NL"/>
        </w:rPr>
        <w:t>ệm</w:t>
      </w:r>
      <w:r>
        <w:rPr>
          <w:szCs w:val="28"/>
          <w:lang w:val="nl-NL"/>
        </w:rPr>
        <w:t xml:space="preserve"> truy</w:t>
      </w:r>
      <w:r w:rsidRPr="00DD2279">
        <w:rPr>
          <w:szCs w:val="28"/>
          <w:lang w:val="nl-NL"/>
        </w:rPr>
        <w:t>ề</w:t>
      </w:r>
      <w:r>
        <w:rPr>
          <w:szCs w:val="28"/>
          <w:lang w:val="nl-NL"/>
        </w:rPr>
        <w:t>n d</w:t>
      </w:r>
      <w:r w:rsidRPr="00DD2279">
        <w:rPr>
          <w:szCs w:val="28"/>
          <w:lang w:val="nl-NL"/>
        </w:rPr>
        <w:t>ữ</w:t>
      </w:r>
      <w:r>
        <w:rPr>
          <w:szCs w:val="28"/>
          <w:lang w:val="nl-NL"/>
        </w:rPr>
        <w:t xml:space="preserve"> li</w:t>
      </w:r>
      <w:r w:rsidRPr="00DD2279">
        <w:rPr>
          <w:szCs w:val="28"/>
          <w:lang w:val="nl-NL"/>
        </w:rPr>
        <w:t>ệu</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 xml:space="preserve">n </w:t>
      </w:r>
      <w:r w:rsidRPr="00DD2279">
        <w:rPr>
          <w:szCs w:val="28"/>
          <w:lang w:val="nl-NL"/>
        </w:rPr>
        <w:t>đ</w:t>
      </w:r>
      <w:r>
        <w:rPr>
          <w:szCs w:val="28"/>
          <w:lang w:val="nl-NL"/>
        </w:rPr>
        <w:t>i</w:t>
      </w:r>
      <w:r w:rsidRPr="00DD2279">
        <w:rPr>
          <w:szCs w:val="28"/>
          <w:lang w:val="nl-NL"/>
        </w:rPr>
        <w:t>ện</w:t>
      </w:r>
      <w:r>
        <w:rPr>
          <w:szCs w:val="28"/>
          <w:lang w:val="nl-NL"/>
        </w:rPr>
        <w:t xml:space="preserve"> t</w:t>
      </w:r>
      <w:r w:rsidRPr="00DD2279">
        <w:rPr>
          <w:szCs w:val="28"/>
          <w:lang w:val="nl-NL"/>
        </w:rPr>
        <w:t>ử</w:t>
      </w:r>
      <w:r>
        <w:rPr>
          <w:szCs w:val="28"/>
          <w:lang w:val="nl-NL"/>
        </w:rPr>
        <w:t xml:space="preserve">, </w:t>
      </w:r>
      <w:r w:rsidRPr="00DD2279">
        <w:rPr>
          <w:szCs w:val="28"/>
          <w:lang w:val="nl-NL"/>
        </w:rPr>
        <w:t>đ</w:t>
      </w:r>
      <w:r>
        <w:rPr>
          <w:szCs w:val="28"/>
          <w:lang w:val="nl-NL"/>
        </w:rPr>
        <w:t>i</w:t>
      </w:r>
      <w:r w:rsidRPr="00DD2279">
        <w:rPr>
          <w:szCs w:val="28"/>
          <w:lang w:val="nl-NL"/>
        </w:rPr>
        <w:t>ề</w:t>
      </w:r>
      <w:r>
        <w:rPr>
          <w:szCs w:val="28"/>
          <w:lang w:val="nl-NL"/>
        </w:rPr>
        <w:t>u ki</w:t>
      </w:r>
      <w:r w:rsidRPr="00DD2279">
        <w:rPr>
          <w:szCs w:val="28"/>
          <w:lang w:val="nl-NL"/>
        </w:rPr>
        <w:t>ện</w:t>
      </w:r>
      <w:r>
        <w:rPr>
          <w:szCs w:val="28"/>
          <w:lang w:val="nl-NL"/>
        </w:rPr>
        <w:t xml:space="preserve"> t</w:t>
      </w:r>
      <w:r w:rsidRPr="00DD2279">
        <w:rPr>
          <w:szCs w:val="28"/>
          <w:lang w:val="nl-NL"/>
        </w:rPr>
        <w:t>ổ</w:t>
      </w:r>
      <w:r>
        <w:rPr>
          <w:szCs w:val="28"/>
          <w:lang w:val="nl-NL"/>
        </w:rPr>
        <w:t xml:space="preserve"> ch</w:t>
      </w:r>
      <w:r w:rsidRPr="00DD2279">
        <w:rPr>
          <w:szCs w:val="28"/>
          <w:lang w:val="nl-NL"/>
        </w:rPr>
        <w:t>ức</w:t>
      </w:r>
      <w:r>
        <w:rPr>
          <w:szCs w:val="28"/>
          <w:lang w:val="nl-NL"/>
        </w:rPr>
        <w:t xml:space="preserve"> cung c</w:t>
      </w:r>
      <w:r w:rsidRPr="00DD2279">
        <w:rPr>
          <w:szCs w:val="28"/>
          <w:lang w:val="nl-NL"/>
        </w:rPr>
        <w:t>ấ</w:t>
      </w:r>
      <w:r>
        <w:rPr>
          <w:szCs w:val="28"/>
          <w:lang w:val="nl-NL"/>
        </w:rPr>
        <w:t>p s</w:t>
      </w:r>
      <w:r w:rsidRPr="00DD2279">
        <w:rPr>
          <w:szCs w:val="28"/>
          <w:lang w:val="nl-NL"/>
        </w:rPr>
        <w:t>ử</w:t>
      </w:r>
      <w:r>
        <w:rPr>
          <w:szCs w:val="28"/>
          <w:lang w:val="nl-NL"/>
        </w:rPr>
        <w:t xml:space="preserve"> d</w:t>
      </w:r>
      <w:r w:rsidRPr="00DD2279">
        <w:rPr>
          <w:szCs w:val="28"/>
          <w:lang w:val="nl-NL"/>
        </w:rPr>
        <w:t>ụng</w:t>
      </w:r>
      <w:r>
        <w:rPr>
          <w:szCs w:val="28"/>
          <w:lang w:val="nl-NL"/>
        </w:rPr>
        <w:t xml:space="preserve"> h</w:t>
      </w:r>
      <w:r w:rsidRPr="00DD2279">
        <w:rPr>
          <w:szCs w:val="28"/>
          <w:lang w:val="nl-NL"/>
        </w:rPr>
        <w:t>ó</w:t>
      </w:r>
      <w:r>
        <w:rPr>
          <w:szCs w:val="28"/>
          <w:lang w:val="nl-NL"/>
        </w:rPr>
        <w:t xml:space="preserve">a </w:t>
      </w:r>
      <w:r w:rsidRPr="00DD2279">
        <w:rPr>
          <w:szCs w:val="28"/>
          <w:lang w:val="nl-NL"/>
        </w:rPr>
        <w:t>đơ</w:t>
      </w:r>
      <w:r>
        <w:rPr>
          <w:szCs w:val="28"/>
          <w:lang w:val="nl-NL"/>
        </w:rPr>
        <w:t>n v</w:t>
      </w:r>
      <w:r w:rsidRPr="00DD2279">
        <w:rPr>
          <w:szCs w:val="28"/>
          <w:lang w:val="nl-NL"/>
        </w:rPr>
        <w:t>à</w:t>
      </w:r>
      <w:r>
        <w:rPr>
          <w:szCs w:val="28"/>
          <w:lang w:val="nl-NL"/>
        </w:rPr>
        <w:t xml:space="preserve"> c</w:t>
      </w:r>
      <w:r w:rsidRPr="00DD2279">
        <w:rPr>
          <w:szCs w:val="28"/>
          <w:lang w:val="nl-NL"/>
        </w:rPr>
        <w:t>á</w:t>
      </w:r>
      <w:r>
        <w:rPr>
          <w:szCs w:val="28"/>
          <w:lang w:val="nl-NL"/>
        </w:rPr>
        <w:t>c n</w:t>
      </w:r>
      <w:r w:rsidRPr="00DD2279">
        <w:rPr>
          <w:szCs w:val="28"/>
          <w:lang w:val="nl-NL"/>
        </w:rPr>
        <w:t>ội</w:t>
      </w:r>
      <w:r>
        <w:rPr>
          <w:szCs w:val="28"/>
          <w:lang w:val="nl-NL"/>
        </w:rPr>
        <w:t xml:space="preserve"> dung kh</w:t>
      </w:r>
      <w:r w:rsidRPr="00DD2279">
        <w:rPr>
          <w:szCs w:val="28"/>
          <w:lang w:val="nl-NL"/>
        </w:rPr>
        <w:t>á</w:t>
      </w:r>
      <w:r>
        <w:rPr>
          <w:szCs w:val="28"/>
          <w:lang w:val="nl-NL"/>
        </w:rPr>
        <w:t>c nh</w:t>
      </w:r>
      <w:r w:rsidRPr="00DD2279">
        <w:rPr>
          <w:szCs w:val="28"/>
          <w:lang w:val="nl-NL"/>
        </w:rPr>
        <w:t>ư</w:t>
      </w:r>
      <w:r>
        <w:rPr>
          <w:szCs w:val="28"/>
          <w:lang w:val="nl-NL"/>
        </w:rPr>
        <w:t xml:space="preserve"> </w:t>
      </w:r>
      <w:r w:rsidRPr="00AE2A95">
        <w:rPr>
          <w:szCs w:val="28"/>
          <w:lang w:val="nl-NL"/>
        </w:rPr>
        <w:t>sau:</w:t>
      </w:r>
    </w:p>
    <w:p w14:paraId="6307A75E" w14:textId="77777777" w:rsidR="007204EE" w:rsidRDefault="007204EE" w:rsidP="007204EE">
      <w:pPr>
        <w:widowControl w:val="0"/>
        <w:spacing w:before="120" w:after="120"/>
        <w:ind w:firstLine="720"/>
        <w:rPr>
          <w:color w:val="000000"/>
          <w:szCs w:val="28"/>
          <w:lang w:val="nl-NL"/>
        </w:rPr>
      </w:pPr>
      <w:r w:rsidRPr="00AE2A95">
        <w:rPr>
          <w:szCs w:val="28"/>
          <w:lang w:val="nl-NL"/>
        </w:rPr>
        <w:lastRenderedPageBreak/>
        <w:t xml:space="preserve">+ </w:t>
      </w:r>
      <w:r>
        <w:rPr>
          <w:szCs w:val="28"/>
          <w:lang w:val="nl-NL"/>
        </w:rPr>
        <w:t>V</w:t>
      </w:r>
      <w:r w:rsidRPr="00AE2A95">
        <w:rPr>
          <w:szCs w:val="28"/>
          <w:lang w:val="nl-NL"/>
        </w:rPr>
        <w:t>ề đ</w:t>
      </w:r>
      <w:r w:rsidRPr="00E765F6">
        <w:rPr>
          <w:bCs/>
          <w:lang w:val="vi-VN"/>
        </w:rPr>
        <w:t>ịnh dạng hóa đơn điện tử</w:t>
      </w:r>
      <w:r w:rsidRPr="00AE2A95">
        <w:rPr>
          <w:b/>
          <w:bCs/>
          <w:lang w:val="nl-NL"/>
        </w:rPr>
        <w:t xml:space="preserve"> </w:t>
      </w:r>
      <w:r w:rsidRPr="009E3E00">
        <w:rPr>
          <w:color w:val="000000"/>
          <w:szCs w:val="28"/>
          <w:lang w:val="nl-NL"/>
        </w:rPr>
        <w:t xml:space="preserve">sử dụng ngôn ngữ định dạng văn bản XML </w:t>
      </w:r>
      <w:r>
        <w:rPr>
          <w:color w:val="000000"/>
          <w:szCs w:val="28"/>
          <w:lang w:val="nl-NL"/>
        </w:rPr>
        <w:t xml:space="preserve">và giao cho Tổng cục Thuế xây dựng và công bố định dạng hóa đơn điện tử do các nội dung này liên quan đến việc xây dựng cơ sở hạ tầng kỹ thuật phục vụ triển khai hóa đơn điện tử </w:t>
      </w:r>
      <w:r w:rsidRPr="00AE2A95">
        <w:rPr>
          <w:i/>
          <w:color w:val="000000"/>
          <w:szCs w:val="28"/>
          <w:lang w:val="nl-NL"/>
        </w:rPr>
        <w:t>(Điều 11).</w:t>
      </w:r>
      <w:r>
        <w:rPr>
          <w:color w:val="000000"/>
          <w:szCs w:val="28"/>
          <w:lang w:val="nl-NL"/>
        </w:rPr>
        <w:t xml:space="preserve"> </w:t>
      </w:r>
    </w:p>
    <w:p w14:paraId="37ACB164" w14:textId="77777777" w:rsidR="007204EE" w:rsidRDefault="007204EE" w:rsidP="007204EE">
      <w:pPr>
        <w:widowControl w:val="0"/>
        <w:spacing w:before="120" w:after="120"/>
        <w:ind w:firstLine="720"/>
        <w:rPr>
          <w:i/>
          <w:color w:val="000000"/>
          <w:szCs w:val="28"/>
          <w:lang w:val="nl-NL"/>
        </w:rPr>
      </w:pPr>
      <w:r w:rsidRPr="00AE2A95">
        <w:rPr>
          <w:lang w:val="nl-NL"/>
        </w:rPr>
        <w:t xml:space="preserve">+ </w:t>
      </w:r>
      <w:r>
        <w:rPr>
          <w:lang w:val="nl-NL"/>
        </w:rPr>
        <w:t>Q</w:t>
      </w:r>
      <w:r w:rsidRPr="00AE2A95">
        <w:rPr>
          <w:lang w:val="nl-NL"/>
        </w:rPr>
        <w:t xml:space="preserve">uy định áp dụng hóa đơn điện tử với nội dung: Đối tượng áp dụng hóa đơn điện tử thực hiện theo quy định tại Điều 91 Luật Quản lý thuế  số 38/2019/QH14, riêng trường hợp rủi ro về thuế cao thực hiện theo quy định của Bộ trưởng Bộ Tài chính; quy định các trường hợp </w:t>
      </w:r>
      <w:r w:rsidRPr="00AE2A95">
        <w:rPr>
          <w:color w:val="000000"/>
          <w:szCs w:val="28"/>
          <w:lang w:val="nl-NL"/>
        </w:rPr>
        <w:t>c</w:t>
      </w:r>
      <w:r w:rsidRPr="009E3E00">
        <w:rPr>
          <w:color w:val="000000"/>
          <w:szCs w:val="28"/>
          <w:lang w:val="vi-VN"/>
        </w:rPr>
        <w:t>ấp hóa đơn điện tử có mã của cơ quan thuế theo từng lần phát sinh</w:t>
      </w:r>
      <w:r w:rsidRPr="00AE2A95">
        <w:rPr>
          <w:color w:val="000000"/>
          <w:szCs w:val="28"/>
          <w:lang w:val="nl-NL"/>
        </w:rPr>
        <w:t xml:space="preserve">; quy định sử dụng </w:t>
      </w:r>
      <w:r w:rsidRPr="009E3E00">
        <w:rPr>
          <w:color w:val="000000"/>
          <w:szCs w:val="28"/>
          <w:lang w:val="vi-VN"/>
        </w:rPr>
        <w:t>hóa đơn điện tử, phiếu xuất kho kiêm vận chuyển điện tử đối với một số trường hợp cụ thể theo yêu cầu quản lý</w:t>
      </w:r>
      <w:r>
        <w:rPr>
          <w:color w:val="000000"/>
          <w:szCs w:val="28"/>
          <w:lang w:val="nl-NL"/>
        </w:rPr>
        <w:t xml:space="preserve"> </w:t>
      </w:r>
      <w:r w:rsidRPr="00AE2A95">
        <w:rPr>
          <w:i/>
          <w:color w:val="000000"/>
          <w:szCs w:val="28"/>
          <w:lang w:val="nl-NL"/>
        </w:rPr>
        <w:t xml:space="preserve">(Điều 12). </w:t>
      </w:r>
    </w:p>
    <w:p w14:paraId="771E26E9" w14:textId="77777777" w:rsidR="007204EE" w:rsidRPr="00AE2A95" w:rsidRDefault="007204EE" w:rsidP="007204EE">
      <w:pPr>
        <w:widowControl w:val="0"/>
        <w:spacing w:before="120" w:after="120"/>
        <w:ind w:firstLine="720"/>
        <w:rPr>
          <w:color w:val="000000"/>
          <w:szCs w:val="28"/>
        </w:rPr>
      </w:pPr>
      <w:r>
        <w:rPr>
          <w:color w:val="000000"/>
          <w:szCs w:val="28"/>
          <w:lang w:val="nl-NL"/>
        </w:rPr>
        <w:t xml:space="preserve">+ Quy </w:t>
      </w:r>
      <w:r w:rsidRPr="00EA7D16">
        <w:rPr>
          <w:color w:val="000000"/>
          <w:szCs w:val="28"/>
          <w:lang w:val="nl-NL"/>
        </w:rPr>
        <w:t>định</w:t>
      </w:r>
      <w:r>
        <w:rPr>
          <w:color w:val="000000"/>
          <w:szCs w:val="28"/>
          <w:lang w:val="nl-NL"/>
        </w:rPr>
        <w:t xml:space="preserve"> v</w:t>
      </w:r>
      <w:r w:rsidRPr="00EA7D16">
        <w:rPr>
          <w:color w:val="000000"/>
          <w:szCs w:val="28"/>
          <w:lang w:val="nl-NL"/>
        </w:rPr>
        <w:t>ề</w:t>
      </w:r>
      <w:r>
        <w:rPr>
          <w:color w:val="000000"/>
          <w:szCs w:val="28"/>
          <w:lang w:val="nl-NL"/>
        </w:rPr>
        <w:t xml:space="preserve"> </w:t>
      </w:r>
      <w:r w:rsidRPr="00AC7EFD">
        <w:rPr>
          <w:bCs/>
          <w:lang w:val="nl-NL"/>
        </w:rPr>
        <w:t>c</w:t>
      </w:r>
      <w:r w:rsidRPr="00E765F6">
        <w:rPr>
          <w:bCs/>
          <w:lang w:val="vi-VN"/>
        </w:rPr>
        <w:t>ung cấp dịch vụ hóa đơn điện tử</w:t>
      </w:r>
      <w:r>
        <w:rPr>
          <w:bCs/>
        </w:rPr>
        <w:t xml:space="preserve">, </w:t>
      </w:r>
      <w:r w:rsidRPr="00AC7EFD">
        <w:rPr>
          <w:bCs/>
          <w:lang w:val="nl-NL"/>
        </w:rPr>
        <w:t>đ</w:t>
      </w:r>
      <w:r w:rsidRPr="00E765F6">
        <w:rPr>
          <w:bCs/>
          <w:lang w:val="vi-VN"/>
        </w:rPr>
        <w:t>ăng ký sử dụng hóa đơn điện tử</w:t>
      </w:r>
      <w:r>
        <w:rPr>
          <w:bCs/>
        </w:rPr>
        <w:t>, c</w:t>
      </w:r>
      <w:r w:rsidRPr="00EA7D16">
        <w:rPr>
          <w:bCs/>
        </w:rPr>
        <w:t>á</w:t>
      </w:r>
      <w:r>
        <w:rPr>
          <w:bCs/>
        </w:rPr>
        <w:t xml:space="preserve">c </w:t>
      </w:r>
      <w:r w:rsidRPr="00AC7EFD">
        <w:rPr>
          <w:bCs/>
          <w:lang w:val="nl-NL"/>
        </w:rPr>
        <w:t>trường hợp ngừng sử dụng hóa đơn điện tử và t</w:t>
      </w:r>
      <w:r w:rsidRPr="00E765F6">
        <w:rPr>
          <w:spacing w:val="-6"/>
          <w:szCs w:val="28"/>
          <w:lang w:val="nl-NL"/>
        </w:rPr>
        <w:t>rình tự thực hiện ngừng sử dụng hóa đơn điện tử có mã của cơ quan thuế</w:t>
      </w:r>
      <w:r>
        <w:rPr>
          <w:spacing w:val="-6"/>
          <w:szCs w:val="28"/>
          <w:lang w:val="nl-NL"/>
        </w:rPr>
        <w:t>, hư</w:t>
      </w:r>
      <w:r w:rsidRPr="00EA7D16">
        <w:rPr>
          <w:spacing w:val="-6"/>
          <w:szCs w:val="28"/>
          <w:lang w:val="nl-NL"/>
        </w:rPr>
        <w:t>ớng</w:t>
      </w:r>
      <w:r>
        <w:rPr>
          <w:spacing w:val="-6"/>
          <w:szCs w:val="28"/>
          <w:lang w:val="nl-NL"/>
        </w:rPr>
        <w:t xml:space="preserve"> d</w:t>
      </w:r>
      <w:r w:rsidRPr="00EA7D16">
        <w:rPr>
          <w:spacing w:val="-6"/>
          <w:szCs w:val="28"/>
          <w:lang w:val="nl-NL"/>
        </w:rPr>
        <w:t>ẫn</w:t>
      </w:r>
      <w:r>
        <w:rPr>
          <w:spacing w:val="-6"/>
          <w:szCs w:val="28"/>
          <w:lang w:val="nl-NL"/>
        </w:rPr>
        <w:t xml:space="preserve"> </w:t>
      </w:r>
      <w:r w:rsidRPr="00AC7EFD">
        <w:rPr>
          <w:bCs/>
          <w:lang w:val="nl-NL"/>
        </w:rPr>
        <w:t>lập hóa đơn điện tử có mã của cơ quan thuế và lập hóa đơn điện tử không có mã của cơ quan thuế</w:t>
      </w:r>
      <w:r>
        <w:rPr>
          <w:bCs/>
          <w:lang w:val="nl-NL"/>
        </w:rPr>
        <w:t xml:space="preserve">, </w:t>
      </w:r>
      <w:r w:rsidRPr="00AC7EFD">
        <w:rPr>
          <w:bCs/>
          <w:lang w:val="nl-NL"/>
        </w:rPr>
        <w:t>x</w:t>
      </w:r>
      <w:r w:rsidRPr="00E765F6">
        <w:rPr>
          <w:bCs/>
          <w:lang w:val="vi-VN"/>
        </w:rPr>
        <w:t>ử lý hóa đơn có sai sót</w:t>
      </w:r>
      <w:r>
        <w:rPr>
          <w:bCs/>
        </w:rPr>
        <w:t xml:space="preserve">, </w:t>
      </w:r>
      <w:r w:rsidRPr="00AC7EFD">
        <w:rPr>
          <w:bCs/>
          <w:lang w:val="nl-NL"/>
        </w:rPr>
        <w:t xml:space="preserve">xử lý sự cố </w:t>
      </w:r>
      <w:r w:rsidRPr="00AE2A95">
        <w:rPr>
          <w:bCs/>
          <w:i/>
          <w:lang w:val="nl-NL"/>
        </w:rPr>
        <w:t>(t</w:t>
      </w:r>
      <w:r w:rsidRPr="00B30599">
        <w:rPr>
          <w:bCs/>
          <w:i/>
          <w:lang w:val="nl-NL"/>
        </w:rPr>
        <w:t>ại</w:t>
      </w:r>
      <w:r>
        <w:rPr>
          <w:bCs/>
          <w:i/>
          <w:lang w:val="nl-NL"/>
        </w:rPr>
        <w:t xml:space="preserve"> c</w:t>
      </w:r>
      <w:r w:rsidRPr="00B30599">
        <w:rPr>
          <w:bCs/>
          <w:i/>
          <w:lang w:val="nl-NL"/>
        </w:rPr>
        <w:t>á</w:t>
      </w:r>
      <w:r>
        <w:rPr>
          <w:bCs/>
          <w:i/>
          <w:lang w:val="nl-NL"/>
        </w:rPr>
        <w:t xml:space="preserve">c </w:t>
      </w:r>
      <w:r w:rsidRPr="00B30599">
        <w:rPr>
          <w:bCs/>
          <w:i/>
          <w:lang w:val="nl-NL"/>
        </w:rPr>
        <w:t>đ</w:t>
      </w:r>
      <w:r>
        <w:rPr>
          <w:bCs/>
          <w:i/>
          <w:lang w:val="nl-NL"/>
        </w:rPr>
        <w:t>i</w:t>
      </w:r>
      <w:r w:rsidRPr="00B30599">
        <w:rPr>
          <w:bCs/>
          <w:i/>
          <w:lang w:val="nl-NL"/>
        </w:rPr>
        <w:t>ề</w:t>
      </w:r>
      <w:r>
        <w:rPr>
          <w:bCs/>
          <w:i/>
          <w:lang w:val="nl-NL"/>
        </w:rPr>
        <w:t>u t</w:t>
      </w:r>
      <w:r w:rsidRPr="00AE2A95">
        <w:rPr>
          <w:bCs/>
          <w:i/>
          <w:lang w:val="nl-NL"/>
        </w:rPr>
        <w:t>ừ Điều 13 đến Điều 19).</w:t>
      </w:r>
      <w:r>
        <w:rPr>
          <w:bCs/>
          <w:lang w:val="nl-NL"/>
        </w:rPr>
        <w:t xml:space="preserve"> </w:t>
      </w:r>
    </w:p>
    <w:p w14:paraId="5AC7B3D3" w14:textId="77777777" w:rsidR="007204EE" w:rsidRDefault="007204EE" w:rsidP="007204EE">
      <w:pPr>
        <w:widowControl w:val="0"/>
        <w:spacing w:before="120" w:after="120"/>
        <w:ind w:firstLine="720"/>
        <w:rPr>
          <w:bCs/>
          <w:color w:val="000000"/>
          <w:szCs w:val="28"/>
          <w:lang w:val="nl-NL"/>
        </w:rPr>
      </w:pPr>
      <w:r>
        <w:rPr>
          <w:color w:val="000000"/>
          <w:szCs w:val="28"/>
          <w:lang w:val="nl-NL"/>
        </w:rPr>
        <w:t xml:space="preserve">+ Quy </w:t>
      </w:r>
      <w:r w:rsidRPr="00EA7D16">
        <w:rPr>
          <w:color w:val="000000"/>
          <w:szCs w:val="28"/>
          <w:lang w:val="nl-NL"/>
        </w:rPr>
        <w:t>định</w:t>
      </w:r>
      <w:r>
        <w:rPr>
          <w:color w:val="000000"/>
          <w:szCs w:val="28"/>
          <w:lang w:val="nl-NL"/>
        </w:rPr>
        <w:t xml:space="preserve"> v</w:t>
      </w:r>
      <w:r w:rsidRPr="00EA7D16">
        <w:rPr>
          <w:color w:val="000000"/>
          <w:szCs w:val="28"/>
          <w:lang w:val="nl-NL"/>
        </w:rPr>
        <w:t>ề</w:t>
      </w:r>
      <w:r>
        <w:rPr>
          <w:color w:val="000000"/>
          <w:szCs w:val="28"/>
          <w:lang w:val="nl-NL"/>
        </w:rPr>
        <w:t xml:space="preserve"> tr</w:t>
      </w:r>
      <w:r w:rsidRPr="00EA7D16">
        <w:rPr>
          <w:color w:val="000000"/>
          <w:szCs w:val="28"/>
          <w:lang w:val="nl-NL"/>
        </w:rPr>
        <w:t>á</w:t>
      </w:r>
      <w:r>
        <w:rPr>
          <w:color w:val="000000"/>
          <w:szCs w:val="28"/>
          <w:lang w:val="nl-NL"/>
        </w:rPr>
        <w:t>ch nhi</w:t>
      </w:r>
      <w:r w:rsidRPr="00EA7D16">
        <w:rPr>
          <w:color w:val="000000"/>
          <w:szCs w:val="28"/>
          <w:lang w:val="nl-NL"/>
        </w:rPr>
        <w:t>ệm</w:t>
      </w:r>
      <w:r>
        <w:rPr>
          <w:color w:val="000000"/>
          <w:szCs w:val="28"/>
          <w:lang w:val="nl-NL"/>
        </w:rPr>
        <w:t xml:space="preserve"> c</w:t>
      </w:r>
      <w:r w:rsidRPr="00EA7D16">
        <w:rPr>
          <w:color w:val="000000"/>
          <w:szCs w:val="28"/>
          <w:lang w:val="nl-NL"/>
        </w:rPr>
        <w:t>ủa</w:t>
      </w:r>
      <w:r>
        <w:rPr>
          <w:color w:val="000000"/>
          <w:szCs w:val="28"/>
          <w:lang w:val="nl-NL"/>
        </w:rPr>
        <w:t xml:space="preserve"> ng</w:t>
      </w:r>
      <w:r w:rsidRPr="00EA7D16">
        <w:rPr>
          <w:color w:val="000000"/>
          <w:szCs w:val="28"/>
          <w:lang w:val="nl-NL"/>
        </w:rPr>
        <w:t>ườ</w:t>
      </w:r>
      <w:r>
        <w:rPr>
          <w:color w:val="000000"/>
          <w:szCs w:val="28"/>
          <w:lang w:val="nl-NL"/>
        </w:rPr>
        <w:t>i b</w:t>
      </w:r>
      <w:r w:rsidRPr="00EA7D16">
        <w:rPr>
          <w:color w:val="000000"/>
          <w:szCs w:val="28"/>
          <w:lang w:val="nl-NL"/>
        </w:rPr>
        <w:t>á</w:t>
      </w:r>
      <w:r>
        <w:rPr>
          <w:color w:val="000000"/>
          <w:szCs w:val="28"/>
          <w:lang w:val="nl-NL"/>
        </w:rPr>
        <w:t>n h</w:t>
      </w:r>
      <w:r w:rsidRPr="00EA7D16">
        <w:rPr>
          <w:color w:val="000000"/>
          <w:szCs w:val="28"/>
          <w:lang w:val="nl-NL"/>
        </w:rPr>
        <w:t>àng</w:t>
      </w:r>
      <w:r>
        <w:rPr>
          <w:color w:val="000000"/>
          <w:szCs w:val="28"/>
          <w:lang w:val="nl-NL"/>
        </w:rPr>
        <w:t xml:space="preserve"> h</w:t>
      </w:r>
      <w:r w:rsidRPr="00EA7D16">
        <w:rPr>
          <w:color w:val="000000"/>
          <w:szCs w:val="28"/>
          <w:lang w:val="nl-NL"/>
        </w:rPr>
        <w:t>ó</w:t>
      </w:r>
      <w:r>
        <w:rPr>
          <w:color w:val="000000"/>
          <w:szCs w:val="28"/>
          <w:lang w:val="nl-NL"/>
        </w:rPr>
        <w:t>a khi s</w:t>
      </w:r>
      <w:r w:rsidRPr="00EA7D16">
        <w:rPr>
          <w:color w:val="000000"/>
          <w:szCs w:val="28"/>
          <w:lang w:val="nl-NL"/>
        </w:rPr>
        <w:t>ử</w:t>
      </w:r>
      <w:r>
        <w:rPr>
          <w:color w:val="000000"/>
          <w:szCs w:val="28"/>
          <w:lang w:val="nl-NL"/>
        </w:rPr>
        <w:t xml:space="preserve"> d</w:t>
      </w:r>
      <w:r w:rsidRPr="00EA7D16">
        <w:rPr>
          <w:color w:val="000000"/>
          <w:szCs w:val="28"/>
          <w:lang w:val="nl-NL"/>
        </w:rPr>
        <w:t>ụng</w:t>
      </w:r>
      <w:r>
        <w:rPr>
          <w:color w:val="000000"/>
          <w:szCs w:val="28"/>
          <w:lang w:val="nl-NL"/>
        </w:rPr>
        <w:t xml:space="preserve"> h</w:t>
      </w:r>
      <w:r w:rsidRPr="00EA7D16">
        <w:rPr>
          <w:color w:val="000000"/>
          <w:szCs w:val="28"/>
          <w:lang w:val="nl-NL"/>
        </w:rPr>
        <w:t>ó</w:t>
      </w:r>
      <w:r>
        <w:rPr>
          <w:color w:val="000000"/>
          <w:szCs w:val="28"/>
          <w:lang w:val="nl-NL"/>
        </w:rPr>
        <w:t xml:space="preserve">a </w:t>
      </w:r>
      <w:r w:rsidRPr="00EA7D16">
        <w:rPr>
          <w:color w:val="000000"/>
          <w:szCs w:val="28"/>
          <w:lang w:val="nl-NL"/>
        </w:rPr>
        <w:t>đơ</w:t>
      </w:r>
      <w:r>
        <w:rPr>
          <w:color w:val="000000"/>
          <w:szCs w:val="28"/>
          <w:lang w:val="nl-NL"/>
        </w:rPr>
        <w:t xml:space="preserve">n </w:t>
      </w:r>
      <w:r w:rsidRPr="00EA7D16">
        <w:rPr>
          <w:color w:val="000000"/>
          <w:szCs w:val="28"/>
          <w:lang w:val="nl-NL"/>
        </w:rPr>
        <w:t>đ</w:t>
      </w:r>
      <w:r>
        <w:rPr>
          <w:color w:val="000000"/>
          <w:szCs w:val="28"/>
          <w:lang w:val="nl-NL"/>
        </w:rPr>
        <w:t>i</w:t>
      </w:r>
      <w:r w:rsidRPr="00EA7D16">
        <w:rPr>
          <w:color w:val="000000"/>
          <w:szCs w:val="28"/>
          <w:lang w:val="nl-NL"/>
        </w:rPr>
        <w:t>ện</w:t>
      </w:r>
      <w:r>
        <w:rPr>
          <w:color w:val="000000"/>
          <w:szCs w:val="28"/>
          <w:lang w:val="nl-NL"/>
        </w:rPr>
        <w:t xml:space="preserve"> t</w:t>
      </w:r>
      <w:r w:rsidRPr="00EA7D16">
        <w:rPr>
          <w:color w:val="000000"/>
          <w:szCs w:val="28"/>
          <w:lang w:val="nl-NL"/>
        </w:rPr>
        <w:t>ử</w:t>
      </w:r>
      <w:r>
        <w:rPr>
          <w:color w:val="000000"/>
          <w:szCs w:val="28"/>
          <w:lang w:val="nl-NL"/>
        </w:rPr>
        <w:t xml:space="preserve">, quy </w:t>
      </w:r>
      <w:r w:rsidRPr="00EA7D16">
        <w:rPr>
          <w:color w:val="000000"/>
          <w:szCs w:val="28"/>
          <w:lang w:val="nl-NL"/>
        </w:rPr>
        <w:t>định</w:t>
      </w:r>
      <w:r>
        <w:rPr>
          <w:color w:val="000000"/>
          <w:szCs w:val="28"/>
          <w:lang w:val="nl-NL"/>
        </w:rPr>
        <w:t xml:space="preserve"> truy</w:t>
      </w:r>
      <w:r w:rsidRPr="00EA7D16">
        <w:rPr>
          <w:color w:val="000000"/>
          <w:szCs w:val="28"/>
          <w:lang w:val="nl-NL"/>
        </w:rPr>
        <w:t>ề</w:t>
      </w:r>
      <w:r>
        <w:rPr>
          <w:color w:val="000000"/>
          <w:szCs w:val="28"/>
          <w:lang w:val="nl-NL"/>
        </w:rPr>
        <w:t>n d</w:t>
      </w:r>
      <w:r w:rsidRPr="00EA7D16">
        <w:rPr>
          <w:color w:val="000000"/>
          <w:szCs w:val="28"/>
          <w:lang w:val="nl-NL"/>
        </w:rPr>
        <w:t>ữ</w:t>
      </w:r>
      <w:r>
        <w:rPr>
          <w:color w:val="000000"/>
          <w:szCs w:val="28"/>
          <w:lang w:val="nl-NL"/>
        </w:rPr>
        <w:t xml:space="preserve"> li</w:t>
      </w:r>
      <w:r w:rsidRPr="00EA7D16">
        <w:rPr>
          <w:color w:val="000000"/>
          <w:szCs w:val="28"/>
          <w:lang w:val="nl-NL"/>
        </w:rPr>
        <w:t>ệu</w:t>
      </w:r>
      <w:r>
        <w:rPr>
          <w:color w:val="000000"/>
          <w:szCs w:val="28"/>
          <w:lang w:val="nl-NL"/>
        </w:rPr>
        <w:t xml:space="preserve"> h</w:t>
      </w:r>
      <w:r w:rsidRPr="00EA7D16">
        <w:rPr>
          <w:color w:val="000000"/>
          <w:szCs w:val="28"/>
          <w:lang w:val="nl-NL"/>
        </w:rPr>
        <w:t>ó</w:t>
      </w:r>
      <w:r>
        <w:rPr>
          <w:color w:val="000000"/>
          <w:szCs w:val="28"/>
          <w:lang w:val="nl-NL"/>
        </w:rPr>
        <w:t xml:space="preserve">a </w:t>
      </w:r>
      <w:r w:rsidRPr="00EA7D16">
        <w:rPr>
          <w:color w:val="000000"/>
          <w:szCs w:val="28"/>
          <w:lang w:val="nl-NL"/>
        </w:rPr>
        <w:t>đơ</w:t>
      </w:r>
      <w:r>
        <w:rPr>
          <w:color w:val="000000"/>
          <w:szCs w:val="28"/>
          <w:lang w:val="nl-NL"/>
        </w:rPr>
        <w:t xml:space="preserve">n </w:t>
      </w:r>
      <w:r w:rsidRPr="00EA7D16">
        <w:rPr>
          <w:color w:val="000000"/>
          <w:szCs w:val="28"/>
          <w:lang w:val="nl-NL"/>
        </w:rPr>
        <w:t>đ</w:t>
      </w:r>
      <w:r>
        <w:rPr>
          <w:color w:val="000000"/>
          <w:szCs w:val="28"/>
          <w:lang w:val="nl-NL"/>
        </w:rPr>
        <w:t>i</w:t>
      </w:r>
      <w:r w:rsidRPr="00EA7D16">
        <w:rPr>
          <w:color w:val="000000"/>
          <w:szCs w:val="28"/>
          <w:lang w:val="nl-NL"/>
        </w:rPr>
        <w:t>ện</w:t>
      </w:r>
      <w:r>
        <w:rPr>
          <w:color w:val="000000"/>
          <w:szCs w:val="28"/>
          <w:lang w:val="nl-NL"/>
        </w:rPr>
        <w:t xml:space="preserve"> t</w:t>
      </w:r>
      <w:r w:rsidRPr="00EA7D16">
        <w:rPr>
          <w:color w:val="000000"/>
          <w:szCs w:val="28"/>
          <w:lang w:val="nl-NL"/>
        </w:rPr>
        <w:t>ử</w:t>
      </w:r>
      <w:r>
        <w:rPr>
          <w:color w:val="000000"/>
          <w:szCs w:val="28"/>
          <w:lang w:val="nl-NL"/>
        </w:rPr>
        <w:t xml:space="preserve"> </w:t>
      </w:r>
      <w:r w:rsidRPr="00EA7D16">
        <w:rPr>
          <w:color w:val="000000"/>
          <w:szCs w:val="28"/>
          <w:lang w:val="nl-NL"/>
        </w:rPr>
        <w:t>đế</w:t>
      </w:r>
      <w:r>
        <w:rPr>
          <w:color w:val="000000"/>
          <w:szCs w:val="28"/>
          <w:lang w:val="nl-NL"/>
        </w:rPr>
        <w:t>n c</w:t>
      </w:r>
      <w:r w:rsidRPr="00EA7D16">
        <w:rPr>
          <w:color w:val="000000"/>
          <w:szCs w:val="28"/>
          <w:lang w:val="nl-NL"/>
        </w:rPr>
        <w:t>ơ</w:t>
      </w:r>
      <w:r>
        <w:rPr>
          <w:color w:val="000000"/>
          <w:szCs w:val="28"/>
          <w:lang w:val="nl-NL"/>
        </w:rPr>
        <w:t xml:space="preserve"> quan thu</w:t>
      </w:r>
      <w:r w:rsidRPr="00EA7D16">
        <w:rPr>
          <w:color w:val="000000"/>
          <w:szCs w:val="28"/>
          <w:lang w:val="nl-NL"/>
        </w:rPr>
        <w:t>ế</w:t>
      </w:r>
      <w:r>
        <w:rPr>
          <w:color w:val="000000"/>
          <w:szCs w:val="28"/>
          <w:lang w:val="nl-NL"/>
        </w:rPr>
        <w:t xml:space="preserve">, </w:t>
      </w:r>
      <w:r w:rsidRPr="00AE2A95">
        <w:rPr>
          <w:bCs/>
          <w:lang w:val="nl-NL"/>
        </w:rPr>
        <w:t>đ</w:t>
      </w:r>
      <w:r w:rsidRPr="002D5AFB">
        <w:rPr>
          <w:bCs/>
          <w:color w:val="000000"/>
          <w:szCs w:val="28"/>
          <w:lang w:val="nl-NL"/>
        </w:rPr>
        <w:t>iều kiện của tổ chức cung cấp dịch vụ hóa đơn điện tử</w:t>
      </w:r>
      <w:r>
        <w:rPr>
          <w:bCs/>
          <w:color w:val="000000"/>
          <w:szCs w:val="28"/>
          <w:lang w:val="nl-NL"/>
        </w:rPr>
        <w:t xml:space="preserve">, quy </w:t>
      </w:r>
      <w:r w:rsidRPr="00EA7D16">
        <w:rPr>
          <w:bCs/>
          <w:color w:val="000000"/>
          <w:szCs w:val="28"/>
          <w:lang w:val="nl-NL"/>
        </w:rPr>
        <w:t>định</w:t>
      </w:r>
      <w:r>
        <w:rPr>
          <w:bCs/>
          <w:color w:val="000000"/>
          <w:szCs w:val="28"/>
          <w:lang w:val="nl-NL"/>
        </w:rPr>
        <w:t xml:space="preserve"> v</w:t>
      </w:r>
      <w:r w:rsidRPr="00EA7D16">
        <w:rPr>
          <w:bCs/>
          <w:color w:val="000000"/>
          <w:szCs w:val="28"/>
          <w:lang w:val="nl-NL"/>
        </w:rPr>
        <w:t>ề</w:t>
      </w:r>
      <w:r>
        <w:rPr>
          <w:bCs/>
          <w:color w:val="000000"/>
          <w:szCs w:val="28"/>
          <w:lang w:val="nl-NL"/>
        </w:rPr>
        <w:t xml:space="preserve"> m</w:t>
      </w:r>
      <w:r w:rsidRPr="00EA7D16">
        <w:rPr>
          <w:bCs/>
          <w:color w:val="000000"/>
          <w:szCs w:val="28"/>
          <w:lang w:val="nl-NL"/>
        </w:rPr>
        <w:t>ố</w:t>
      </w:r>
      <w:r>
        <w:rPr>
          <w:bCs/>
          <w:color w:val="000000"/>
          <w:szCs w:val="28"/>
          <w:lang w:val="nl-NL"/>
        </w:rPr>
        <w:t>i quan h</w:t>
      </w:r>
      <w:r w:rsidRPr="00EA7D16">
        <w:rPr>
          <w:bCs/>
          <w:color w:val="000000"/>
          <w:szCs w:val="28"/>
          <w:lang w:val="nl-NL"/>
        </w:rPr>
        <w:t>ệ</w:t>
      </w:r>
      <w:r>
        <w:rPr>
          <w:bCs/>
          <w:color w:val="000000"/>
          <w:szCs w:val="28"/>
          <w:lang w:val="nl-NL"/>
        </w:rPr>
        <w:t xml:space="preserve"> gi</w:t>
      </w:r>
      <w:r w:rsidRPr="00EA7D16">
        <w:rPr>
          <w:bCs/>
          <w:color w:val="000000"/>
          <w:szCs w:val="28"/>
          <w:lang w:val="nl-NL"/>
        </w:rPr>
        <w:t>ữa</w:t>
      </w:r>
      <w:r>
        <w:rPr>
          <w:bCs/>
          <w:color w:val="000000"/>
          <w:szCs w:val="28"/>
          <w:lang w:val="nl-NL"/>
        </w:rPr>
        <w:t xml:space="preserve"> t</w:t>
      </w:r>
      <w:r w:rsidRPr="00EA7D16">
        <w:rPr>
          <w:bCs/>
          <w:color w:val="000000"/>
          <w:szCs w:val="28"/>
          <w:lang w:val="nl-NL"/>
        </w:rPr>
        <w:t>ổ</w:t>
      </w:r>
      <w:r>
        <w:rPr>
          <w:bCs/>
          <w:color w:val="000000"/>
          <w:szCs w:val="28"/>
          <w:lang w:val="nl-NL"/>
        </w:rPr>
        <w:t xml:space="preserve"> ch</w:t>
      </w:r>
      <w:r w:rsidRPr="00EA7D16">
        <w:rPr>
          <w:bCs/>
          <w:color w:val="000000"/>
          <w:szCs w:val="28"/>
          <w:lang w:val="nl-NL"/>
        </w:rPr>
        <w:t>ức</w:t>
      </w:r>
      <w:r>
        <w:rPr>
          <w:bCs/>
          <w:color w:val="000000"/>
          <w:szCs w:val="28"/>
          <w:lang w:val="nl-NL"/>
        </w:rPr>
        <w:t xml:space="preserve"> cung c</w:t>
      </w:r>
      <w:r w:rsidRPr="00EA7D16">
        <w:rPr>
          <w:bCs/>
          <w:color w:val="000000"/>
          <w:szCs w:val="28"/>
          <w:lang w:val="nl-NL"/>
        </w:rPr>
        <w:t>ấ</w:t>
      </w:r>
      <w:r>
        <w:rPr>
          <w:bCs/>
          <w:color w:val="000000"/>
          <w:szCs w:val="28"/>
          <w:lang w:val="nl-NL"/>
        </w:rPr>
        <w:t>p d</w:t>
      </w:r>
      <w:r w:rsidRPr="00EA7D16">
        <w:rPr>
          <w:bCs/>
          <w:color w:val="000000"/>
          <w:szCs w:val="28"/>
          <w:lang w:val="nl-NL"/>
        </w:rPr>
        <w:t>ịch</w:t>
      </w:r>
      <w:r>
        <w:rPr>
          <w:bCs/>
          <w:color w:val="000000"/>
          <w:szCs w:val="28"/>
          <w:lang w:val="nl-NL"/>
        </w:rPr>
        <w:t xml:space="preserve"> v</w:t>
      </w:r>
      <w:r w:rsidRPr="00EA7D16">
        <w:rPr>
          <w:bCs/>
          <w:color w:val="000000"/>
          <w:szCs w:val="28"/>
          <w:lang w:val="nl-NL"/>
        </w:rPr>
        <w:t>ụ</w:t>
      </w:r>
      <w:r>
        <w:rPr>
          <w:bCs/>
          <w:color w:val="000000"/>
          <w:szCs w:val="28"/>
          <w:lang w:val="nl-NL"/>
        </w:rPr>
        <w:t xml:space="preserve"> h</w:t>
      </w:r>
      <w:r w:rsidRPr="00EA7D16">
        <w:rPr>
          <w:bCs/>
          <w:color w:val="000000"/>
          <w:szCs w:val="28"/>
          <w:lang w:val="nl-NL"/>
        </w:rPr>
        <w:t>ó</w:t>
      </w:r>
      <w:r>
        <w:rPr>
          <w:bCs/>
          <w:color w:val="000000"/>
          <w:szCs w:val="28"/>
          <w:lang w:val="nl-NL"/>
        </w:rPr>
        <w:t xml:space="preserve">a </w:t>
      </w:r>
      <w:r w:rsidRPr="00EA7D16">
        <w:rPr>
          <w:bCs/>
          <w:color w:val="000000"/>
          <w:szCs w:val="28"/>
          <w:lang w:val="nl-NL"/>
        </w:rPr>
        <w:t>đơ</w:t>
      </w:r>
      <w:r>
        <w:rPr>
          <w:bCs/>
          <w:color w:val="000000"/>
          <w:szCs w:val="28"/>
          <w:lang w:val="nl-NL"/>
        </w:rPr>
        <w:t xml:space="preserve">n </w:t>
      </w:r>
      <w:r w:rsidRPr="00EA7D16">
        <w:rPr>
          <w:bCs/>
          <w:color w:val="000000"/>
          <w:szCs w:val="28"/>
          <w:lang w:val="nl-NL"/>
        </w:rPr>
        <w:t>đ</w:t>
      </w:r>
      <w:r>
        <w:rPr>
          <w:bCs/>
          <w:color w:val="000000"/>
          <w:szCs w:val="28"/>
          <w:lang w:val="nl-NL"/>
        </w:rPr>
        <w:t>i</w:t>
      </w:r>
      <w:r w:rsidRPr="00EA7D16">
        <w:rPr>
          <w:bCs/>
          <w:color w:val="000000"/>
          <w:szCs w:val="28"/>
          <w:lang w:val="nl-NL"/>
        </w:rPr>
        <w:t>ện</w:t>
      </w:r>
      <w:r>
        <w:rPr>
          <w:bCs/>
          <w:color w:val="000000"/>
          <w:szCs w:val="28"/>
          <w:lang w:val="nl-NL"/>
        </w:rPr>
        <w:t xml:space="preserve"> t</w:t>
      </w:r>
      <w:r w:rsidRPr="00EA7D16">
        <w:rPr>
          <w:bCs/>
          <w:color w:val="000000"/>
          <w:szCs w:val="28"/>
          <w:lang w:val="nl-NL"/>
        </w:rPr>
        <w:t>ử</w:t>
      </w:r>
      <w:r>
        <w:rPr>
          <w:bCs/>
          <w:color w:val="000000"/>
          <w:szCs w:val="28"/>
          <w:lang w:val="nl-NL"/>
        </w:rPr>
        <w:t xml:space="preserve"> v</w:t>
      </w:r>
      <w:r w:rsidRPr="00EA7D16">
        <w:rPr>
          <w:bCs/>
          <w:color w:val="000000"/>
          <w:szCs w:val="28"/>
          <w:lang w:val="nl-NL"/>
        </w:rPr>
        <w:t>ới</w:t>
      </w:r>
      <w:r>
        <w:rPr>
          <w:bCs/>
          <w:color w:val="000000"/>
          <w:szCs w:val="28"/>
          <w:lang w:val="nl-NL"/>
        </w:rPr>
        <w:t xml:space="preserve"> ngư</w:t>
      </w:r>
      <w:r w:rsidRPr="00EA7D16">
        <w:rPr>
          <w:bCs/>
          <w:color w:val="000000"/>
          <w:szCs w:val="28"/>
          <w:lang w:val="nl-NL"/>
        </w:rPr>
        <w:t>ờ</w:t>
      </w:r>
      <w:r>
        <w:rPr>
          <w:bCs/>
          <w:color w:val="000000"/>
          <w:szCs w:val="28"/>
          <w:lang w:val="nl-NL"/>
        </w:rPr>
        <w:t>i mua d</w:t>
      </w:r>
      <w:r w:rsidRPr="00EA7D16">
        <w:rPr>
          <w:bCs/>
          <w:color w:val="000000"/>
          <w:szCs w:val="28"/>
          <w:lang w:val="nl-NL"/>
        </w:rPr>
        <w:t>ịch</w:t>
      </w:r>
      <w:r>
        <w:rPr>
          <w:bCs/>
          <w:color w:val="000000"/>
          <w:szCs w:val="28"/>
          <w:lang w:val="nl-NL"/>
        </w:rPr>
        <w:t xml:space="preserve"> v</w:t>
      </w:r>
      <w:r w:rsidRPr="00EA7D16">
        <w:rPr>
          <w:bCs/>
          <w:color w:val="000000"/>
          <w:szCs w:val="28"/>
          <w:lang w:val="nl-NL"/>
        </w:rPr>
        <w:t>ụ</w:t>
      </w:r>
      <w:r>
        <w:rPr>
          <w:bCs/>
          <w:color w:val="000000"/>
          <w:szCs w:val="28"/>
          <w:lang w:val="nl-NL"/>
        </w:rPr>
        <w:t>, v</w:t>
      </w:r>
      <w:r w:rsidRPr="00EA7D16">
        <w:rPr>
          <w:bCs/>
          <w:color w:val="000000"/>
          <w:szCs w:val="28"/>
          <w:lang w:val="nl-NL"/>
        </w:rPr>
        <w:t>ới</w:t>
      </w:r>
      <w:r>
        <w:rPr>
          <w:bCs/>
          <w:color w:val="000000"/>
          <w:szCs w:val="28"/>
          <w:lang w:val="nl-NL"/>
        </w:rPr>
        <w:t xml:space="preserve"> c</w:t>
      </w:r>
      <w:r w:rsidRPr="00EA7D16">
        <w:rPr>
          <w:bCs/>
          <w:color w:val="000000"/>
          <w:szCs w:val="28"/>
          <w:lang w:val="nl-NL"/>
        </w:rPr>
        <w:t>ơ</w:t>
      </w:r>
      <w:r>
        <w:rPr>
          <w:bCs/>
          <w:color w:val="000000"/>
          <w:szCs w:val="28"/>
          <w:lang w:val="nl-NL"/>
        </w:rPr>
        <w:t xml:space="preserve"> quan thu</w:t>
      </w:r>
      <w:r w:rsidRPr="00EA7D16">
        <w:rPr>
          <w:bCs/>
          <w:color w:val="000000"/>
          <w:szCs w:val="28"/>
          <w:lang w:val="nl-NL"/>
        </w:rPr>
        <w:t>ế</w:t>
      </w:r>
      <w:r>
        <w:rPr>
          <w:bCs/>
          <w:color w:val="000000"/>
          <w:szCs w:val="28"/>
          <w:lang w:val="nl-NL"/>
        </w:rPr>
        <w:t xml:space="preserve"> theo h</w:t>
      </w:r>
      <w:r w:rsidRPr="00EA7D16">
        <w:rPr>
          <w:bCs/>
          <w:color w:val="000000"/>
          <w:szCs w:val="28"/>
          <w:lang w:val="nl-NL"/>
        </w:rPr>
        <w:t>ợp</w:t>
      </w:r>
      <w:r>
        <w:rPr>
          <w:bCs/>
          <w:color w:val="000000"/>
          <w:szCs w:val="28"/>
          <w:lang w:val="nl-NL"/>
        </w:rPr>
        <w:t xml:space="preserve"> đ</w:t>
      </w:r>
      <w:r w:rsidRPr="00EA7D16">
        <w:rPr>
          <w:bCs/>
          <w:color w:val="000000"/>
          <w:szCs w:val="28"/>
          <w:lang w:val="nl-NL"/>
        </w:rPr>
        <w:t>ồng</w:t>
      </w:r>
      <w:r>
        <w:rPr>
          <w:bCs/>
          <w:color w:val="000000"/>
          <w:szCs w:val="28"/>
          <w:lang w:val="nl-NL"/>
        </w:rPr>
        <w:t xml:space="preserve"> cung c</w:t>
      </w:r>
      <w:r w:rsidRPr="00EA7D16">
        <w:rPr>
          <w:bCs/>
          <w:color w:val="000000"/>
          <w:szCs w:val="28"/>
          <w:lang w:val="nl-NL"/>
        </w:rPr>
        <w:t>ấ</w:t>
      </w:r>
      <w:r>
        <w:rPr>
          <w:bCs/>
          <w:color w:val="000000"/>
          <w:szCs w:val="28"/>
          <w:lang w:val="nl-NL"/>
        </w:rPr>
        <w:t>p d</w:t>
      </w:r>
      <w:r w:rsidRPr="00EA7D16">
        <w:rPr>
          <w:bCs/>
          <w:color w:val="000000"/>
          <w:szCs w:val="28"/>
          <w:lang w:val="nl-NL"/>
        </w:rPr>
        <w:t>ịch</w:t>
      </w:r>
      <w:r>
        <w:rPr>
          <w:bCs/>
          <w:color w:val="000000"/>
          <w:szCs w:val="28"/>
          <w:lang w:val="nl-NL"/>
        </w:rPr>
        <w:t xml:space="preserve"> v</w:t>
      </w:r>
      <w:r w:rsidRPr="00EA7D16">
        <w:rPr>
          <w:bCs/>
          <w:color w:val="000000"/>
          <w:szCs w:val="28"/>
          <w:lang w:val="nl-NL"/>
        </w:rPr>
        <w:t>ụ</w:t>
      </w:r>
      <w:r>
        <w:rPr>
          <w:bCs/>
          <w:color w:val="000000"/>
          <w:szCs w:val="28"/>
          <w:lang w:val="nl-NL"/>
        </w:rPr>
        <w:t xml:space="preserve"> </w:t>
      </w:r>
      <w:r w:rsidRPr="00AE2A95">
        <w:rPr>
          <w:bCs/>
          <w:i/>
          <w:color w:val="000000"/>
          <w:szCs w:val="28"/>
          <w:lang w:val="nl-NL"/>
        </w:rPr>
        <w:t>(</w:t>
      </w:r>
      <w:r>
        <w:rPr>
          <w:bCs/>
          <w:i/>
          <w:color w:val="000000"/>
          <w:szCs w:val="28"/>
          <w:lang w:val="nl-NL"/>
        </w:rPr>
        <w:t>t</w:t>
      </w:r>
      <w:r w:rsidRPr="00B30599">
        <w:rPr>
          <w:bCs/>
          <w:i/>
          <w:color w:val="000000"/>
          <w:szCs w:val="28"/>
          <w:lang w:val="nl-NL"/>
        </w:rPr>
        <w:t>ại</w:t>
      </w:r>
      <w:r>
        <w:rPr>
          <w:bCs/>
          <w:i/>
          <w:color w:val="000000"/>
          <w:szCs w:val="28"/>
          <w:lang w:val="nl-NL"/>
        </w:rPr>
        <w:t xml:space="preserve"> c</w:t>
      </w:r>
      <w:r w:rsidRPr="00B30599">
        <w:rPr>
          <w:bCs/>
          <w:i/>
          <w:color w:val="000000"/>
          <w:szCs w:val="28"/>
          <w:lang w:val="nl-NL"/>
        </w:rPr>
        <w:t>á</w:t>
      </w:r>
      <w:r>
        <w:rPr>
          <w:bCs/>
          <w:i/>
          <w:color w:val="000000"/>
          <w:szCs w:val="28"/>
          <w:lang w:val="nl-NL"/>
        </w:rPr>
        <w:t xml:space="preserve">c </w:t>
      </w:r>
      <w:r w:rsidRPr="00B30599">
        <w:rPr>
          <w:bCs/>
          <w:i/>
          <w:color w:val="000000"/>
          <w:szCs w:val="28"/>
          <w:lang w:val="nl-NL"/>
        </w:rPr>
        <w:t>đ</w:t>
      </w:r>
      <w:r>
        <w:rPr>
          <w:bCs/>
          <w:i/>
          <w:color w:val="000000"/>
          <w:szCs w:val="28"/>
          <w:lang w:val="nl-NL"/>
        </w:rPr>
        <w:t>i</w:t>
      </w:r>
      <w:r w:rsidRPr="00B30599">
        <w:rPr>
          <w:bCs/>
          <w:i/>
          <w:color w:val="000000"/>
          <w:szCs w:val="28"/>
          <w:lang w:val="nl-NL"/>
        </w:rPr>
        <w:t>ề</w:t>
      </w:r>
      <w:r>
        <w:rPr>
          <w:bCs/>
          <w:i/>
          <w:color w:val="000000"/>
          <w:szCs w:val="28"/>
          <w:lang w:val="nl-NL"/>
        </w:rPr>
        <w:t xml:space="preserve">u </w:t>
      </w:r>
      <w:r w:rsidRPr="00AE2A95">
        <w:rPr>
          <w:bCs/>
          <w:i/>
          <w:color w:val="000000"/>
          <w:szCs w:val="28"/>
          <w:lang w:val="nl-NL"/>
        </w:rPr>
        <w:t>từ Điều 20 đến Điều 25).</w:t>
      </w:r>
      <w:r>
        <w:rPr>
          <w:bCs/>
          <w:color w:val="000000"/>
          <w:szCs w:val="28"/>
          <w:lang w:val="nl-NL"/>
        </w:rPr>
        <w:t xml:space="preserve"> </w:t>
      </w:r>
    </w:p>
    <w:p w14:paraId="3A4A972B" w14:textId="77777777" w:rsidR="007204EE" w:rsidRPr="00AE2A95" w:rsidRDefault="007204EE" w:rsidP="007204EE">
      <w:pPr>
        <w:widowControl w:val="0"/>
        <w:spacing w:before="120" w:after="120"/>
        <w:ind w:firstLine="720"/>
        <w:rPr>
          <w:i/>
          <w:lang w:val="nl-NL"/>
        </w:rPr>
      </w:pPr>
      <w:r w:rsidRPr="00AE2A95">
        <w:rPr>
          <w:lang w:val="nl-NL"/>
        </w:rPr>
        <w:t xml:space="preserve">- Mục 3 quy định về hóa đơn giấy do cơ quan thuế đặt in gồm </w:t>
      </w:r>
      <w:r>
        <w:rPr>
          <w:lang w:val="nl-NL"/>
        </w:rPr>
        <w:t>c</w:t>
      </w:r>
      <w:r w:rsidRPr="00EA7D16">
        <w:rPr>
          <w:lang w:val="nl-NL"/>
        </w:rPr>
        <w:t>á</w:t>
      </w:r>
      <w:r>
        <w:rPr>
          <w:lang w:val="nl-NL"/>
        </w:rPr>
        <w:t xml:space="preserve">c </w:t>
      </w:r>
      <w:r w:rsidRPr="00AE2A95">
        <w:rPr>
          <w:lang w:val="nl-NL"/>
        </w:rPr>
        <w:t>nội dung</w:t>
      </w:r>
      <w:r>
        <w:rPr>
          <w:lang w:val="nl-NL"/>
        </w:rPr>
        <w:t xml:space="preserve"> quy </w:t>
      </w:r>
      <w:r w:rsidRPr="00EA7D16">
        <w:rPr>
          <w:lang w:val="nl-NL"/>
        </w:rPr>
        <w:t>định</w:t>
      </w:r>
      <w:r>
        <w:rPr>
          <w:lang w:val="nl-NL"/>
        </w:rPr>
        <w:t xml:space="preserve"> c</w:t>
      </w:r>
      <w:r w:rsidRPr="00EA7D16">
        <w:rPr>
          <w:lang w:val="nl-NL"/>
        </w:rPr>
        <w:t>á</w:t>
      </w:r>
      <w:r>
        <w:rPr>
          <w:lang w:val="nl-NL"/>
        </w:rPr>
        <w:t>c trư</w:t>
      </w:r>
      <w:r w:rsidRPr="00EA7D16">
        <w:rPr>
          <w:lang w:val="nl-NL"/>
        </w:rPr>
        <w:t>ờng</w:t>
      </w:r>
      <w:r>
        <w:rPr>
          <w:lang w:val="nl-NL"/>
        </w:rPr>
        <w:t xml:space="preserve"> h</w:t>
      </w:r>
      <w:r w:rsidRPr="00EA7D16">
        <w:rPr>
          <w:lang w:val="nl-NL"/>
        </w:rPr>
        <w:t>ợp</w:t>
      </w:r>
      <w:r>
        <w:rPr>
          <w:lang w:val="nl-NL"/>
        </w:rPr>
        <w:t xml:space="preserve"> đư</w:t>
      </w:r>
      <w:r w:rsidRPr="00EA7D16">
        <w:rPr>
          <w:lang w:val="nl-NL"/>
        </w:rPr>
        <w:t>ợc</w:t>
      </w:r>
      <w:r>
        <w:rPr>
          <w:lang w:val="nl-NL"/>
        </w:rPr>
        <w:t xml:space="preserve"> mua h</w:t>
      </w:r>
      <w:r w:rsidRPr="00EA7D16">
        <w:rPr>
          <w:lang w:val="nl-NL"/>
        </w:rPr>
        <w:t>ó</w:t>
      </w:r>
      <w:r>
        <w:rPr>
          <w:lang w:val="nl-NL"/>
        </w:rPr>
        <w:t xml:space="preserve">a </w:t>
      </w:r>
      <w:r w:rsidRPr="00EA7D16">
        <w:rPr>
          <w:lang w:val="nl-NL"/>
        </w:rPr>
        <w:t>đơ</w:t>
      </w:r>
      <w:r>
        <w:rPr>
          <w:lang w:val="nl-NL"/>
        </w:rPr>
        <w:t>n, h</w:t>
      </w:r>
      <w:r w:rsidRPr="00EA7D16">
        <w:rPr>
          <w:lang w:val="nl-NL"/>
        </w:rPr>
        <w:t>ồ</w:t>
      </w:r>
      <w:r>
        <w:rPr>
          <w:lang w:val="nl-NL"/>
        </w:rPr>
        <w:t xml:space="preserve"> s</w:t>
      </w:r>
      <w:r w:rsidRPr="00EA7D16">
        <w:rPr>
          <w:lang w:val="nl-NL"/>
        </w:rPr>
        <w:t>ơ</w:t>
      </w:r>
      <w:r>
        <w:rPr>
          <w:lang w:val="nl-NL"/>
        </w:rPr>
        <w:t xml:space="preserve"> th</w:t>
      </w:r>
      <w:r w:rsidRPr="00EA7D16">
        <w:rPr>
          <w:lang w:val="nl-NL"/>
        </w:rPr>
        <w:t>ủ</w:t>
      </w:r>
      <w:r>
        <w:rPr>
          <w:lang w:val="nl-NL"/>
        </w:rPr>
        <w:t xml:space="preserve"> t</w:t>
      </w:r>
      <w:r w:rsidRPr="00EA7D16">
        <w:rPr>
          <w:lang w:val="nl-NL"/>
        </w:rPr>
        <w:t>ục</w:t>
      </w:r>
      <w:r>
        <w:rPr>
          <w:lang w:val="nl-NL"/>
        </w:rPr>
        <w:t xml:space="preserve"> mua h</w:t>
      </w:r>
      <w:r w:rsidRPr="00EA7D16">
        <w:rPr>
          <w:lang w:val="nl-NL"/>
        </w:rPr>
        <w:t>ó</w:t>
      </w:r>
      <w:r>
        <w:rPr>
          <w:lang w:val="nl-NL"/>
        </w:rPr>
        <w:t xml:space="preserve">a </w:t>
      </w:r>
      <w:r w:rsidRPr="00EA7D16">
        <w:rPr>
          <w:lang w:val="nl-NL"/>
        </w:rPr>
        <w:t>đơ</w:t>
      </w:r>
      <w:r>
        <w:rPr>
          <w:lang w:val="nl-NL"/>
        </w:rPr>
        <w:t>n, h</w:t>
      </w:r>
      <w:r w:rsidRPr="00EA7D16">
        <w:rPr>
          <w:lang w:val="nl-NL"/>
        </w:rPr>
        <w:t>ủy</w:t>
      </w:r>
      <w:r>
        <w:rPr>
          <w:lang w:val="nl-NL"/>
        </w:rPr>
        <w:t xml:space="preserve"> h</w:t>
      </w:r>
      <w:r w:rsidRPr="00EA7D16">
        <w:rPr>
          <w:lang w:val="nl-NL"/>
        </w:rPr>
        <w:t>ó</w:t>
      </w:r>
      <w:r>
        <w:rPr>
          <w:lang w:val="nl-NL"/>
        </w:rPr>
        <w:t xml:space="preserve">a </w:t>
      </w:r>
      <w:r w:rsidRPr="00EA7D16">
        <w:rPr>
          <w:lang w:val="nl-NL"/>
        </w:rPr>
        <w:t>đơ</w:t>
      </w:r>
      <w:r>
        <w:rPr>
          <w:lang w:val="nl-NL"/>
        </w:rPr>
        <w:t>n, x</w:t>
      </w:r>
      <w:r w:rsidRPr="00EA7D16">
        <w:rPr>
          <w:lang w:val="nl-NL"/>
        </w:rPr>
        <w:t>ử</w:t>
      </w:r>
      <w:r>
        <w:rPr>
          <w:lang w:val="nl-NL"/>
        </w:rPr>
        <w:t xml:space="preserve"> l</w:t>
      </w:r>
      <w:r w:rsidRPr="00EA7D16">
        <w:rPr>
          <w:lang w:val="nl-NL"/>
        </w:rPr>
        <w:t>ý</w:t>
      </w:r>
      <w:r>
        <w:rPr>
          <w:lang w:val="nl-NL"/>
        </w:rPr>
        <w:t xml:space="preserve"> m</w:t>
      </w:r>
      <w:r w:rsidRPr="00EA7D16">
        <w:rPr>
          <w:lang w:val="nl-NL"/>
        </w:rPr>
        <w:t>ấ</w:t>
      </w:r>
      <w:r>
        <w:rPr>
          <w:lang w:val="nl-NL"/>
        </w:rPr>
        <w:t>t, ch</w:t>
      </w:r>
      <w:r w:rsidRPr="00EA7D16">
        <w:rPr>
          <w:lang w:val="nl-NL"/>
        </w:rPr>
        <w:t>á</w:t>
      </w:r>
      <w:r>
        <w:rPr>
          <w:lang w:val="nl-NL"/>
        </w:rPr>
        <w:t>y h</w:t>
      </w:r>
      <w:r w:rsidRPr="00EA7D16">
        <w:rPr>
          <w:lang w:val="nl-NL"/>
        </w:rPr>
        <w:t>ỏng</w:t>
      </w:r>
      <w:r>
        <w:rPr>
          <w:lang w:val="nl-NL"/>
        </w:rPr>
        <w:t xml:space="preserve"> h</w:t>
      </w:r>
      <w:r w:rsidRPr="00EA7D16">
        <w:rPr>
          <w:lang w:val="nl-NL"/>
        </w:rPr>
        <w:t>ó</w:t>
      </w:r>
      <w:r>
        <w:rPr>
          <w:lang w:val="nl-NL"/>
        </w:rPr>
        <w:t xml:space="preserve">a </w:t>
      </w:r>
      <w:r w:rsidRPr="00EA7D16">
        <w:rPr>
          <w:lang w:val="nl-NL"/>
        </w:rPr>
        <w:t>đơ</w:t>
      </w:r>
      <w:r>
        <w:rPr>
          <w:lang w:val="nl-NL"/>
        </w:rPr>
        <w:t>n, b</w:t>
      </w:r>
      <w:r w:rsidRPr="00EA7D16">
        <w:rPr>
          <w:lang w:val="nl-NL"/>
        </w:rPr>
        <w:t>á</w:t>
      </w:r>
      <w:r>
        <w:rPr>
          <w:lang w:val="nl-NL"/>
        </w:rPr>
        <w:t>o c</w:t>
      </w:r>
      <w:r w:rsidRPr="00EA7D16">
        <w:rPr>
          <w:lang w:val="nl-NL"/>
        </w:rPr>
        <w:t>á</w:t>
      </w:r>
      <w:r>
        <w:rPr>
          <w:lang w:val="nl-NL"/>
        </w:rPr>
        <w:t>o t</w:t>
      </w:r>
      <w:r w:rsidRPr="00EA7D16">
        <w:rPr>
          <w:lang w:val="nl-NL"/>
        </w:rPr>
        <w:t>ìn</w:t>
      </w:r>
      <w:r>
        <w:rPr>
          <w:lang w:val="nl-NL"/>
        </w:rPr>
        <w:t>h h</w:t>
      </w:r>
      <w:r w:rsidRPr="00EA7D16">
        <w:rPr>
          <w:lang w:val="nl-NL"/>
        </w:rPr>
        <w:t>ìn</w:t>
      </w:r>
      <w:r>
        <w:rPr>
          <w:lang w:val="nl-NL"/>
        </w:rPr>
        <w:t>h s</w:t>
      </w:r>
      <w:r w:rsidRPr="00EA7D16">
        <w:rPr>
          <w:lang w:val="nl-NL"/>
        </w:rPr>
        <w:t>ử</w:t>
      </w:r>
      <w:r>
        <w:rPr>
          <w:lang w:val="nl-NL"/>
        </w:rPr>
        <w:t xml:space="preserve"> d</w:t>
      </w:r>
      <w:r w:rsidRPr="00EA7D16">
        <w:rPr>
          <w:lang w:val="nl-NL"/>
        </w:rPr>
        <w:t>ụng</w:t>
      </w:r>
      <w:r>
        <w:rPr>
          <w:lang w:val="nl-NL"/>
        </w:rPr>
        <w:t xml:space="preserve"> h</w:t>
      </w:r>
      <w:r w:rsidRPr="00EA7D16">
        <w:rPr>
          <w:lang w:val="nl-NL"/>
        </w:rPr>
        <w:t>ó</w:t>
      </w:r>
      <w:r>
        <w:rPr>
          <w:lang w:val="nl-NL"/>
        </w:rPr>
        <w:t xml:space="preserve">a </w:t>
      </w:r>
      <w:r w:rsidRPr="00EA7D16">
        <w:rPr>
          <w:lang w:val="nl-NL"/>
        </w:rPr>
        <w:t>đơ</w:t>
      </w:r>
      <w:r>
        <w:rPr>
          <w:lang w:val="nl-NL"/>
        </w:rPr>
        <w:t xml:space="preserve">n </w:t>
      </w:r>
      <w:r w:rsidRPr="00AE2A95">
        <w:rPr>
          <w:i/>
          <w:lang w:val="nl-NL"/>
        </w:rPr>
        <w:t xml:space="preserve">(tại các </w:t>
      </w:r>
      <w:r w:rsidRPr="00B30599">
        <w:rPr>
          <w:i/>
          <w:lang w:val="nl-NL"/>
        </w:rPr>
        <w:t>đ</w:t>
      </w:r>
      <w:r w:rsidRPr="00AE2A95">
        <w:rPr>
          <w:i/>
          <w:lang w:val="nl-NL"/>
        </w:rPr>
        <w:t xml:space="preserve">iều từ Điều 26 đến Điều 29). </w:t>
      </w:r>
    </w:p>
    <w:p w14:paraId="5A962D94" w14:textId="77777777" w:rsidR="007204EE" w:rsidRPr="00AE2A95" w:rsidRDefault="007204EE" w:rsidP="007204EE">
      <w:pPr>
        <w:widowControl w:val="0"/>
        <w:spacing w:before="120" w:after="120"/>
        <w:ind w:firstLine="720"/>
        <w:rPr>
          <w:color w:val="000000"/>
          <w:szCs w:val="28"/>
          <w:lang w:val="nl-NL"/>
        </w:rPr>
      </w:pPr>
    </w:p>
    <w:p w14:paraId="4E5F6241" w14:textId="77777777" w:rsidR="007204EE" w:rsidRPr="00AE2A95" w:rsidRDefault="007204EE" w:rsidP="007204EE">
      <w:pPr>
        <w:widowControl w:val="0"/>
        <w:spacing w:before="120" w:after="120"/>
        <w:ind w:firstLine="720"/>
        <w:rPr>
          <w:b/>
          <w:i/>
          <w:color w:val="000000"/>
          <w:szCs w:val="28"/>
          <w:lang w:val="nl-NL"/>
        </w:rPr>
      </w:pPr>
      <w:r>
        <w:rPr>
          <w:b/>
          <w:i/>
          <w:color w:val="000000"/>
          <w:szCs w:val="28"/>
          <w:lang w:val="nl-NL"/>
        </w:rPr>
        <w:t>3</w:t>
      </w:r>
      <w:r w:rsidRPr="00AE2A95">
        <w:rPr>
          <w:b/>
          <w:i/>
          <w:color w:val="000000"/>
          <w:szCs w:val="28"/>
          <w:lang w:val="nl-NL"/>
        </w:rPr>
        <w:t>.4. Quy định đối với chứng từ</w:t>
      </w:r>
    </w:p>
    <w:p w14:paraId="3C492923" w14:textId="77777777" w:rsidR="007204EE" w:rsidRPr="00AE2A95" w:rsidRDefault="007204EE" w:rsidP="007204EE">
      <w:pPr>
        <w:widowControl w:val="0"/>
        <w:spacing w:before="120" w:after="120"/>
        <w:ind w:firstLine="720"/>
        <w:rPr>
          <w:i/>
          <w:color w:val="000000"/>
          <w:szCs w:val="28"/>
          <w:lang w:val="nl-NL"/>
        </w:rPr>
      </w:pPr>
      <w:r w:rsidRPr="00AE2A95">
        <w:rPr>
          <w:color w:val="000000"/>
          <w:szCs w:val="28"/>
          <w:lang w:val="nl-NL"/>
        </w:rPr>
        <w:t>Chương III dự thảo Nghị định quy định áp dụng đối với chứng từ theo các hình thức</w:t>
      </w:r>
      <w:r>
        <w:rPr>
          <w:color w:val="000000"/>
          <w:szCs w:val="28"/>
          <w:lang w:val="nl-NL"/>
        </w:rPr>
        <w:t xml:space="preserve"> </w:t>
      </w:r>
      <w:r w:rsidRPr="00AE2A95">
        <w:rPr>
          <w:color w:val="000000"/>
          <w:szCs w:val="28"/>
          <w:lang w:val="nl-NL"/>
        </w:rPr>
        <w:t xml:space="preserve">đặt in, tự in và điện tử gồm các </w:t>
      </w:r>
      <w:r>
        <w:rPr>
          <w:color w:val="000000"/>
          <w:szCs w:val="28"/>
          <w:lang w:val="nl-NL"/>
        </w:rPr>
        <w:t>n</w:t>
      </w:r>
      <w:r w:rsidRPr="00371488">
        <w:rPr>
          <w:color w:val="000000"/>
          <w:szCs w:val="28"/>
          <w:lang w:val="nl-NL"/>
        </w:rPr>
        <w:t>ội</w:t>
      </w:r>
      <w:r>
        <w:rPr>
          <w:color w:val="000000"/>
          <w:szCs w:val="28"/>
          <w:lang w:val="nl-NL"/>
        </w:rPr>
        <w:t xml:space="preserve"> dung quy </w:t>
      </w:r>
      <w:r w:rsidRPr="00371488">
        <w:rPr>
          <w:color w:val="000000"/>
          <w:szCs w:val="28"/>
          <w:lang w:val="nl-NL"/>
        </w:rPr>
        <w:t>định</w:t>
      </w:r>
      <w:r>
        <w:rPr>
          <w:color w:val="000000"/>
          <w:szCs w:val="28"/>
          <w:lang w:val="nl-NL"/>
        </w:rPr>
        <w:t xml:space="preserve"> v</w:t>
      </w:r>
      <w:r w:rsidRPr="00371488">
        <w:rPr>
          <w:color w:val="000000"/>
          <w:szCs w:val="28"/>
          <w:lang w:val="nl-NL"/>
        </w:rPr>
        <w:t>ề</w:t>
      </w:r>
      <w:r>
        <w:rPr>
          <w:color w:val="000000"/>
          <w:szCs w:val="28"/>
          <w:lang w:val="nl-NL"/>
        </w:rPr>
        <w:t xml:space="preserve"> c</w:t>
      </w:r>
      <w:r w:rsidRPr="00371488">
        <w:rPr>
          <w:color w:val="000000"/>
          <w:szCs w:val="28"/>
          <w:lang w:val="nl-NL"/>
        </w:rPr>
        <w:t>á</w:t>
      </w:r>
      <w:r>
        <w:rPr>
          <w:color w:val="000000"/>
          <w:szCs w:val="28"/>
          <w:lang w:val="nl-NL"/>
        </w:rPr>
        <w:t>c lo</w:t>
      </w:r>
      <w:r w:rsidRPr="00371488">
        <w:rPr>
          <w:color w:val="000000"/>
          <w:szCs w:val="28"/>
          <w:lang w:val="nl-NL"/>
        </w:rPr>
        <w:t>ại</w:t>
      </w:r>
      <w:r>
        <w:rPr>
          <w:color w:val="000000"/>
          <w:szCs w:val="28"/>
          <w:lang w:val="nl-NL"/>
        </w:rPr>
        <w:t xml:space="preserve">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th</w:t>
      </w:r>
      <w:r w:rsidRPr="00371488">
        <w:rPr>
          <w:color w:val="000000"/>
          <w:szCs w:val="28"/>
          <w:lang w:val="nl-NL"/>
        </w:rPr>
        <w:t>ờ</w:t>
      </w:r>
      <w:r>
        <w:rPr>
          <w:color w:val="000000"/>
          <w:szCs w:val="28"/>
          <w:lang w:val="nl-NL"/>
        </w:rPr>
        <w:t xml:space="preserve">i </w:t>
      </w:r>
      <w:r w:rsidRPr="00371488">
        <w:rPr>
          <w:color w:val="000000"/>
          <w:szCs w:val="28"/>
          <w:lang w:val="nl-NL"/>
        </w:rPr>
        <w:t>đ</w:t>
      </w:r>
      <w:r>
        <w:rPr>
          <w:color w:val="000000"/>
          <w:szCs w:val="28"/>
          <w:lang w:val="nl-NL"/>
        </w:rPr>
        <w:t>i</w:t>
      </w:r>
      <w:r w:rsidRPr="00371488">
        <w:rPr>
          <w:color w:val="000000"/>
          <w:szCs w:val="28"/>
          <w:lang w:val="nl-NL"/>
        </w:rPr>
        <w:t>ể</w:t>
      </w:r>
      <w:r>
        <w:rPr>
          <w:color w:val="000000"/>
          <w:szCs w:val="28"/>
          <w:lang w:val="nl-NL"/>
        </w:rPr>
        <w:t>m l</w:t>
      </w:r>
      <w:r w:rsidRPr="00371488">
        <w:rPr>
          <w:color w:val="000000"/>
          <w:szCs w:val="28"/>
          <w:lang w:val="nl-NL"/>
        </w:rPr>
        <w:t>ập</w:t>
      </w:r>
      <w:r>
        <w:rPr>
          <w:color w:val="000000"/>
          <w:szCs w:val="28"/>
          <w:lang w:val="nl-NL"/>
        </w:rPr>
        <w:t xml:space="preserve">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n</w:t>
      </w:r>
      <w:r w:rsidRPr="00371488">
        <w:rPr>
          <w:color w:val="000000"/>
          <w:szCs w:val="28"/>
          <w:lang w:val="nl-NL"/>
        </w:rPr>
        <w:t>ội</w:t>
      </w:r>
      <w:r>
        <w:rPr>
          <w:color w:val="000000"/>
          <w:szCs w:val="28"/>
          <w:lang w:val="nl-NL"/>
        </w:rPr>
        <w:t xml:space="preserve"> dung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xml:space="preserve">, </w:t>
      </w:r>
      <w:r w:rsidRPr="00371488">
        <w:rPr>
          <w:color w:val="000000"/>
          <w:szCs w:val="28"/>
          <w:lang w:val="nl-NL"/>
        </w:rPr>
        <w:t>định</w:t>
      </w:r>
      <w:r>
        <w:rPr>
          <w:color w:val="000000"/>
          <w:szCs w:val="28"/>
          <w:lang w:val="nl-NL"/>
        </w:rPr>
        <w:t xml:space="preserve"> d</w:t>
      </w:r>
      <w:r w:rsidRPr="00371488">
        <w:rPr>
          <w:color w:val="000000"/>
          <w:szCs w:val="28"/>
          <w:lang w:val="nl-NL"/>
        </w:rPr>
        <w:t>ạng</w:t>
      </w:r>
      <w:r>
        <w:rPr>
          <w:color w:val="000000"/>
          <w:szCs w:val="28"/>
          <w:lang w:val="nl-NL"/>
        </w:rPr>
        <w:t xml:space="preserve">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xml:space="preserve"> </w:t>
      </w:r>
      <w:r w:rsidRPr="00371488">
        <w:rPr>
          <w:color w:val="000000"/>
          <w:szCs w:val="28"/>
          <w:lang w:val="nl-NL"/>
        </w:rPr>
        <w:t>đ</w:t>
      </w:r>
      <w:r>
        <w:rPr>
          <w:color w:val="000000"/>
          <w:szCs w:val="28"/>
          <w:lang w:val="nl-NL"/>
        </w:rPr>
        <w:t>i</w:t>
      </w:r>
      <w:r w:rsidRPr="00371488">
        <w:rPr>
          <w:color w:val="000000"/>
          <w:szCs w:val="28"/>
          <w:lang w:val="nl-NL"/>
        </w:rPr>
        <w:t>ện</w:t>
      </w:r>
      <w:r>
        <w:rPr>
          <w:color w:val="000000"/>
          <w:szCs w:val="28"/>
          <w:lang w:val="nl-NL"/>
        </w:rPr>
        <w:t xml:space="preserve"> t</w:t>
      </w:r>
      <w:r w:rsidRPr="00371488">
        <w:rPr>
          <w:color w:val="000000"/>
          <w:szCs w:val="28"/>
          <w:lang w:val="nl-NL"/>
        </w:rPr>
        <w:t>ử</w:t>
      </w:r>
      <w:r>
        <w:rPr>
          <w:color w:val="000000"/>
          <w:szCs w:val="28"/>
          <w:lang w:val="nl-NL"/>
        </w:rPr>
        <w:t xml:space="preserve">, </w:t>
      </w:r>
      <w:r w:rsidRPr="00371488">
        <w:rPr>
          <w:color w:val="000000"/>
          <w:szCs w:val="28"/>
          <w:lang w:val="nl-NL"/>
        </w:rPr>
        <w:t>đă</w:t>
      </w:r>
      <w:r>
        <w:rPr>
          <w:color w:val="000000"/>
          <w:szCs w:val="28"/>
          <w:lang w:val="nl-NL"/>
        </w:rPr>
        <w:t>ng k</w:t>
      </w:r>
      <w:r w:rsidRPr="00371488">
        <w:rPr>
          <w:color w:val="000000"/>
          <w:szCs w:val="28"/>
          <w:lang w:val="nl-NL"/>
        </w:rPr>
        <w:t>ý</w:t>
      </w:r>
      <w:r>
        <w:rPr>
          <w:color w:val="000000"/>
          <w:szCs w:val="28"/>
          <w:lang w:val="nl-NL"/>
        </w:rPr>
        <w:t xml:space="preserve"> s</w:t>
      </w:r>
      <w:r w:rsidRPr="00371488">
        <w:rPr>
          <w:color w:val="000000"/>
          <w:szCs w:val="28"/>
          <w:lang w:val="nl-NL"/>
        </w:rPr>
        <w:t>ử</w:t>
      </w:r>
      <w:r>
        <w:rPr>
          <w:color w:val="000000"/>
          <w:szCs w:val="28"/>
          <w:lang w:val="nl-NL"/>
        </w:rPr>
        <w:t xml:space="preserve"> d</w:t>
      </w:r>
      <w:r w:rsidRPr="00371488">
        <w:rPr>
          <w:color w:val="000000"/>
          <w:szCs w:val="28"/>
          <w:lang w:val="nl-NL"/>
        </w:rPr>
        <w:t>ụng</w:t>
      </w:r>
      <w:r>
        <w:rPr>
          <w:color w:val="000000"/>
          <w:szCs w:val="28"/>
          <w:lang w:val="nl-NL"/>
        </w:rPr>
        <w:t xml:space="preserve">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th</w:t>
      </w:r>
      <w:r w:rsidRPr="00371488">
        <w:rPr>
          <w:color w:val="000000"/>
          <w:szCs w:val="28"/>
          <w:lang w:val="nl-NL"/>
        </w:rPr>
        <w:t>ô</w:t>
      </w:r>
      <w:r>
        <w:rPr>
          <w:color w:val="000000"/>
          <w:szCs w:val="28"/>
          <w:lang w:val="nl-NL"/>
        </w:rPr>
        <w:t>ng b</w:t>
      </w:r>
      <w:r w:rsidRPr="00371488">
        <w:rPr>
          <w:color w:val="000000"/>
          <w:szCs w:val="28"/>
          <w:lang w:val="nl-NL"/>
        </w:rPr>
        <w:t>á</w:t>
      </w:r>
      <w:r>
        <w:rPr>
          <w:color w:val="000000"/>
          <w:szCs w:val="28"/>
          <w:lang w:val="nl-NL"/>
        </w:rPr>
        <w:t>o ph</w:t>
      </w:r>
      <w:r w:rsidRPr="00371488">
        <w:rPr>
          <w:color w:val="000000"/>
          <w:szCs w:val="28"/>
          <w:lang w:val="nl-NL"/>
        </w:rPr>
        <w:t>á</w:t>
      </w:r>
      <w:r>
        <w:rPr>
          <w:color w:val="000000"/>
          <w:szCs w:val="28"/>
          <w:lang w:val="nl-NL"/>
        </w:rPr>
        <w:t>t h</w:t>
      </w:r>
      <w:r w:rsidRPr="00371488">
        <w:rPr>
          <w:color w:val="000000"/>
          <w:szCs w:val="28"/>
          <w:lang w:val="nl-NL"/>
        </w:rPr>
        <w:t>à</w:t>
      </w:r>
      <w:r>
        <w:rPr>
          <w:color w:val="000000"/>
          <w:szCs w:val="28"/>
          <w:lang w:val="nl-NL"/>
        </w:rPr>
        <w:t>nh ch</w:t>
      </w:r>
      <w:r w:rsidRPr="00371488">
        <w:rPr>
          <w:color w:val="000000"/>
          <w:szCs w:val="28"/>
          <w:lang w:val="nl-NL"/>
        </w:rPr>
        <w:t>ứ</w:t>
      </w:r>
      <w:r>
        <w:rPr>
          <w:color w:val="000000"/>
          <w:szCs w:val="28"/>
          <w:lang w:val="nl-NL"/>
        </w:rPr>
        <w:t>ng t</w:t>
      </w:r>
      <w:r w:rsidRPr="00371488">
        <w:rPr>
          <w:color w:val="000000"/>
          <w:szCs w:val="28"/>
          <w:lang w:val="nl-NL"/>
        </w:rPr>
        <w:t>ừ</w:t>
      </w:r>
      <w:r>
        <w:rPr>
          <w:color w:val="000000"/>
          <w:szCs w:val="28"/>
          <w:lang w:val="nl-NL"/>
        </w:rPr>
        <w:t xml:space="preserve"> (bi</w:t>
      </w:r>
      <w:r w:rsidRPr="00371488">
        <w:rPr>
          <w:color w:val="000000"/>
          <w:szCs w:val="28"/>
          <w:lang w:val="nl-NL"/>
        </w:rPr>
        <w:t>ê</w:t>
      </w:r>
      <w:r>
        <w:rPr>
          <w:color w:val="000000"/>
          <w:szCs w:val="28"/>
          <w:lang w:val="nl-NL"/>
        </w:rPr>
        <w:t>n lai) đ</w:t>
      </w:r>
      <w:r w:rsidRPr="00371488">
        <w:rPr>
          <w:color w:val="000000"/>
          <w:szCs w:val="28"/>
          <w:lang w:val="nl-NL"/>
        </w:rPr>
        <w:t>ặ</w:t>
      </w:r>
      <w:r>
        <w:rPr>
          <w:color w:val="000000"/>
          <w:szCs w:val="28"/>
          <w:lang w:val="nl-NL"/>
        </w:rPr>
        <w:t>t in, t</w:t>
      </w:r>
      <w:r w:rsidRPr="00371488">
        <w:rPr>
          <w:color w:val="000000"/>
          <w:szCs w:val="28"/>
          <w:lang w:val="nl-NL"/>
        </w:rPr>
        <w:t>ự</w:t>
      </w:r>
      <w:r>
        <w:rPr>
          <w:color w:val="000000"/>
          <w:szCs w:val="28"/>
          <w:lang w:val="nl-NL"/>
        </w:rPr>
        <w:t xml:space="preserve"> in, l</w:t>
      </w:r>
      <w:r w:rsidRPr="00371488">
        <w:rPr>
          <w:color w:val="000000"/>
          <w:szCs w:val="28"/>
          <w:lang w:val="nl-NL"/>
        </w:rPr>
        <w:t>ập</w:t>
      </w:r>
      <w:r>
        <w:rPr>
          <w:color w:val="000000"/>
          <w:szCs w:val="28"/>
          <w:lang w:val="nl-NL"/>
        </w:rPr>
        <w:t xml:space="preserve"> v</w:t>
      </w:r>
      <w:r w:rsidRPr="00371488">
        <w:rPr>
          <w:color w:val="000000"/>
          <w:szCs w:val="28"/>
          <w:lang w:val="nl-NL"/>
        </w:rPr>
        <w:t>à</w:t>
      </w:r>
      <w:r>
        <w:rPr>
          <w:color w:val="000000"/>
          <w:szCs w:val="28"/>
          <w:lang w:val="nl-NL"/>
        </w:rPr>
        <w:t xml:space="preserve"> </w:t>
      </w:r>
      <w:r w:rsidRPr="00371488">
        <w:rPr>
          <w:color w:val="000000"/>
          <w:szCs w:val="28"/>
          <w:lang w:val="nl-NL"/>
        </w:rPr>
        <w:t>ủy</w:t>
      </w:r>
      <w:r>
        <w:rPr>
          <w:color w:val="000000"/>
          <w:szCs w:val="28"/>
          <w:lang w:val="nl-NL"/>
        </w:rPr>
        <w:t xml:space="preserve"> nhi</w:t>
      </w:r>
      <w:r w:rsidRPr="00371488">
        <w:rPr>
          <w:color w:val="000000"/>
          <w:szCs w:val="28"/>
          <w:lang w:val="nl-NL"/>
        </w:rPr>
        <w:t>ệm</w:t>
      </w:r>
      <w:r>
        <w:rPr>
          <w:color w:val="000000"/>
          <w:szCs w:val="28"/>
          <w:lang w:val="nl-NL"/>
        </w:rPr>
        <w:t xml:space="preserve"> l</w:t>
      </w:r>
      <w:r w:rsidRPr="00371488">
        <w:rPr>
          <w:color w:val="000000"/>
          <w:szCs w:val="28"/>
          <w:lang w:val="nl-NL"/>
        </w:rPr>
        <w:t>ập</w:t>
      </w:r>
      <w:r>
        <w:rPr>
          <w:color w:val="000000"/>
          <w:szCs w:val="28"/>
          <w:lang w:val="nl-NL"/>
        </w:rPr>
        <w:t xml:space="preserve"> ch</w:t>
      </w:r>
      <w:r w:rsidRPr="00371488">
        <w:rPr>
          <w:color w:val="000000"/>
          <w:szCs w:val="28"/>
          <w:lang w:val="nl-NL"/>
        </w:rPr>
        <w:t>ứng</w:t>
      </w:r>
      <w:r>
        <w:rPr>
          <w:color w:val="000000"/>
          <w:szCs w:val="28"/>
          <w:lang w:val="nl-NL"/>
        </w:rPr>
        <w:t xml:space="preserve"> t</w:t>
      </w:r>
      <w:r w:rsidRPr="00371488">
        <w:rPr>
          <w:color w:val="000000"/>
          <w:szCs w:val="28"/>
          <w:lang w:val="nl-NL"/>
        </w:rPr>
        <w:t>ừ</w:t>
      </w:r>
      <w:r>
        <w:rPr>
          <w:color w:val="000000"/>
          <w:szCs w:val="28"/>
          <w:lang w:val="nl-NL"/>
        </w:rPr>
        <w:t>, b</w:t>
      </w:r>
      <w:r w:rsidRPr="00371488">
        <w:rPr>
          <w:color w:val="000000"/>
          <w:szCs w:val="28"/>
          <w:lang w:val="nl-NL"/>
        </w:rPr>
        <w:t>á</w:t>
      </w:r>
      <w:r>
        <w:rPr>
          <w:color w:val="000000"/>
          <w:szCs w:val="28"/>
          <w:lang w:val="nl-NL"/>
        </w:rPr>
        <w:t>o c</w:t>
      </w:r>
      <w:r w:rsidRPr="00371488">
        <w:rPr>
          <w:color w:val="000000"/>
          <w:szCs w:val="28"/>
          <w:lang w:val="nl-NL"/>
        </w:rPr>
        <w:t>á</w:t>
      </w:r>
      <w:r>
        <w:rPr>
          <w:color w:val="000000"/>
          <w:szCs w:val="28"/>
          <w:lang w:val="nl-NL"/>
        </w:rPr>
        <w:t>o t</w:t>
      </w:r>
      <w:r w:rsidRPr="00371488">
        <w:rPr>
          <w:color w:val="000000"/>
          <w:szCs w:val="28"/>
          <w:lang w:val="nl-NL"/>
        </w:rPr>
        <w:t>ìn</w:t>
      </w:r>
      <w:r>
        <w:rPr>
          <w:color w:val="000000"/>
          <w:szCs w:val="28"/>
          <w:lang w:val="nl-NL"/>
        </w:rPr>
        <w:t>h h</w:t>
      </w:r>
      <w:r w:rsidRPr="00371488">
        <w:rPr>
          <w:color w:val="000000"/>
          <w:szCs w:val="28"/>
          <w:lang w:val="nl-NL"/>
        </w:rPr>
        <w:t>ìn</w:t>
      </w:r>
      <w:r>
        <w:rPr>
          <w:color w:val="000000"/>
          <w:szCs w:val="28"/>
          <w:lang w:val="nl-NL"/>
        </w:rPr>
        <w:t>h s</w:t>
      </w:r>
      <w:r w:rsidRPr="00371488">
        <w:rPr>
          <w:color w:val="000000"/>
          <w:szCs w:val="28"/>
          <w:lang w:val="nl-NL"/>
        </w:rPr>
        <w:t>ử</w:t>
      </w:r>
      <w:r>
        <w:rPr>
          <w:color w:val="000000"/>
          <w:szCs w:val="28"/>
          <w:lang w:val="nl-NL"/>
        </w:rPr>
        <w:t xml:space="preserve"> d</w:t>
      </w:r>
      <w:r w:rsidRPr="00371488">
        <w:rPr>
          <w:color w:val="000000"/>
          <w:szCs w:val="28"/>
          <w:lang w:val="nl-NL"/>
        </w:rPr>
        <w:t>ụng</w:t>
      </w:r>
      <w:r>
        <w:rPr>
          <w:color w:val="000000"/>
          <w:szCs w:val="28"/>
          <w:lang w:val="nl-NL"/>
        </w:rPr>
        <w:t>, x</w:t>
      </w:r>
      <w:r w:rsidRPr="00371488">
        <w:rPr>
          <w:color w:val="000000"/>
          <w:szCs w:val="28"/>
          <w:lang w:val="nl-NL"/>
        </w:rPr>
        <w:t>ử</w:t>
      </w:r>
      <w:r>
        <w:rPr>
          <w:color w:val="000000"/>
          <w:szCs w:val="28"/>
          <w:lang w:val="nl-NL"/>
        </w:rPr>
        <w:t xml:space="preserve"> l</w:t>
      </w:r>
      <w:r w:rsidRPr="00371488">
        <w:rPr>
          <w:color w:val="000000"/>
          <w:szCs w:val="28"/>
          <w:lang w:val="nl-NL"/>
        </w:rPr>
        <w:t>ý</w:t>
      </w:r>
      <w:r>
        <w:rPr>
          <w:color w:val="000000"/>
          <w:szCs w:val="28"/>
          <w:lang w:val="nl-NL"/>
        </w:rPr>
        <w:t xml:space="preserve"> bi</w:t>
      </w:r>
      <w:r w:rsidRPr="00371488">
        <w:rPr>
          <w:color w:val="000000"/>
          <w:szCs w:val="28"/>
          <w:lang w:val="nl-NL"/>
        </w:rPr>
        <w:t>ê</w:t>
      </w:r>
      <w:r>
        <w:rPr>
          <w:color w:val="000000"/>
          <w:szCs w:val="28"/>
          <w:lang w:val="nl-NL"/>
        </w:rPr>
        <w:t xml:space="preserve">n lai </w:t>
      </w:r>
      <w:r w:rsidRPr="00AE2A95">
        <w:rPr>
          <w:i/>
          <w:color w:val="000000"/>
          <w:szCs w:val="28"/>
          <w:lang w:val="nl-NL"/>
        </w:rPr>
        <w:t xml:space="preserve">(tại các </w:t>
      </w:r>
      <w:r w:rsidRPr="00B30599">
        <w:rPr>
          <w:i/>
          <w:color w:val="000000"/>
          <w:szCs w:val="28"/>
          <w:lang w:val="nl-NL"/>
        </w:rPr>
        <w:t>đ</w:t>
      </w:r>
      <w:r w:rsidRPr="00AE2A95">
        <w:rPr>
          <w:i/>
          <w:color w:val="000000"/>
          <w:szCs w:val="28"/>
          <w:lang w:val="nl-NL"/>
        </w:rPr>
        <w:t xml:space="preserve">iều từ Điều 32 đến Điều 41). </w:t>
      </w:r>
    </w:p>
    <w:p w14:paraId="5DBBEF2B" w14:textId="77777777" w:rsidR="007204EE" w:rsidRDefault="007204EE" w:rsidP="007204EE">
      <w:pPr>
        <w:widowControl w:val="0"/>
        <w:spacing w:before="120" w:after="120"/>
        <w:ind w:firstLine="720"/>
        <w:rPr>
          <w:color w:val="000000"/>
          <w:szCs w:val="28"/>
          <w:lang w:val="nl-NL"/>
        </w:rPr>
      </w:pPr>
    </w:p>
    <w:p w14:paraId="0DD31B17" w14:textId="77777777" w:rsidR="007204EE" w:rsidRDefault="007204EE" w:rsidP="007204EE">
      <w:pPr>
        <w:widowControl w:val="0"/>
        <w:spacing w:before="120" w:after="120"/>
        <w:ind w:firstLine="720"/>
        <w:rPr>
          <w:b/>
          <w:i/>
          <w:spacing w:val="-2"/>
          <w:szCs w:val="28"/>
          <w:lang w:val="sv-SE"/>
        </w:rPr>
      </w:pPr>
      <w:r>
        <w:rPr>
          <w:b/>
          <w:i/>
          <w:color w:val="000000"/>
          <w:szCs w:val="28"/>
          <w:lang w:val="nl-NL"/>
        </w:rPr>
        <w:t>3</w:t>
      </w:r>
      <w:r w:rsidRPr="00AE2A95">
        <w:rPr>
          <w:b/>
          <w:i/>
          <w:color w:val="000000"/>
          <w:szCs w:val="28"/>
          <w:lang w:val="nl-NL"/>
        </w:rPr>
        <w:t>.5. Quy định v</w:t>
      </w:r>
      <w:r w:rsidRPr="00BA4ABD">
        <w:rPr>
          <w:b/>
          <w:i/>
          <w:spacing w:val="-2"/>
          <w:szCs w:val="28"/>
          <w:lang w:val="sv-SE"/>
        </w:rPr>
        <w:t>ề xây</w:t>
      </w:r>
      <w:r w:rsidRPr="008F0280">
        <w:rPr>
          <w:b/>
          <w:i/>
          <w:spacing w:val="-2"/>
          <w:szCs w:val="28"/>
          <w:lang w:val="sv-SE"/>
        </w:rPr>
        <w:t xml:space="preserve"> dựng thông tin hóa đơn điện tử, chứng từ điện tử </w:t>
      </w:r>
    </w:p>
    <w:p w14:paraId="76C30C5B" w14:textId="77777777" w:rsidR="007204EE" w:rsidRPr="0049591B" w:rsidRDefault="007204EE" w:rsidP="007204EE">
      <w:pPr>
        <w:widowControl w:val="0"/>
        <w:spacing w:before="120" w:after="120"/>
        <w:rPr>
          <w:spacing w:val="-2"/>
          <w:szCs w:val="28"/>
          <w:lang w:val="sv-SE"/>
        </w:rPr>
      </w:pPr>
      <w:r>
        <w:rPr>
          <w:spacing w:val="-2"/>
          <w:szCs w:val="28"/>
          <w:lang w:val="sv-SE"/>
        </w:rPr>
        <w:tab/>
      </w:r>
      <w:r w:rsidRPr="00AE2A95">
        <w:rPr>
          <w:bCs/>
          <w:lang w:val="sv-SE"/>
        </w:rPr>
        <w:t xml:space="preserve">Chương IV quy định về xây dựng thông tin hóa đơn điện tử, chứng từ điện tử trên </w:t>
      </w:r>
      <w:r>
        <w:rPr>
          <w:spacing w:val="-2"/>
          <w:szCs w:val="28"/>
          <w:lang w:val="sv-SE"/>
        </w:rPr>
        <w:t xml:space="preserve">cơ sở kế thừa các quy định về xây dựng thông tin hóa đơn điện tử tại Nghị định số 119/2018/NĐ-CP và bổ sung quy định về xây dựng thông tin </w:t>
      </w:r>
      <w:r w:rsidRPr="00AE2A95">
        <w:rPr>
          <w:bCs/>
          <w:lang w:val="sv-SE"/>
        </w:rPr>
        <w:t>chứng từ điện tử với nội dung như sau:</w:t>
      </w:r>
    </w:p>
    <w:p w14:paraId="33BDF872" w14:textId="77777777" w:rsidR="007204EE" w:rsidRDefault="007204EE" w:rsidP="007204EE">
      <w:pPr>
        <w:widowControl w:val="0"/>
        <w:spacing w:before="120" w:after="120"/>
        <w:rPr>
          <w:spacing w:val="-2"/>
          <w:szCs w:val="28"/>
          <w:lang w:val="sv-SE"/>
        </w:rPr>
      </w:pPr>
      <w:r>
        <w:rPr>
          <w:spacing w:val="-2"/>
          <w:szCs w:val="28"/>
          <w:lang w:val="sv-SE"/>
        </w:rPr>
        <w:tab/>
        <w:t>- D</w:t>
      </w:r>
      <w:r w:rsidRPr="00371488">
        <w:rPr>
          <w:spacing w:val="-2"/>
          <w:szCs w:val="28"/>
          <w:lang w:val="sv-SE"/>
        </w:rPr>
        <w:t>ự</w:t>
      </w:r>
      <w:r>
        <w:rPr>
          <w:spacing w:val="-2"/>
          <w:szCs w:val="28"/>
          <w:lang w:val="sv-SE"/>
        </w:rPr>
        <w:t xml:space="preserve"> th</w:t>
      </w:r>
      <w:r w:rsidRPr="00371488">
        <w:rPr>
          <w:spacing w:val="-2"/>
          <w:szCs w:val="28"/>
          <w:lang w:val="sv-SE"/>
        </w:rPr>
        <w:t>ảo</w:t>
      </w:r>
      <w:r>
        <w:rPr>
          <w:spacing w:val="-2"/>
          <w:szCs w:val="28"/>
          <w:lang w:val="sv-SE"/>
        </w:rPr>
        <w:t xml:space="preserve"> </w:t>
      </w:r>
      <w:r w:rsidRPr="0049591B">
        <w:rPr>
          <w:spacing w:val="-2"/>
          <w:szCs w:val="28"/>
          <w:lang w:val="sv-SE"/>
        </w:rPr>
        <w:t xml:space="preserve">Nghị định quy định </w:t>
      </w:r>
      <w:r>
        <w:rPr>
          <w:spacing w:val="-2"/>
          <w:szCs w:val="28"/>
          <w:lang w:val="sv-SE"/>
        </w:rPr>
        <w:t>về nguyên tắc chung c</w:t>
      </w:r>
      <w:r w:rsidRPr="00BA4ABD">
        <w:rPr>
          <w:spacing w:val="-2"/>
          <w:szCs w:val="28"/>
          <w:lang w:val="sv-SE"/>
        </w:rPr>
        <w:t>ủa</w:t>
      </w:r>
      <w:r>
        <w:rPr>
          <w:spacing w:val="-2"/>
          <w:szCs w:val="28"/>
          <w:lang w:val="sv-SE"/>
        </w:rPr>
        <w:t xml:space="preserve"> vi</w:t>
      </w:r>
      <w:r w:rsidRPr="00BA4ABD">
        <w:rPr>
          <w:spacing w:val="-2"/>
          <w:szCs w:val="28"/>
          <w:lang w:val="sv-SE"/>
        </w:rPr>
        <w:t>ệc</w:t>
      </w:r>
      <w:r>
        <w:rPr>
          <w:spacing w:val="-2"/>
          <w:szCs w:val="28"/>
          <w:lang w:val="sv-SE"/>
        </w:rPr>
        <w:t xml:space="preserve"> </w:t>
      </w:r>
      <w:r w:rsidRPr="00BA4ABD">
        <w:rPr>
          <w:spacing w:val="-2"/>
          <w:szCs w:val="28"/>
          <w:lang w:val="sv-SE"/>
        </w:rPr>
        <w:t>xây dựng thông tin hóa đơn điện tử, chứng từ điện tử</w:t>
      </w:r>
      <w:r>
        <w:rPr>
          <w:spacing w:val="-2"/>
          <w:szCs w:val="28"/>
          <w:lang w:val="sv-SE"/>
        </w:rPr>
        <w:t>, q</w:t>
      </w:r>
      <w:r w:rsidRPr="0049591B">
        <w:rPr>
          <w:spacing w:val="-2"/>
          <w:szCs w:val="28"/>
          <w:lang w:val="sv-SE"/>
        </w:rPr>
        <w:t xml:space="preserve">uy định </w:t>
      </w:r>
      <w:r>
        <w:rPr>
          <w:spacing w:val="-2"/>
          <w:szCs w:val="28"/>
          <w:lang w:val="sv-SE"/>
        </w:rPr>
        <w:t>về x</w:t>
      </w:r>
      <w:r w:rsidRPr="00713A59">
        <w:rPr>
          <w:bCs/>
          <w:color w:val="000000"/>
          <w:kern w:val="36"/>
          <w:szCs w:val="28"/>
          <w:lang w:val="sv-SE"/>
        </w:rPr>
        <w:t xml:space="preserve">ây dựng hạ tầng kỹ thuật công nghệ thông tin, hệ thống phần mềm phục vụ quản lý, vận hành, khai thác hệ thống thông </w:t>
      </w:r>
      <w:r w:rsidRPr="00713A59">
        <w:rPr>
          <w:bCs/>
          <w:color w:val="000000"/>
          <w:kern w:val="36"/>
          <w:szCs w:val="28"/>
          <w:lang w:val="sv-SE"/>
        </w:rPr>
        <w:lastRenderedPageBreak/>
        <w:t>tin hóa đơn điện tử, chứng từ điện tử</w:t>
      </w:r>
      <w:r>
        <w:rPr>
          <w:bCs/>
          <w:color w:val="000000"/>
          <w:kern w:val="36"/>
          <w:szCs w:val="28"/>
          <w:lang w:val="sv-SE"/>
        </w:rPr>
        <w:t xml:space="preserve"> </w:t>
      </w:r>
      <w:r w:rsidRPr="00AE2A95">
        <w:rPr>
          <w:bCs/>
          <w:i/>
          <w:color w:val="000000"/>
          <w:kern w:val="36"/>
          <w:szCs w:val="28"/>
          <w:lang w:val="sv-SE"/>
        </w:rPr>
        <w:t>(Điều 42 và Điều 43).</w:t>
      </w:r>
      <w:r>
        <w:rPr>
          <w:bCs/>
          <w:color w:val="000000"/>
          <w:kern w:val="36"/>
          <w:szCs w:val="28"/>
          <w:lang w:val="sv-SE"/>
        </w:rPr>
        <w:t xml:space="preserve"> </w:t>
      </w:r>
    </w:p>
    <w:p w14:paraId="19F0EAC8" w14:textId="77777777" w:rsidR="007204EE" w:rsidRPr="00AE2A95" w:rsidRDefault="007204EE" w:rsidP="007204EE">
      <w:pPr>
        <w:widowControl w:val="0"/>
        <w:spacing w:before="120" w:after="120"/>
        <w:rPr>
          <w:i/>
          <w:spacing w:val="-2"/>
          <w:szCs w:val="28"/>
          <w:lang w:val="sv-SE"/>
        </w:rPr>
      </w:pPr>
      <w:r>
        <w:rPr>
          <w:spacing w:val="-2"/>
          <w:szCs w:val="28"/>
          <w:lang w:val="sv-SE"/>
        </w:rPr>
        <w:tab/>
        <w:t xml:space="preserve">- Dự thảo </w:t>
      </w:r>
      <w:r w:rsidRPr="0049591B">
        <w:rPr>
          <w:spacing w:val="-2"/>
          <w:szCs w:val="28"/>
          <w:lang w:val="sv-SE"/>
        </w:rPr>
        <w:t xml:space="preserve">Nghị định quy định </w:t>
      </w:r>
      <w:r>
        <w:rPr>
          <w:spacing w:val="-2"/>
          <w:szCs w:val="28"/>
          <w:lang w:val="sv-SE"/>
        </w:rPr>
        <w:t>về x</w:t>
      </w:r>
      <w:r w:rsidRPr="0049591B">
        <w:rPr>
          <w:bCs/>
          <w:color w:val="000000"/>
          <w:spacing w:val="-6"/>
          <w:szCs w:val="28"/>
          <w:lang w:val="vi-VN"/>
        </w:rPr>
        <w:t>ây dựng, thu thập, xử lý và quản lý hệ thống thông tin về hóa đơn</w:t>
      </w:r>
      <w:r w:rsidRPr="00AE2A95">
        <w:rPr>
          <w:bCs/>
          <w:color w:val="000000"/>
          <w:spacing w:val="-6"/>
          <w:szCs w:val="28"/>
          <w:lang w:val="sv-SE"/>
        </w:rPr>
        <w:t xml:space="preserve"> điện tử, chứng từ điện tử</w:t>
      </w:r>
      <w:r>
        <w:rPr>
          <w:bCs/>
          <w:color w:val="000000"/>
          <w:spacing w:val="-6"/>
          <w:szCs w:val="28"/>
          <w:lang w:val="sv-SE"/>
        </w:rPr>
        <w:t xml:space="preserve">, </w:t>
      </w:r>
      <w:r w:rsidRPr="0049591B">
        <w:rPr>
          <w:spacing w:val="-2"/>
          <w:szCs w:val="28"/>
          <w:lang w:val="sv-SE"/>
        </w:rPr>
        <w:t xml:space="preserve">quy định </w:t>
      </w:r>
      <w:r>
        <w:rPr>
          <w:spacing w:val="-2"/>
          <w:szCs w:val="28"/>
          <w:lang w:val="sv-SE"/>
        </w:rPr>
        <w:t>về t</w:t>
      </w:r>
      <w:r w:rsidRPr="0049591B">
        <w:rPr>
          <w:bCs/>
          <w:lang w:val="vi-VN"/>
        </w:rPr>
        <w:t>ra c</w:t>
      </w:r>
      <w:r w:rsidRPr="00AE2A95">
        <w:rPr>
          <w:bCs/>
          <w:lang w:val="sv-SE"/>
        </w:rPr>
        <w:t>ứ</w:t>
      </w:r>
      <w:r w:rsidRPr="0049591B">
        <w:rPr>
          <w:bCs/>
          <w:lang w:val="vi-VN"/>
        </w:rPr>
        <w:t>u thông tin hóa đơn điện tử phục vụ kiểm tra hàng hóa lưu thông trên thị trường</w:t>
      </w:r>
      <w:r>
        <w:rPr>
          <w:bCs/>
          <w:lang w:val="sv-SE"/>
        </w:rPr>
        <w:t xml:space="preserve"> </w:t>
      </w:r>
      <w:r w:rsidRPr="00AE2A95">
        <w:rPr>
          <w:bCs/>
          <w:i/>
          <w:lang w:val="sv-SE"/>
        </w:rPr>
        <w:t xml:space="preserve">(Điều 44 và Điều 45). </w:t>
      </w:r>
    </w:p>
    <w:p w14:paraId="4A6BCB6E" w14:textId="77777777" w:rsidR="007204EE" w:rsidRPr="008F0280" w:rsidRDefault="007204EE" w:rsidP="007204EE">
      <w:pPr>
        <w:widowControl w:val="0"/>
        <w:spacing w:before="120" w:after="120"/>
        <w:rPr>
          <w:b/>
          <w:i/>
          <w:spacing w:val="-2"/>
          <w:szCs w:val="28"/>
          <w:lang w:val="sv-SE"/>
        </w:rPr>
      </w:pPr>
      <w:r>
        <w:rPr>
          <w:spacing w:val="-2"/>
          <w:szCs w:val="28"/>
          <w:lang w:val="sv-SE"/>
        </w:rPr>
        <w:tab/>
      </w:r>
      <w:r>
        <w:rPr>
          <w:b/>
          <w:i/>
          <w:spacing w:val="-2"/>
          <w:szCs w:val="28"/>
          <w:lang w:val="sv-SE"/>
        </w:rPr>
        <w:t>3</w:t>
      </w:r>
      <w:r w:rsidRPr="00BA4ABD">
        <w:rPr>
          <w:b/>
          <w:i/>
          <w:spacing w:val="-2"/>
          <w:szCs w:val="28"/>
          <w:lang w:val="sv-SE"/>
        </w:rPr>
        <w:t>.</w:t>
      </w:r>
      <w:r>
        <w:rPr>
          <w:b/>
          <w:i/>
          <w:spacing w:val="-2"/>
          <w:szCs w:val="28"/>
          <w:lang w:val="sv-SE"/>
        </w:rPr>
        <w:t>6</w:t>
      </w:r>
      <w:r w:rsidRPr="00BA4ABD">
        <w:rPr>
          <w:b/>
          <w:i/>
          <w:spacing w:val="-2"/>
          <w:szCs w:val="28"/>
          <w:lang w:val="sv-SE"/>
        </w:rPr>
        <w:t>. Quy định về quyền,</w:t>
      </w:r>
      <w:r w:rsidRPr="008F0280">
        <w:rPr>
          <w:b/>
          <w:i/>
          <w:spacing w:val="-2"/>
          <w:szCs w:val="28"/>
          <w:lang w:val="sv-SE"/>
        </w:rPr>
        <w:t xml:space="preserve"> nghĩa vụ, trách nhiệm của các tổ chức, cá nhân trong quản lý, sử dụng hóa đơn, chứng từ.</w:t>
      </w:r>
    </w:p>
    <w:p w14:paraId="24680D76" w14:textId="77777777" w:rsidR="007204EE" w:rsidRPr="00AE2A95" w:rsidRDefault="007204EE" w:rsidP="007204EE">
      <w:pPr>
        <w:widowControl w:val="0"/>
        <w:spacing w:before="120" w:after="120"/>
        <w:rPr>
          <w:spacing w:val="-2"/>
          <w:szCs w:val="28"/>
          <w:lang w:val="sv-SE"/>
        </w:rPr>
      </w:pPr>
      <w:r w:rsidRPr="00AE2A95">
        <w:rPr>
          <w:bCs/>
          <w:lang w:val="sv-SE"/>
        </w:rPr>
        <w:tab/>
        <w:t>Chương V quy định về q</w:t>
      </w:r>
      <w:r w:rsidRPr="00F93718">
        <w:rPr>
          <w:spacing w:val="-2"/>
          <w:szCs w:val="28"/>
          <w:lang w:val="sv-SE"/>
        </w:rPr>
        <w:t>uy</w:t>
      </w:r>
      <w:r w:rsidRPr="00B30599">
        <w:rPr>
          <w:spacing w:val="-2"/>
          <w:szCs w:val="28"/>
          <w:lang w:val="sv-SE"/>
        </w:rPr>
        <w:t>ề</w:t>
      </w:r>
      <w:r w:rsidRPr="0041265B">
        <w:rPr>
          <w:spacing w:val="-2"/>
          <w:szCs w:val="28"/>
          <w:lang w:val="sv-SE"/>
        </w:rPr>
        <w:t>n, nghĩa v</w:t>
      </w:r>
      <w:r w:rsidRPr="007C670C">
        <w:rPr>
          <w:spacing w:val="-2"/>
          <w:szCs w:val="28"/>
          <w:lang w:val="sv-SE"/>
        </w:rPr>
        <w:t>ụ</w:t>
      </w:r>
      <w:r w:rsidRPr="005C1909">
        <w:rPr>
          <w:spacing w:val="-2"/>
          <w:szCs w:val="28"/>
          <w:lang w:val="sv-SE"/>
        </w:rPr>
        <w:t>, trách nhi</w:t>
      </w:r>
      <w:r w:rsidRPr="009C50EF">
        <w:rPr>
          <w:spacing w:val="-2"/>
          <w:szCs w:val="28"/>
          <w:lang w:val="sv-SE"/>
        </w:rPr>
        <w:t>ệ</w:t>
      </w:r>
      <w:r w:rsidRPr="00AE2A95">
        <w:rPr>
          <w:spacing w:val="-2"/>
          <w:szCs w:val="28"/>
          <w:lang w:val="sv-SE"/>
        </w:rPr>
        <w:t xml:space="preserve">m của các tổ chức, cá nhân trong quản lý, sử dụng hóa đơn, chứng từ </w:t>
      </w:r>
      <w:r w:rsidRPr="00AE2A95">
        <w:rPr>
          <w:bCs/>
          <w:lang w:val="sv-SE"/>
        </w:rPr>
        <w:t xml:space="preserve">trên </w:t>
      </w:r>
      <w:r w:rsidRPr="00F93718">
        <w:rPr>
          <w:spacing w:val="-2"/>
          <w:szCs w:val="28"/>
          <w:lang w:val="sv-SE"/>
        </w:rPr>
        <w:t>cơ s</w:t>
      </w:r>
      <w:r w:rsidRPr="00B30599">
        <w:rPr>
          <w:spacing w:val="-2"/>
          <w:szCs w:val="28"/>
          <w:lang w:val="sv-SE"/>
        </w:rPr>
        <w:t>ở</w:t>
      </w:r>
      <w:r w:rsidRPr="0041265B">
        <w:rPr>
          <w:spacing w:val="-2"/>
          <w:szCs w:val="28"/>
          <w:lang w:val="sv-SE"/>
        </w:rPr>
        <w:t xml:space="preserve"> k</w:t>
      </w:r>
      <w:r w:rsidRPr="007C670C">
        <w:rPr>
          <w:spacing w:val="-2"/>
          <w:szCs w:val="28"/>
          <w:lang w:val="sv-SE"/>
        </w:rPr>
        <w:t>ế</w:t>
      </w:r>
      <w:r w:rsidRPr="005C1909">
        <w:rPr>
          <w:spacing w:val="-2"/>
          <w:szCs w:val="28"/>
          <w:lang w:val="sv-SE"/>
        </w:rPr>
        <w:t xml:space="preserve"> th</w:t>
      </w:r>
      <w:r w:rsidRPr="009C50EF">
        <w:rPr>
          <w:spacing w:val="-2"/>
          <w:szCs w:val="28"/>
          <w:lang w:val="sv-SE"/>
        </w:rPr>
        <w:t>ừ</w:t>
      </w:r>
      <w:r w:rsidRPr="00AE2A95">
        <w:rPr>
          <w:spacing w:val="-2"/>
          <w:szCs w:val="28"/>
          <w:lang w:val="sv-SE"/>
        </w:rPr>
        <w:t xml:space="preserve">a quy định tại Nghị định 119/2018/NĐ-CP, Nghị định 51/2010/NĐ-CP và Nghị định 04/2014/NĐ-CP với các nội dung quy định về </w:t>
      </w:r>
      <w:r w:rsidRPr="00AE2A95">
        <w:rPr>
          <w:szCs w:val="28"/>
          <w:lang w:val="sv-SE"/>
        </w:rPr>
        <w:t>quyền và nghĩa vụ của tổ chức, cá nhân bán hàng hóa, dịch vụ</w:t>
      </w:r>
      <w:r w:rsidRPr="00F93718">
        <w:rPr>
          <w:szCs w:val="28"/>
          <w:lang w:val="sv-SE"/>
        </w:rPr>
        <w:t>, t</w:t>
      </w:r>
      <w:r w:rsidRPr="00AE2A95">
        <w:rPr>
          <w:szCs w:val="28"/>
          <w:lang w:val="sv-SE"/>
        </w:rPr>
        <w:t>rách nhiệm của người mua hàng hóa, dịch vụ</w:t>
      </w:r>
      <w:r w:rsidRPr="00F93718">
        <w:rPr>
          <w:szCs w:val="28"/>
          <w:lang w:val="sv-SE"/>
        </w:rPr>
        <w:t xml:space="preserve">, </w:t>
      </w:r>
      <w:r w:rsidRPr="00AE2A95">
        <w:rPr>
          <w:szCs w:val="28"/>
          <w:lang w:val="sv-SE"/>
        </w:rPr>
        <w:t>t</w:t>
      </w:r>
      <w:r w:rsidRPr="00F93718">
        <w:rPr>
          <w:szCs w:val="28"/>
        </w:rPr>
        <w:t>rách nhi</w:t>
      </w:r>
      <w:r w:rsidRPr="00B30599">
        <w:rPr>
          <w:szCs w:val="28"/>
        </w:rPr>
        <w:t>ệ</w:t>
      </w:r>
      <w:r w:rsidRPr="0041265B">
        <w:rPr>
          <w:szCs w:val="28"/>
        </w:rPr>
        <w:t>m c</w:t>
      </w:r>
      <w:r w:rsidRPr="007C670C">
        <w:rPr>
          <w:szCs w:val="28"/>
        </w:rPr>
        <w:t>ủ</w:t>
      </w:r>
      <w:r w:rsidRPr="005C1909">
        <w:rPr>
          <w:szCs w:val="28"/>
        </w:rPr>
        <w:t>a cơ quan thu</w:t>
      </w:r>
      <w:r w:rsidRPr="009C50EF">
        <w:rPr>
          <w:szCs w:val="28"/>
        </w:rPr>
        <w:t>ế</w:t>
      </w:r>
      <w:r w:rsidRPr="00AE2A95">
        <w:rPr>
          <w:szCs w:val="28"/>
        </w:rPr>
        <w:t xml:space="preserve"> trong quản lý hóa đơn</w:t>
      </w:r>
      <w:r w:rsidRPr="00AE2A95">
        <w:rPr>
          <w:szCs w:val="28"/>
          <w:lang w:val="sv-SE"/>
        </w:rPr>
        <w:t>, chứng từ</w:t>
      </w:r>
      <w:r w:rsidRPr="00F93718">
        <w:rPr>
          <w:szCs w:val="28"/>
        </w:rPr>
        <w:t xml:space="preserve">, </w:t>
      </w:r>
      <w:r w:rsidRPr="00AE2A95">
        <w:rPr>
          <w:bCs/>
          <w:szCs w:val="28"/>
          <w:lang w:val="sv-SE"/>
        </w:rPr>
        <w:t>t</w:t>
      </w:r>
      <w:r w:rsidRPr="00F93718">
        <w:rPr>
          <w:bCs/>
          <w:szCs w:val="28"/>
          <w:lang w:val="vi-VN"/>
        </w:rPr>
        <w:t>rách nhi</w:t>
      </w:r>
      <w:r w:rsidRPr="00B30599">
        <w:rPr>
          <w:bCs/>
          <w:szCs w:val="28"/>
          <w:lang w:val="vi-VN"/>
        </w:rPr>
        <w:t>ệ</w:t>
      </w:r>
      <w:r w:rsidRPr="0041265B">
        <w:rPr>
          <w:bCs/>
          <w:szCs w:val="28"/>
          <w:lang w:val="vi-VN"/>
        </w:rPr>
        <w:t>m chia</w:t>
      </w:r>
      <w:r w:rsidRPr="007C670C">
        <w:rPr>
          <w:bCs/>
          <w:szCs w:val="28"/>
          <w:lang w:val="vi-VN"/>
        </w:rPr>
        <w:t xml:space="preserve"> s</w:t>
      </w:r>
      <w:r w:rsidRPr="005C1909">
        <w:rPr>
          <w:bCs/>
          <w:szCs w:val="28"/>
          <w:lang w:val="vi-VN"/>
        </w:rPr>
        <w:t>ẻ</w:t>
      </w:r>
      <w:r w:rsidRPr="009C50EF">
        <w:rPr>
          <w:bCs/>
          <w:szCs w:val="28"/>
          <w:lang w:val="vi-VN"/>
        </w:rPr>
        <w:t>, k</w:t>
      </w:r>
      <w:r w:rsidRPr="00AE2A95">
        <w:rPr>
          <w:bCs/>
          <w:szCs w:val="28"/>
          <w:lang w:val="vi-VN"/>
        </w:rPr>
        <w:t>ết nối thông tin, dữ liệu</w:t>
      </w:r>
      <w:r w:rsidRPr="00AE2A95">
        <w:rPr>
          <w:bCs/>
          <w:szCs w:val="28"/>
          <w:lang w:val="sv-SE"/>
        </w:rPr>
        <w:t xml:space="preserve"> hóa đơn điện tử</w:t>
      </w:r>
      <w:r w:rsidRPr="00F93718">
        <w:rPr>
          <w:bCs/>
          <w:szCs w:val="28"/>
          <w:lang w:val="sv-SE"/>
        </w:rPr>
        <w:t>, ch</w:t>
      </w:r>
      <w:r w:rsidRPr="00B30599">
        <w:rPr>
          <w:bCs/>
          <w:szCs w:val="28"/>
          <w:lang w:val="sv-SE"/>
        </w:rPr>
        <w:t>ứ</w:t>
      </w:r>
      <w:r w:rsidRPr="0041265B">
        <w:rPr>
          <w:bCs/>
          <w:szCs w:val="28"/>
          <w:lang w:val="sv-SE"/>
        </w:rPr>
        <w:t>ng t</w:t>
      </w:r>
      <w:r w:rsidRPr="007C670C">
        <w:rPr>
          <w:bCs/>
          <w:szCs w:val="28"/>
          <w:lang w:val="sv-SE"/>
        </w:rPr>
        <w:t>ừ</w:t>
      </w:r>
      <w:r w:rsidRPr="005C1909">
        <w:rPr>
          <w:bCs/>
          <w:szCs w:val="28"/>
          <w:lang w:val="sv-SE"/>
        </w:rPr>
        <w:t xml:space="preserve"> đi</w:t>
      </w:r>
      <w:r w:rsidRPr="009C50EF">
        <w:rPr>
          <w:bCs/>
          <w:szCs w:val="28"/>
          <w:lang w:val="sv-SE"/>
        </w:rPr>
        <w:t>ệ</w:t>
      </w:r>
      <w:r w:rsidRPr="00AE2A95">
        <w:rPr>
          <w:bCs/>
          <w:szCs w:val="28"/>
          <w:lang w:val="sv-SE"/>
        </w:rPr>
        <w:t>n tử</w:t>
      </w:r>
      <w:r>
        <w:rPr>
          <w:bCs/>
          <w:szCs w:val="28"/>
          <w:lang w:val="sv-SE"/>
        </w:rPr>
        <w:t xml:space="preserve"> </w:t>
      </w:r>
      <w:r w:rsidRPr="00AE2A95">
        <w:rPr>
          <w:bCs/>
          <w:i/>
          <w:szCs w:val="28"/>
          <w:lang w:val="sv-SE"/>
        </w:rPr>
        <w:t xml:space="preserve">(tại các </w:t>
      </w:r>
      <w:r w:rsidRPr="00B30599">
        <w:rPr>
          <w:bCs/>
          <w:i/>
          <w:szCs w:val="28"/>
          <w:lang w:val="sv-SE"/>
        </w:rPr>
        <w:t>đ</w:t>
      </w:r>
      <w:r w:rsidRPr="00AE2A95">
        <w:rPr>
          <w:bCs/>
          <w:i/>
          <w:szCs w:val="28"/>
          <w:lang w:val="sv-SE"/>
        </w:rPr>
        <w:t>iều từ Điều 46 đến Điều 50).</w:t>
      </w:r>
      <w:r>
        <w:rPr>
          <w:bCs/>
          <w:szCs w:val="28"/>
          <w:lang w:val="sv-SE"/>
        </w:rPr>
        <w:t xml:space="preserve"> </w:t>
      </w:r>
    </w:p>
    <w:p w14:paraId="46D91AD1" w14:textId="77777777" w:rsidR="007204EE" w:rsidRDefault="007204EE" w:rsidP="007204EE">
      <w:pPr>
        <w:widowControl w:val="0"/>
        <w:spacing w:before="120" w:after="120"/>
        <w:rPr>
          <w:b/>
          <w:i/>
          <w:spacing w:val="-2"/>
          <w:szCs w:val="28"/>
          <w:lang w:val="sv-SE"/>
        </w:rPr>
      </w:pPr>
      <w:r>
        <w:rPr>
          <w:spacing w:val="-2"/>
          <w:szCs w:val="28"/>
          <w:lang w:val="sv-SE"/>
        </w:rPr>
        <w:tab/>
      </w:r>
      <w:r>
        <w:rPr>
          <w:b/>
          <w:i/>
          <w:spacing w:val="-2"/>
          <w:szCs w:val="28"/>
          <w:lang w:val="sv-SE"/>
        </w:rPr>
        <w:t xml:space="preserve">3.7. </w:t>
      </w:r>
      <w:r w:rsidRPr="008F0280">
        <w:rPr>
          <w:b/>
          <w:i/>
          <w:spacing w:val="-2"/>
          <w:szCs w:val="28"/>
          <w:lang w:val="sv-SE"/>
        </w:rPr>
        <w:t xml:space="preserve">Về </w:t>
      </w:r>
      <w:r>
        <w:rPr>
          <w:b/>
          <w:i/>
          <w:spacing w:val="-2"/>
          <w:szCs w:val="28"/>
          <w:lang w:val="sv-SE"/>
        </w:rPr>
        <w:t xml:space="preserve"> </w:t>
      </w:r>
      <w:r w:rsidRPr="00BA4ABD">
        <w:rPr>
          <w:b/>
          <w:i/>
          <w:spacing w:val="-2"/>
          <w:szCs w:val="28"/>
          <w:lang w:val="sv-SE"/>
        </w:rPr>
        <w:t>đ</w:t>
      </w:r>
      <w:r>
        <w:rPr>
          <w:b/>
          <w:i/>
          <w:spacing w:val="-2"/>
          <w:szCs w:val="28"/>
          <w:lang w:val="sv-SE"/>
        </w:rPr>
        <w:t>i</w:t>
      </w:r>
      <w:r w:rsidRPr="00BA4ABD">
        <w:rPr>
          <w:b/>
          <w:i/>
          <w:spacing w:val="-2"/>
          <w:szCs w:val="28"/>
          <w:lang w:val="sv-SE"/>
        </w:rPr>
        <w:t>ề</w:t>
      </w:r>
      <w:r>
        <w:rPr>
          <w:b/>
          <w:i/>
          <w:spacing w:val="-2"/>
          <w:szCs w:val="28"/>
          <w:lang w:val="sv-SE"/>
        </w:rPr>
        <w:t>u kho</w:t>
      </w:r>
      <w:r w:rsidRPr="00BA4ABD">
        <w:rPr>
          <w:b/>
          <w:i/>
          <w:spacing w:val="-2"/>
          <w:szCs w:val="28"/>
          <w:lang w:val="sv-SE"/>
        </w:rPr>
        <w:t>ản</w:t>
      </w:r>
      <w:r>
        <w:rPr>
          <w:b/>
          <w:i/>
          <w:spacing w:val="-2"/>
          <w:szCs w:val="28"/>
          <w:lang w:val="sv-SE"/>
        </w:rPr>
        <w:t xml:space="preserve"> chuy</w:t>
      </w:r>
      <w:r w:rsidRPr="00BA4ABD">
        <w:rPr>
          <w:b/>
          <w:i/>
          <w:spacing w:val="-2"/>
          <w:szCs w:val="28"/>
          <w:lang w:val="sv-SE"/>
        </w:rPr>
        <w:t>ể</w:t>
      </w:r>
      <w:r>
        <w:rPr>
          <w:b/>
          <w:i/>
          <w:spacing w:val="-2"/>
          <w:szCs w:val="28"/>
          <w:lang w:val="sv-SE"/>
        </w:rPr>
        <w:t>n ti</w:t>
      </w:r>
      <w:r w:rsidRPr="00BA4ABD">
        <w:rPr>
          <w:b/>
          <w:i/>
          <w:spacing w:val="-2"/>
          <w:szCs w:val="28"/>
          <w:lang w:val="sv-SE"/>
        </w:rPr>
        <w:t>ế</w:t>
      </w:r>
      <w:r>
        <w:rPr>
          <w:b/>
          <w:i/>
          <w:spacing w:val="-2"/>
          <w:szCs w:val="28"/>
          <w:lang w:val="sv-SE"/>
        </w:rPr>
        <w:t xml:space="preserve">p </w:t>
      </w:r>
    </w:p>
    <w:p w14:paraId="11E6B18D" w14:textId="77777777" w:rsidR="007204EE" w:rsidRDefault="007204EE" w:rsidP="007204EE">
      <w:pPr>
        <w:widowControl w:val="0"/>
        <w:spacing w:before="120" w:after="120"/>
      </w:pPr>
      <w:r w:rsidRPr="00AE2A95">
        <w:rPr>
          <w:szCs w:val="28"/>
          <w:lang w:val="sv-SE"/>
        </w:rPr>
        <w:tab/>
        <w:t>Nghị định 119/2018/NĐ-CP có hiệu lực thi hành từ ngày 01/11/2018 và quy định việc tổ chức thực hiện hóa đơn điện tử chậm nhất là ngày 01/11/2020</w:t>
      </w:r>
      <w:r>
        <w:rPr>
          <w:szCs w:val="28"/>
          <w:lang w:val="sv-SE"/>
        </w:rPr>
        <w:t xml:space="preserve"> v</w:t>
      </w:r>
      <w:r w:rsidRPr="005C1909">
        <w:rPr>
          <w:szCs w:val="28"/>
          <w:lang w:val="sv-SE"/>
        </w:rPr>
        <w:t>à</w:t>
      </w:r>
      <w:r>
        <w:rPr>
          <w:szCs w:val="28"/>
          <w:lang w:val="sv-SE"/>
        </w:rPr>
        <w:t xml:space="preserve"> b</w:t>
      </w:r>
      <w:r w:rsidRPr="005C1909">
        <w:rPr>
          <w:szCs w:val="28"/>
          <w:lang w:val="sv-SE"/>
        </w:rPr>
        <w:t>ãi</w:t>
      </w:r>
      <w:r>
        <w:rPr>
          <w:szCs w:val="28"/>
          <w:lang w:val="sv-SE"/>
        </w:rPr>
        <w:t xml:space="preserve"> b</w:t>
      </w:r>
      <w:r w:rsidRPr="005C1909">
        <w:rPr>
          <w:szCs w:val="28"/>
          <w:lang w:val="sv-SE"/>
        </w:rPr>
        <w:t>ỏ</w:t>
      </w:r>
      <w:r>
        <w:rPr>
          <w:szCs w:val="28"/>
          <w:lang w:val="sv-SE"/>
        </w:rPr>
        <w:t xml:space="preserve"> c</w:t>
      </w:r>
      <w:r w:rsidRPr="005C1909">
        <w:rPr>
          <w:szCs w:val="28"/>
          <w:lang w:val="sv-SE"/>
        </w:rPr>
        <w:t>á</w:t>
      </w:r>
      <w:r>
        <w:rPr>
          <w:szCs w:val="28"/>
          <w:lang w:val="sv-SE"/>
        </w:rPr>
        <w:t xml:space="preserve">c </w:t>
      </w:r>
      <w:r>
        <w:rPr>
          <w:lang w:val="vi-VN"/>
        </w:rPr>
        <w:t>Nghị định: số 51/2010/NĐ-CP ngày 14 tháng 5 năm 2010 và số 04/2014/NĐ-CP ngày 17 tháng 01 năm 2014 của Chính phủ quy định về hóa đơn bán hàng hóa, cung ứng dịch vụ</w:t>
      </w:r>
      <w:r>
        <w:t>. C</w:t>
      </w:r>
      <w:r w:rsidRPr="005C1909">
        <w:t>á</w:t>
      </w:r>
      <w:r>
        <w:t>c Ngh</w:t>
      </w:r>
      <w:r w:rsidRPr="00B30599">
        <w:t>ị</w:t>
      </w:r>
      <w:r>
        <w:t xml:space="preserve"> </w:t>
      </w:r>
      <w:r w:rsidRPr="00B30599">
        <w:t>định</w:t>
      </w:r>
      <w:r>
        <w:t xml:space="preserve"> n</w:t>
      </w:r>
      <w:r w:rsidRPr="005C1909">
        <w:t>à</w:t>
      </w:r>
      <w:r>
        <w:t>y h</w:t>
      </w:r>
      <w:r w:rsidRPr="005C1909">
        <w:t>ết</w:t>
      </w:r>
      <w:r>
        <w:t xml:space="preserve"> hi</w:t>
      </w:r>
      <w:r w:rsidRPr="005C1909">
        <w:t>ệu</w:t>
      </w:r>
      <w:r>
        <w:t xml:space="preserve"> l</w:t>
      </w:r>
      <w:r w:rsidRPr="005C1909">
        <w:t>ực</w:t>
      </w:r>
      <w:r>
        <w:t xml:space="preserve"> t</w:t>
      </w:r>
      <w:r w:rsidRPr="005C1909">
        <w:t>ừ</w:t>
      </w:r>
      <w:r>
        <w:t xml:space="preserve"> ng</w:t>
      </w:r>
      <w:r w:rsidRPr="005C1909">
        <w:t>à</w:t>
      </w:r>
      <w:r>
        <w:t xml:space="preserve">y 1/11/2020. </w:t>
      </w:r>
    </w:p>
    <w:p w14:paraId="5A3617BB" w14:textId="77777777" w:rsidR="007204EE" w:rsidRDefault="007204EE" w:rsidP="007204EE">
      <w:pPr>
        <w:widowControl w:val="0"/>
        <w:spacing w:before="120" w:after="120"/>
        <w:rPr>
          <w:spacing w:val="-2"/>
          <w:szCs w:val="28"/>
          <w:lang w:val="sv-SE"/>
        </w:rPr>
      </w:pPr>
      <w:r>
        <w:rPr>
          <w:spacing w:val="-2"/>
          <w:szCs w:val="28"/>
          <w:lang w:val="sv-SE"/>
        </w:rPr>
        <w:tab/>
        <w:t>Tuy nhiên, tại Kho</w:t>
      </w:r>
      <w:r w:rsidRPr="005C1909">
        <w:rPr>
          <w:spacing w:val="-2"/>
          <w:szCs w:val="28"/>
          <w:lang w:val="sv-SE"/>
        </w:rPr>
        <w:t>ản</w:t>
      </w:r>
      <w:r>
        <w:rPr>
          <w:spacing w:val="-2"/>
          <w:szCs w:val="28"/>
          <w:lang w:val="sv-SE"/>
        </w:rPr>
        <w:t xml:space="preserve"> 1, Kho</w:t>
      </w:r>
      <w:r w:rsidRPr="005C1909">
        <w:rPr>
          <w:spacing w:val="-2"/>
          <w:szCs w:val="28"/>
          <w:lang w:val="sv-SE"/>
        </w:rPr>
        <w:t>ản</w:t>
      </w:r>
      <w:r>
        <w:rPr>
          <w:spacing w:val="-2"/>
          <w:szCs w:val="28"/>
          <w:lang w:val="sv-SE"/>
        </w:rPr>
        <w:t xml:space="preserve"> 2 </w:t>
      </w:r>
      <w:r w:rsidRPr="0052309A">
        <w:rPr>
          <w:lang w:val="nl-NL"/>
        </w:rPr>
        <w:t>Điều 151</w:t>
      </w:r>
      <w:r>
        <w:rPr>
          <w:lang w:val="nl-NL"/>
        </w:rPr>
        <w:t xml:space="preserve"> </w:t>
      </w:r>
      <w:r>
        <w:rPr>
          <w:spacing w:val="-2"/>
          <w:szCs w:val="28"/>
          <w:lang w:val="sv-SE"/>
        </w:rPr>
        <w:t>Luật Quản lý thuế số 38/2019/QH14 quy định:</w:t>
      </w:r>
    </w:p>
    <w:p w14:paraId="683952E6" w14:textId="77777777" w:rsidR="007204EE" w:rsidRPr="00AE2A95" w:rsidRDefault="007204EE" w:rsidP="007204EE">
      <w:pPr>
        <w:widowControl w:val="0"/>
        <w:spacing w:before="120" w:after="120" w:line="254" w:lineRule="auto"/>
        <w:ind w:firstLineChars="202" w:firstLine="568"/>
        <w:rPr>
          <w:b/>
          <w:i/>
          <w:szCs w:val="28"/>
          <w:lang w:val="nl-NL"/>
        </w:rPr>
      </w:pPr>
      <w:r w:rsidRPr="00AE2A95">
        <w:rPr>
          <w:b/>
          <w:i/>
          <w:szCs w:val="28"/>
          <w:lang w:val="nl-NL"/>
        </w:rPr>
        <w:t>“Điều 151. Hiệu lực thi hành</w:t>
      </w:r>
    </w:p>
    <w:p w14:paraId="7A2E25F5" w14:textId="77777777" w:rsidR="007204EE" w:rsidRPr="00BC3DAF" w:rsidRDefault="007204EE" w:rsidP="007204EE">
      <w:pPr>
        <w:widowControl w:val="0"/>
        <w:spacing w:before="120" w:after="120" w:line="254" w:lineRule="auto"/>
        <w:ind w:firstLineChars="202" w:firstLine="566"/>
        <w:rPr>
          <w:i/>
          <w:szCs w:val="28"/>
          <w:lang w:val="nl-NL"/>
        </w:rPr>
      </w:pPr>
      <w:r w:rsidRPr="00BC3DAF">
        <w:rPr>
          <w:i/>
          <w:szCs w:val="28"/>
          <w:lang w:val="nl-NL"/>
        </w:rPr>
        <w:t xml:space="preserve">1. Luật này có hiệu lực thi hành từ ngày 01 tháng 7 năm 2020, trừ trường hợp quy định tại khoản 2 Điều này. </w:t>
      </w:r>
    </w:p>
    <w:p w14:paraId="57731121" w14:textId="77777777" w:rsidR="007204EE" w:rsidRPr="0052309A" w:rsidRDefault="007204EE" w:rsidP="007204EE">
      <w:pPr>
        <w:widowControl w:val="0"/>
        <w:spacing w:before="120" w:after="120" w:line="254" w:lineRule="auto"/>
        <w:ind w:firstLineChars="202" w:firstLine="566"/>
        <w:rPr>
          <w:szCs w:val="28"/>
          <w:lang w:val="nl-NL"/>
        </w:rPr>
      </w:pPr>
      <w:r w:rsidRPr="00BC3DAF">
        <w:rPr>
          <w:i/>
          <w:szCs w:val="28"/>
          <w:lang w:val="nl-NL"/>
        </w:rPr>
        <w:t xml:space="preserve">2. </w:t>
      </w:r>
      <w:r w:rsidRPr="00BC3DAF">
        <w:rPr>
          <w:bCs/>
          <w:i/>
          <w:szCs w:val="28"/>
          <w:lang w:val="nl-NL"/>
        </w:rPr>
        <w:t>Quy định</w:t>
      </w:r>
      <w:r w:rsidRPr="00BC3DAF">
        <w:rPr>
          <w:i/>
          <w:szCs w:val="28"/>
          <w:lang w:val="nl-NL"/>
        </w:rPr>
        <w:t xml:space="preserve"> về hóa đơn, chứng từ điện tử </w:t>
      </w:r>
      <w:r w:rsidRPr="00BC3DAF">
        <w:rPr>
          <w:bCs/>
          <w:i/>
          <w:szCs w:val="28"/>
          <w:lang w:val="nl-NL"/>
        </w:rPr>
        <w:t>của</w:t>
      </w:r>
      <w:r w:rsidRPr="00BC3DAF">
        <w:rPr>
          <w:i/>
          <w:szCs w:val="28"/>
          <w:lang w:val="nl-NL"/>
        </w:rPr>
        <w:t xml:space="preserve"> Luật này có hiệu lực thi hành từ ngày 01 tháng 7 năm 2022; khuyến khích cơ quan, tổ chức, cá nhân áp dụng quy định về hóa đơn, chứng từ điện tử của Luật này trước ngày 01 tháng 7 năm 2022.”</w:t>
      </w:r>
      <w:r w:rsidRPr="00BC3DAF">
        <w:rPr>
          <w:i/>
          <w:szCs w:val="28"/>
          <w:lang w:val="nl-NL"/>
        </w:rPr>
        <w:tab/>
      </w:r>
    </w:p>
    <w:p w14:paraId="7464F2D5" w14:textId="77777777" w:rsidR="007204EE" w:rsidRDefault="007204EE" w:rsidP="007204EE">
      <w:pPr>
        <w:widowControl w:val="0"/>
        <w:spacing w:before="120" w:after="120"/>
        <w:rPr>
          <w:szCs w:val="28"/>
          <w:lang w:val="nl-NL"/>
        </w:rPr>
      </w:pPr>
      <w:r>
        <w:rPr>
          <w:spacing w:val="-2"/>
          <w:szCs w:val="28"/>
          <w:lang w:val="sv-SE"/>
        </w:rPr>
        <w:tab/>
        <w:t xml:space="preserve">Do đó, trên cơ sở quy định tại Luật Quản lý thuế, tại Điều 49 dự thảo Nghị định quy định hiệu lực thi hành từ </w:t>
      </w:r>
      <w:r w:rsidRPr="00AE2A95">
        <w:rPr>
          <w:szCs w:val="28"/>
          <w:lang w:val="nl-NL"/>
        </w:rPr>
        <w:t xml:space="preserve">01 tháng 7 năm 2020 và việc áp dụng hóa đơn, chứng từ </w:t>
      </w:r>
      <w:r w:rsidRPr="00F93718">
        <w:rPr>
          <w:szCs w:val="28"/>
          <w:lang w:val="nl-NL"/>
        </w:rPr>
        <w:t>đ</w:t>
      </w:r>
      <w:r>
        <w:rPr>
          <w:szCs w:val="28"/>
          <w:lang w:val="nl-NL"/>
        </w:rPr>
        <w:t>i</w:t>
      </w:r>
      <w:r w:rsidRPr="00F93718">
        <w:rPr>
          <w:szCs w:val="28"/>
          <w:lang w:val="nl-NL"/>
        </w:rPr>
        <w:t>ện</w:t>
      </w:r>
      <w:r>
        <w:rPr>
          <w:szCs w:val="28"/>
          <w:lang w:val="nl-NL"/>
        </w:rPr>
        <w:t xml:space="preserve"> t</w:t>
      </w:r>
      <w:r w:rsidRPr="00F93718">
        <w:rPr>
          <w:szCs w:val="28"/>
          <w:lang w:val="nl-NL"/>
        </w:rPr>
        <w:t>ử</w:t>
      </w:r>
      <w:r>
        <w:rPr>
          <w:szCs w:val="28"/>
          <w:lang w:val="nl-NL"/>
        </w:rPr>
        <w:t xml:space="preserve"> </w:t>
      </w:r>
      <w:r w:rsidRPr="00AE2A95">
        <w:rPr>
          <w:szCs w:val="28"/>
          <w:lang w:val="nl-NL"/>
        </w:rPr>
        <w:t xml:space="preserve">theo quy định tại Nghị định này không muộn hơn </w:t>
      </w:r>
      <w:r w:rsidRPr="00F93718">
        <w:rPr>
          <w:szCs w:val="28"/>
          <w:lang w:val="vi-VN"/>
        </w:rPr>
        <w:t xml:space="preserve">ngày 01 tháng </w:t>
      </w:r>
      <w:r w:rsidRPr="00AE2A95">
        <w:rPr>
          <w:szCs w:val="28"/>
          <w:lang w:val="nl-NL"/>
        </w:rPr>
        <w:t>07</w:t>
      </w:r>
      <w:r w:rsidRPr="00F93718">
        <w:rPr>
          <w:szCs w:val="28"/>
          <w:lang w:val="vi-VN"/>
        </w:rPr>
        <w:t xml:space="preserve"> năm 202</w:t>
      </w:r>
      <w:r w:rsidRPr="00AE2A95">
        <w:rPr>
          <w:szCs w:val="28"/>
          <w:lang w:val="nl-NL"/>
        </w:rPr>
        <w:t xml:space="preserve">2. </w:t>
      </w:r>
    </w:p>
    <w:p w14:paraId="5FC4B908" w14:textId="77777777" w:rsidR="007204EE" w:rsidRPr="00AC7EFD" w:rsidRDefault="007204EE" w:rsidP="007204EE">
      <w:pPr>
        <w:widowControl w:val="0"/>
        <w:spacing w:before="120" w:after="120"/>
        <w:ind w:firstLine="720"/>
        <w:rPr>
          <w:szCs w:val="28"/>
          <w:lang w:val="sv-SE"/>
        </w:rPr>
      </w:pPr>
      <w:r>
        <w:rPr>
          <w:spacing w:val="-2"/>
          <w:szCs w:val="28"/>
          <w:lang w:val="sv-SE"/>
        </w:rPr>
        <w:t>T</w:t>
      </w:r>
      <w:r w:rsidRPr="00BA4ABD">
        <w:rPr>
          <w:spacing w:val="-2"/>
          <w:szCs w:val="28"/>
          <w:lang w:val="sv-SE"/>
        </w:rPr>
        <w:t>ừ</w:t>
      </w:r>
      <w:r>
        <w:rPr>
          <w:spacing w:val="-2"/>
          <w:szCs w:val="28"/>
          <w:lang w:val="sv-SE"/>
        </w:rPr>
        <w:t xml:space="preserve"> ng</w:t>
      </w:r>
      <w:r w:rsidRPr="00BA4ABD">
        <w:rPr>
          <w:spacing w:val="-2"/>
          <w:szCs w:val="28"/>
          <w:lang w:val="sv-SE"/>
        </w:rPr>
        <w:t>ày</w:t>
      </w:r>
      <w:r>
        <w:rPr>
          <w:spacing w:val="-2"/>
          <w:szCs w:val="28"/>
          <w:lang w:val="sv-SE"/>
        </w:rPr>
        <w:t xml:space="preserve"> 01/07/2020, </w:t>
      </w:r>
      <w:r w:rsidRPr="00AC7EFD">
        <w:rPr>
          <w:szCs w:val="28"/>
          <w:lang w:val="sv-SE"/>
        </w:rPr>
        <w:t xml:space="preserve">Nghị định số 119/2018/NĐ-CP ngày 12 tháng 9 năm 2018 của Chính phủ và </w:t>
      </w:r>
      <w:r>
        <w:rPr>
          <w:szCs w:val="28"/>
          <w:lang w:val="sv-SE"/>
        </w:rPr>
        <w:t xml:space="preserve"> c</w:t>
      </w:r>
      <w:r w:rsidRPr="0041265B">
        <w:rPr>
          <w:szCs w:val="28"/>
          <w:lang w:val="sv-SE"/>
        </w:rPr>
        <w:t>á</w:t>
      </w:r>
      <w:r>
        <w:rPr>
          <w:szCs w:val="28"/>
          <w:lang w:val="sv-SE"/>
        </w:rPr>
        <w:t xml:space="preserve">c </w:t>
      </w:r>
      <w:r w:rsidRPr="004F046E">
        <w:rPr>
          <w:szCs w:val="28"/>
          <w:lang w:val="nl-NL"/>
        </w:rPr>
        <w:t>văn bản</w:t>
      </w:r>
      <w:r w:rsidRPr="00AC7EFD">
        <w:rPr>
          <w:szCs w:val="28"/>
          <w:lang w:val="sv-SE"/>
        </w:rPr>
        <w:t xml:space="preserve"> </w:t>
      </w:r>
      <w:r w:rsidRPr="004F046E">
        <w:rPr>
          <w:bCs/>
          <w:szCs w:val="28"/>
          <w:lang w:val="nl-NL"/>
        </w:rPr>
        <w:t>hướng dẫn</w:t>
      </w:r>
      <w:r w:rsidRPr="00AC7EFD">
        <w:rPr>
          <w:szCs w:val="28"/>
          <w:lang w:val="sv-SE"/>
        </w:rPr>
        <w:t xml:space="preserve"> </w:t>
      </w:r>
      <w:r>
        <w:rPr>
          <w:szCs w:val="28"/>
          <w:lang w:val="sv-SE"/>
        </w:rPr>
        <w:t>Ngh</w:t>
      </w:r>
      <w:r w:rsidRPr="0041265B">
        <w:rPr>
          <w:szCs w:val="28"/>
          <w:lang w:val="sv-SE"/>
        </w:rPr>
        <w:t>ị</w:t>
      </w:r>
      <w:r>
        <w:rPr>
          <w:szCs w:val="28"/>
          <w:lang w:val="sv-SE"/>
        </w:rPr>
        <w:t xml:space="preserve"> </w:t>
      </w:r>
      <w:r w:rsidRPr="0041265B">
        <w:rPr>
          <w:szCs w:val="28"/>
          <w:lang w:val="sv-SE"/>
        </w:rPr>
        <w:t>định</w:t>
      </w:r>
      <w:r>
        <w:rPr>
          <w:szCs w:val="28"/>
          <w:lang w:val="sv-SE"/>
        </w:rPr>
        <w:t xml:space="preserve"> s</w:t>
      </w:r>
      <w:r w:rsidRPr="0041265B">
        <w:rPr>
          <w:szCs w:val="28"/>
          <w:lang w:val="sv-SE"/>
        </w:rPr>
        <w:t>ố</w:t>
      </w:r>
      <w:r>
        <w:rPr>
          <w:szCs w:val="28"/>
          <w:lang w:val="sv-SE"/>
        </w:rPr>
        <w:t xml:space="preserve"> 119 </w:t>
      </w:r>
      <w:r w:rsidRPr="00AC7EFD">
        <w:rPr>
          <w:szCs w:val="28"/>
          <w:lang w:val="sv-SE"/>
        </w:rPr>
        <w:t xml:space="preserve">của Bộ Tài chính </w:t>
      </w:r>
      <w:r>
        <w:rPr>
          <w:spacing w:val="-2"/>
          <w:szCs w:val="28"/>
          <w:lang w:val="sv-SE"/>
        </w:rPr>
        <w:t>hết hiệu lực thi hành.</w:t>
      </w:r>
    </w:p>
    <w:p w14:paraId="18FB583A" w14:textId="77777777" w:rsidR="007204EE" w:rsidRPr="00AE2A95" w:rsidRDefault="007204EE" w:rsidP="007204EE">
      <w:pPr>
        <w:widowControl w:val="0"/>
        <w:spacing w:before="120" w:after="120"/>
        <w:ind w:firstLine="720"/>
        <w:rPr>
          <w:szCs w:val="28"/>
          <w:lang w:val="sv-SE"/>
        </w:rPr>
      </w:pPr>
      <w:r>
        <w:rPr>
          <w:szCs w:val="28"/>
          <w:lang w:val="nl-NL"/>
        </w:rPr>
        <w:t>Đ</w:t>
      </w:r>
      <w:r w:rsidRPr="0041265B">
        <w:rPr>
          <w:szCs w:val="28"/>
          <w:lang w:val="nl-NL"/>
        </w:rPr>
        <w:t>ể</w:t>
      </w:r>
      <w:r>
        <w:rPr>
          <w:szCs w:val="28"/>
          <w:lang w:val="nl-NL"/>
        </w:rPr>
        <w:t xml:space="preserve"> </w:t>
      </w:r>
      <w:r w:rsidRPr="0041265B">
        <w:rPr>
          <w:szCs w:val="28"/>
          <w:lang w:val="nl-NL"/>
        </w:rPr>
        <w:t>đảm</w:t>
      </w:r>
      <w:r>
        <w:rPr>
          <w:szCs w:val="28"/>
          <w:lang w:val="nl-NL"/>
        </w:rPr>
        <w:t xml:space="preserve"> b</w:t>
      </w:r>
      <w:r w:rsidRPr="0041265B">
        <w:rPr>
          <w:szCs w:val="28"/>
          <w:lang w:val="nl-NL"/>
        </w:rPr>
        <w:t>ảo</w:t>
      </w:r>
      <w:r>
        <w:rPr>
          <w:szCs w:val="28"/>
          <w:lang w:val="nl-NL"/>
        </w:rPr>
        <w:t xml:space="preserve"> c</w:t>
      </w:r>
      <w:r w:rsidRPr="0041265B">
        <w:rPr>
          <w:szCs w:val="28"/>
          <w:lang w:val="nl-NL"/>
        </w:rPr>
        <w:t>ó</w:t>
      </w:r>
      <w:r>
        <w:rPr>
          <w:szCs w:val="28"/>
          <w:lang w:val="nl-NL"/>
        </w:rPr>
        <w:t xml:space="preserve"> c</w:t>
      </w:r>
      <w:r w:rsidRPr="0041265B">
        <w:rPr>
          <w:szCs w:val="28"/>
          <w:lang w:val="nl-NL"/>
        </w:rPr>
        <w:t>ơ</w:t>
      </w:r>
      <w:r>
        <w:rPr>
          <w:szCs w:val="28"/>
          <w:lang w:val="nl-NL"/>
        </w:rPr>
        <w:t xml:space="preserve"> s</w:t>
      </w:r>
      <w:r w:rsidRPr="0041265B">
        <w:rPr>
          <w:szCs w:val="28"/>
          <w:lang w:val="nl-NL"/>
        </w:rPr>
        <w:t>ở</w:t>
      </w:r>
      <w:r>
        <w:rPr>
          <w:szCs w:val="28"/>
          <w:lang w:val="nl-NL"/>
        </w:rPr>
        <w:t xml:space="preserve"> ph</w:t>
      </w:r>
      <w:r w:rsidRPr="0041265B">
        <w:rPr>
          <w:szCs w:val="28"/>
          <w:lang w:val="nl-NL"/>
        </w:rPr>
        <w:t>á</w:t>
      </w:r>
      <w:r>
        <w:rPr>
          <w:szCs w:val="28"/>
          <w:lang w:val="nl-NL"/>
        </w:rPr>
        <w:t>p l</w:t>
      </w:r>
      <w:r w:rsidRPr="0041265B">
        <w:rPr>
          <w:szCs w:val="28"/>
          <w:lang w:val="nl-NL"/>
        </w:rPr>
        <w:t>ý</w:t>
      </w:r>
      <w:r>
        <w:rPr>
          <w:szCs w:val="28"/>
          <w:lang w:val="nl-NL"/>
        </w:rPr>
        <w:t xml:space="preserve"> cho doanh nghi</w:t>
      </w:r>
      <w:r w:rsidRPr="0041265B">
        <w:rPr>
          <w:szCs w:val="28"/>
          <w:lang w:val="nl-NL"/>
        </w:rPr>
        <w:t>ệp</w:t>
      </w:r>
      <w:r>
        <w:rPr>
          <w:szCs w:val="28"/>
          <w:lang w:val="nl-NL"/>
        </w:rPr>
        <w:t>, h</w:t>
      </w:r>
      <w:r w:rsidRPr="0041265B">
        <w:rPr>
          <w:szCs w:val="28"/>
          <w:lang w:val="nl-NL"/>
        </w:rPr>
        <w:t>ộ</w:t>
      </w:r>
      <w:r>
        <w:rPr>
          <w:szCs w:val="28"/>
          <w:lang w:val="nl-NL"/>
        </w:rPr>
        <w:t>, c</w:t>
      </w:r>
      <w:r w:rsidRPr="0041265B">
        <w:rPr>
          <w:szCs w:val="28"/>
          <w:lang w:val="nl-NL"/>
        </w:rPr>
        <w:t>á</w:t>
      </w:r>
      <w:r>
        <w:rPr>
          <w:szCs w:val="28"/>
          <w:lang w:val="nl-NL"/>
        </w:rPr>
        <w:t xml:space="preserve"> nh</w:t>
      </w:r>
      <w:r w:rsidRPr="0041265B">
        <w:rPr>
          <w:szCs w:val="28"/>
          <w:lang w:val="nl-NL"/>
        </w:rPr>
        <w:t>â</w:t>
      </w:r>
      <w:r>
        <w:rPr>
          <w:szCs w:val="28"/>
          <w:lang w:val="nl-NL"/>
        </w:rPr>
        <w:t>n kinh doanh v</w:t>
      </w:r>
      <w:r w:rsidRPr="0041265B">
        <w:rPr>
          <w:szCs w:val="28"/>
          <w:lang w:val="nl-NL"/>
        </w:rPr>
        <w:t>ẫn</w:t>
      </w:r>
      <w:r>
        <w:rPr>
          <w:szCs w:val="28"/>
          <w:lang w:val="nl-NL"/>
        </w:rPr>
        <w:t xml:space="preserve"> ti</w:t>
      </w:r>
      <w:r w:rsidRPr="0041265B">
        <w:rPr>
          <w:szCs w:val="28"/>
          <w:lang w:val="nl-NL"/>
        </w:rPr>
        <w:t>ế</w:t>
      </w:r>
      <w:r>
        <w:rPr>
          <w:szCs w:val="28"/>
          <w:lang w:val="nl-NL"/>
        </w:rPr>
        <w:t>p t</w:t>
      </w:r>
      <w:r w:rsidRPr="0041265B">
        <w:rPr>
          <w:szCs w:val="28"/>
          <w:lang w:val="nl-NL"/>
        </w:rPr>
        <w:t>ục</w:t>
      </w:r>
      <w:r>
        <w:rPr>
          <w:szCs w:val="28"/>
          <w:lang w:val="nl-NL"/>
        </w:rPr>
        <w:t xml:space="preserve"> </w:t>
      </w:r>
      <w:r w:rsidRPr="0041265B">
        <w:rPr>
          <w:szCs w:val="28"/>
          <w:lang w:val="nl-NL"/>
        </w:rPr>
        <w:t>á</w:t>
      </w:r>
      <w:r>
        <w:rPr>
          <w:szCs w:val="28"/>
          <w:lang w:val="nl-NL"/>
        </w:rPr>
        <w:t>p d</w:t>
      </w:r>
      <w:r w:rsidRPr="0041265B">
        <w:rPr>
          <w:szCs w:val="28"/>
          <w:lang w:val="nl-NL"/>
        </w:rPr>
        <w:t>ụng</w:t>
      </w:r>
      <w:r>
        <w:rPr>
          <w:szCs w:val="28"/>
          <w:lang w:val="nl-NL"/>
        </w:rPr>
        <w:t xml:space="preserve"> h</w:t>
      </w:r>
      <w:r w:rsidRPr="0041265B">
        <w:rPr>
          <w:szCs w:val="28"/>
          <w:lang w:val="nl-NL"/>
        </w:rPr>
        <w:t>ó</w:t>
      </w:r>
      <w:r>
        <w:rPr>
          <w:szCs w:val="28"/>
          <w:lang w:val="nl-NL"/>
        </w:rPr>
        <w:t xml:space="preserve">a </w:t>
      </w:r>
      <w:r w:rsidRPr="0041265B">
        <w:rPr>
          <w:szCs w:val="28"/>
          <w:lang w:val="nl-NL"/>
        </w:rPr>
        <w:t>đơ</w:t>
      </w:r>
      <w:r>
        <w:rPr>
          <w:szCs w:val="28"/>
          <w:lang w:val="nl-NL"/>
        </w:rPr>
        <w:t>n, ch</w:t>
      </w:r>
      <w:r w:rsidRPr="0041265B">
        <w:rPr>
          <w:szCs w:val="28"/>
          <w:lang w:val="nl-NL"/>
        </w:rPr>
        <w:t>ứng</w:t>
      </w:r>
      <w:r>
        <w:rPr>
          <w:szCs w:val="28"/>
          <w:lang w:val="nl-NL"/>
        </w:rPr>
        <w:t xml:space="preserve"> t</w:t>
      </w:r>
      <w:r w:rsidRPr="0041265B">
        <w:rPr>
          <w:szCs w:val="28"/>
          <w:lang w:val="nl-NL"/>
        </w:rPr>
        <w:t>ừ</w:t>
      </w:r>
      <w:r>
        <w:rPr>
          <w:szCs w:val="28"/>
          <w:lang w:val="nl-NL"/>
        </w:rPr>
        <w:t xml:space="preserve"> gi</w:t>
      </w:r>
      <w:r w:rsidRPr="0041265B">
        <w:rPr>
          <w:szCs w:val="28"/>
          <w:lang w:val="nl-NL"/>
        </w:rPr>
        <w:t>ấ</w:t>
      </w:r>
      <w:r>
        <w:rPr>
          <w:szCs w:val="28"/>
          <w:lang w:val="nl-NL"/>
        </w:rPr>
        <w:t>y m</w:t>
      </w:r>
      <w:r w:rsidRPr="0041265B">
        <w:rPr>
          <w:szCs w:val="28"/>
          <w:lang w:val="nl-NL"/>
        </w:rPr>
        <w:t>à</w:t>
      </w:r>
      <w:r>
        <w:rPr>
          <w:szCs w:val="28"/>
          <w:lang w:val="nl-NL"/>
        </w:rPr>
        <w:t xml:space="preserve"> ch</w:t>
      </w:r>
      <w:r w:rsidRPr="0041265B">
        <w:rPr>
          <w:szCs w:val="28"/>
          <w:lang w:val="nl-NL"/>
        </w:rPr>
        <w:t>ư</w:t>
      </w:r>
      <w:r>
        <w:rPr>
          <w:szCs w:val="28"/>
          <w:lang w:val="nl-NL"/>
        </w:rPr>
        <w:t xml:space="preserve">a </w:t>
      </w:r>
      <w:r w:rsidRPr="0041265B">
        <w:rPr>
          <w:szCs w:val="28"/>
          <w:lang w:val="nl-NL"/>
        </w:rPr>
        <w:t>á</w:t>
      </w:r>
      <w:r>
        <w:rPr>
          <w:szCs w:val="28"/>
          <w:lang w:val="nl-NL"/>
        </w:rPr>
        <w:t>p d</w:t>
      </w:r>
      <w:r w:rsidRPr="0041265B">
        <w:rPr>
          <w:szCs w:val="28"/>
          <w:lang w:val="nl-NL"/>
        </w:rPr>
        <w:t>ụng</w:t>
      </w:r>
      <w:r>
        <w:rPr>
          <w:szCs w:val="28"/>
          <w:lang w:val="nl-NL"/>
        </w:rPr>
        <w:t xml:space="preserve"> h</w:t>
      </w:r>
      <w:r w:rsidRPr="0041265B">
        <w:rPr>
          <w:szCs w:val="28"/>
          <w:lang w:val="nl-NL"/>
        </w:rPr>
        <w:t>ó</w:t>
      </w:r>
      <w:r>
        <w:rPr>
          <w:szCs w:val="28"/>
          <w:lang w:val="nl-NL"/>
        </w:rPr>
        <w:t xml:space="preserve">a </w:t>
      </w:r>
      <w:r w:rsidRPr="0041265B">
        <w:rPr>
          <w:szCs w:val="28"/>
          <w:lang w:val="nl-NL"/>
        </w:rPr>
        <w:t>đơ</w:t>
      </w:r>
      <w:r>
        <w:rPr>
          <w:szCs w:val="28"/>
          <w:lang w:val="nl-NL"/>
        </w:rPr>
        <w:t>n, ch</w:t>
      </w:r>
      <w:r w:rsidRPr="0041265B">
        <w:rPr>
          <w:szCs w:val="28"/>
          <w:lang w:val="nl-NL"/>
        </w:rPr>
        <w:t>ứng</w:t>
      </w:r>
      <w:r>
        <w:rPr>
          <w:szCs w:val="28"/>
          <w:lang w:val="nl-NL"/>
        </w:rPr>
        <w:t xml:space="preserve"> t</w:t>
      </w:r>
      <w:r w:rsidRPr="0041265B">
        <w:rPr>
          <w:szCs w:val="28"/>
          <w:lang w:val="nl-NL"/>
        </w:rPr>
        <w:t>ừ</w:t>
      </w:r>
      <w:r>
        <w:rPr>
          <w:szCs w:val="28"/>
          <w:lang w:val="nl-NL"/>
        </w:rPr>
        <w:t xml:space="preserve"> </w:t>
      </w:r>
      <w:r w:rsidRPr="0041265B">
        <w:rPr>
          <w:szCs w:val="28"/>
          <w:lang w:val="nl-NL"/>
        </w:rPr>
        <w:t>đ</w:t>
      </w:r>
      <w:r>
        <w:rPr>
          <w:szCs w:val="28"/>
          <w:lang w:val="nl-NL"/>
        </w:rPr>
        <w:t>i</w:t>
      </w:r>
      <w:r w:rsidRPr="0041265B">
        <w:rPr>
          <w:szCs w:val="28"/>
          <w:lang w:val="nl-NL"/>
        </w:rPr>
        <w:t>ện</w:t>
      </w:r>
      <w:r>
        <w:rPr>
          <w:szCs w:val="28"/>
          <w:lang w:val="nl-NL"/>
        </w:rPr>
        <w:t xml:space="preserve"> t</w:t>
      </w:r>
      <w:r w:rsidRPr="0041265B">
        <w:rPr>
          <w:szCs w:val="28"/>
          <w:lang w:val="nl-NL"/>
        </w:rPr>
        <w:t>ử</w:t>
      </w:r>
      <w:r>
        <w:rPr>
          <w:szCs w:val="28"/>
          <w:lang w:val="nl-NL"/>
        </w:rPr>
        <w:t xml:space="preserve"> ngay t</w:t>
      </w:r>
      <w:r w:rsidRPr="0041265B">
        <w:rPr>
          <w:szCs w:val="28"/>
          <w:lang w:val="nl-NL"/>
        </w:rPr>
        <w:t>ừ</w:t>
      </w:r>
      <w:r>
        <w:rPr>
          <w:szCs w:val="28"/>
          <w:lang w:val="nl-NL"/>
        </w:rPr>
        <w:t xml:space="preserve"> ng</w:t>
      </w:r>
      <w:r w:rsidRPr="0041265B">
        <w:rPr>
          <w:szCs w:val="28"/>
          <w:lang w:val="nl-NL"/>
        </w:rPr>
        <w:t>ày</w:t>
      </w:r>
      <w:r>
        <w:rPr>
          <w:szCs w:val="28"/>
          <w:lang w:val="nl-NL"/>
        </w:rPr>
        <w:t xml:space="preserve"> 01/7/2020 th</w:t>
      </w:r>
      <w:r w:rsidRPr="0041265B">
        <w:rPr>
          <w:szCs w:val="28"/>
          <w:lang w:val="nl-NL"/>
        </w:rPr>
        <w:t>ì</w:t>
      </w:r>
      <w:r>
        <w:rPr>
          <w:szCs w:val="28"/>
          <w:lang w:val="nl-NL"/>
        </w:rPr>
        <w:t xml:space="preserve"> Ngh</w:t>
      </w:r>
      <w:r w:rsidRPr="0041265B">
        <w:rPr>
          <w:szCs w:val="28"/>
          <w:lang w:val="nl-NL"/>
        </w:rPr>
        <w:t>ị</w:t>
      </w:r>
      <w:r>
        <w:rPr>
          <w:szCs w:val="28"/>
          <w:lang w:val="nl-NL"/>
        </w:rPr>
        <w:t xml:space="preserve"> </w:t>
      </w:r>
      <w:r w:rsidRPr="0041265B">
        <w:rPr>
          <w:szCs w:val="28"/>
          <w:lang w:val="nl-NL"/>
        </w:rPr>
        <w:t>định</w:t>
      </w:r>
      <w:r>
        <w:rPr>
          <w:szCs w:val="28"/>
          <w:lang w:val="nl-NL"/>
        </w:rPr>
        <w:t xml:space="preserve"> quy </w:t>
      </w:r>
      <w:r w:rsidRPr="0041265B">
        <w:rPr>
          <w:szCs w:val="28"/>
          <w:lang w:val="nl-NL"/>
        </w:rPr>
        <w:t>định</w:t>
      </w:r>
      <w:r>
        <w:rPr>
          <w:szCs w:val="28"/>
          <w:lang w:val="nl-NL"/>
        </w:rPr>
        <w:t xml:space="preserve">: </w:t>
      </w:r>
      <w:r>
        <w:rPr>
          <w:spacing w:val="-2"/>
          <w:szCs w:val="28"/>
          <w:lang w:val="sv-SE"/>
        </w:rPr>
        <w:tab/>
        <w:t>T</w:t>
      </w:r>
      <w:r w:rsidRPr="00BA4ABD">
        <w:rPr>
          <w:spacing w:val="-2"/>
          <w:szCs w:val="28"/>
          <w:lang w:val="sv-SE"/>
        </w:rPr>
        <w:t>ừ</w:t>
      </w:r>
      <w:r>
        <w:rPr>
          <w:spacing w:val="-2"/>
          <w:szCs w:val="28"/>
          <w:lang w:val="sv-SE"/>
        </w:rPr>
        <w:t xml:space="preserve"> ng</w:t>
      </w:r>
      <w:r w:rsidRPr="00BA4ABD">
        <w:rPr>
          <w:spacing w:val="-2"/>
          <w:szCs w:val="28"/>
          <w:lang w:val="sv-SE"/>
        </w:rPr>
        <w:t>ày</w:t>
      </w:r>
      <w:r>
        <w:rPr>
          <w:spacing w:val="-2"/>
          <w:szCs w:val="28"/>
          <w:lang w:val="sv-SE"/>
        </w:rPr>
        <w:t xml:space="preserve"> 01/07/2022, c</w:t>
      </w:r>
      <w:r w:rsidRPr="00BA4ABD">
        <w:rPr>
          <w:spacing w:val="-2"/>
          <w:szCs w:val="28"/>
          <w:lang w:val="sv-SE"/>
        </w:rPr>
        <w:t>á</w:t>
      </w:r>
      <w:r>
        <w:rPr>
          <w:spacing w:val="-2"/>
          <w:szCs w:val="28"/>
          <w:lang w:val="sv-SE"/>
        </w:rPr>
        <w:t>c Ngh</w:t>
      </w:r>
      <w:r w:rsidRPr="00BA4ABD">
        <w:rPr>
          <w:spacing w:val="-2"/>
          <w:szCs w:val="28"/>
          <w:lang w:val="sv-SE"/>
        </w:rPr>
        <w:t>ị</w:t>
      </w:r>
      <w:r>
        <w:rPr>
          <w:spacing w:val="-2"/>
          <w:szCs w:val="28"/>
          <w:lang w:val="sv-SE"/>
        </w:rPr>
        <w:t xml:space="preserve"> </w:t>
      </w:r>
      <w:r w:rsidRPr="00BA4ABD">
        <w:rPr>
          <w:spacing w:val="-2"/>
          <w:szCs w:val="28"/>
          <w:lang w:val="sv-SE"/>
        </w:rPr>
        <w:t>định</w:t>
      </w:r>
      <w:r>
        <w:rPr>
          <w:spacing w:val="-2"/>
          <w:szCs w:val="28"/>
          <w:lang w:val="sv-SE"/>
        </w:rPr>
        <w:t xml:space="preserve"> </w:t>
      </w:r>
      <w:r w:rsidRPr="00D73D2A">
        <w:rPr>
          <w:szCs w:val="28"/>
          <w:lang w:val="vi-VN"/>
        </w:rPr>
        <w:t>số 51/2010/NĐ-CP ngày 14 tháng 5 năm 20</w:t>
      </w:r>
      <w:r w:rsidRPr="00AE2A95">
        <w:rPr>
          <w:szCs w:val="28"/>
          <w:lang w:val="sv-SE"/>
        </w:rPr>
        <w:t xml:space="preserve">10; Nghị định số </w:t>
      </w:r>
      <w:r w:rsidRPr="00D73D2A">
        <w:rPr>
          <w:szCs w:val="28"/>
          <w:lang w:val="vi-VN"/>
        </w:rPr>
        <w:t>04/2014/NĐ-CP ngày 17 tháng 01 năm 2014 của Chính phủ quy định về hóa đơn bán hàng hóa, cung ứng dịch vụ</w:t>
      </w:r>
      <w:r>
        <w:rPr>
          <w:szCs w:val="28"/>
        </w:rPr>
        <w:t xml:space="preserve"> v</w:t>
      </w:r>
      <w:r w:rsidRPr="007C670C">
        <w:rPr>
          <w:szCs w:val="28"/>
        </w:rPr>
        <w:t>à</w:t>
      </w:r>
      <w:r>
        <w:rPr>
          <w:szCs w:val="28"/>
        </w:rPr>
        <w:t xml:space="preserve"> </w:t>
      </w:r>
      <w:r w:rsidRPr="00AE2A95">
        <w:rPr>
          <w:szCs w:val="28"/>
          <w:lang w:val="sv-SE"/>
        </w:rPr>
        <w:t xml:space="preserve">các </w:t>
      </w:r>
      <w:r w:rsidRPr="004F046E">
        <w:rPr>
          <w:szCs w:val="28"/>
          <w:lang w:val="nl-NL"/>
        </w:rPr>
        <w:t>văn bản</w:t>
      </w:r>
      <w:r w:rsidRPr="00AE2A95">
        <w:rPr>
          <w:szCs w:val="28"/>
          <w:lang w:val="sv-SE"/>
        </w:rPr>
        <w:t xml:space="preserve"> </w:t>
      </w:r>
      <w:r w:rsidRPr="004F046E">
        <w:rPr>
          <w:bCs/>
          <w:szCs w:val="28"/>
          <w:lang w:val="nl-NL"/>
        </w:rPr>
        <w:t>hướng dẫn</w:t>
      </w:r>
      <w:r w:rsidRPr="00AE2A95">
        <w:rPr>
          <w:szCs w:val="28"/>
          <w:lang w:val="sv-SE"/>
        </w:rPr>
        <w:t xml:space="preserve"> </w:t>
      </w:r>
      <w:r>
        <w:rPr>
          <w:szCs w:val="28"/>
          <w:lang w:val="sv-SE"/>
        </w:rPr>
        <w:t>v</w:t>
      </w:r>
      <w:r w:rsidRPr="007C670C">
        <w:rPr>
          <w:szCs w:val="28"/>
          <w:lang w:val="sv-SE"/>
        </w:rPr>
        <w:t>ề</w:t>
      </w:r>
      <w:r>
        <w:rPr>
          <w:szCs w:val="28"/>
          <w:lang w:val="sv-SE"/>
        </w:rPr>
        <w:t xml:space="preserve"> h</w:t>
      </w:r>
      <w:r w:rsidRPr="007C670C">
        <w:rPr>
          <w:szCs w:val="28"/>
          <w:lang w:val="sv-SE"/>
        </w:rPr>
        <w:t>ó</w:t>
      </w:r>
      <w:r>
        <w:rPr>
          <w:szCs w:val="28"/>
          <w:lang w:val="sv-SE"/>
        </w:rPr>
        <w:t xml:space="preserve">a </w:t>
      </w:r>
      <w:r w:rsidRPr="007C670C">
        <w:rPr>
          <w:szCs w:val="28"/>
          <w:lang w:val="sv-SE"/>
        </w:rPr>
        <w:t>đơ</w:t>
      </w:r>
      <w:r>
        <w:rPr>
          <w:szCs w:val="28"/>
          <w:lang w:val="sv-SE"/>
        </w:rPr>
        <w:t>n, ch</w:t>
      </w:r>
      <w:r w:rsidRPr="007C670C">
        <w:rPr>
          <w:szCs w:val="28"/>
          <w:lang w:val="sv-SE"/>
        </w:rPr>
        <w:t>ứng</w:t>
      </w:r>
      <w:r>
        <w:rPr>
          <w:szCs w:val="28"/>
          <w:lang w:val="sv-SE"/>
        </w:rPr>
        <w:t xml:space="preserve"> t</w:t>
      </w:r>
      <w:r w:rsidRPr="007C670C">
        <w:rPr>
          <w:szCs w:val="28"/>
          <w:lang w:val="sv-SE"/>
        </w:rPr>
        <w:t>ừ</w:t>
      </w:r>
      <w:r>
        <w:rPr>
          <w:szCs w:val="28"/>
          <w:lang w:val="sv-SE"/>
        </w:rPr>
        <w:t xml:space="preserve"> </w:t>
      </w:r>
      <w:r w:rsidRPr="00AE2A95">
        <w:rPr>
          <w:szCs w:val="28"/>
          <w:lang w:val="sv-SE"/>
        </w:rPr>
        <w:t xml:space="preserve">của Bộ Tài chính </w:t>
      </w:r>
      <w:r>
        <w:rPr>
          <w:spacing w:val="-2"/>
          <w:szCs w:val="28"/>
          <w:lang w:val="sv-SE"/>
        </w:rPr>
        <w:t xml:space="preserve">hết </w:t>
      </w:r>
      <w:r>
        <w:rPr>
          <w:spacing w:val="-2"/>
          <w:szCs w:val="28"/>
          <w:lang w:val="sv-SE"/>
        </w:rPr>
        <w:lastRenderedPageBreak/>
        <w:t>hiệu lực thi hành.</w:t>
      </w:r>
    </w:p>
    <w:p w14:paraId="7D746742" w14:textId="77777777" w:rsidR="007204EE" w:rsidRPr="002E4A48" w:rsidRDefault="007204EE" w:rsidP="007204EE">
      <w:pPr>
        <w:widowControl w:val="0"/>
        <w:spacing w:before="120" w:after="120"/>
        <w:rPr>
          <w:b/>
          <w:i/>
          <w:spacing w:val="-2"/>
          <w:szCs w:val="28"/>
          <w:lang w:val="sv-SE"/>
        </w:rPr>
      </w:pPr>
      <w:r>
        <w:rPr>
          <w:i/>
          <w:spacing w:val="-2"/>
          <w:szCs w:val="28"/>
          <w:lang w:val="sv-SE"/>
        </w:rPr>
        <w:tab/>
      </w:r>
      <w:r>
        <w:rPr>
          <w:b/>
          <w:i/>
          <w:spacing w:val="-2"/>
          <w:szCs w:val="28"/>
          <w:lang w:val="sv-SE"/>
        </w:rPr>
        <w:t xml:space="preserve">3.8. </w:t>
      </w:r>
      <w:r w:rsidRPr="002E4A48">
        <w:rPr>
          <w:b/>
          <w:i/>
          <w:spacing w:val="-2"/>
          <w:szCs w:val="28"/>
          <w:lang w:val="sv-SE"/>
        </w:rPr>
        <w:t>Nội dung khác</w:t>
      </w:r>
    </w:p>
    <w:p w14:paraId="75AA4609" w14:textId="77777777" w:rsidR="007204EE" w:rsidRDefault="007204EE" w:rsidP="007204EE">
      <w:pPr>
        <w:widowControl w:val="0"/>
        <w:spacing w:before="120" w:after="120"/>
        <w:rPr>
          <w:spacing w:val="-2"/>
          <w:szCs w:val="28"/>
          <w:lang w:val="sv-SE"/>
        </w:rPr>
      </w:pPr>
      <w:r>
        <w:rPr>
          <w:spacing w:val="-2"/>
          <w:szCs w:val="28"/>
          <w:lang w:val="sv-SE"/>
        </w:rPr>
        <w:tab/>
        <w:t>Ngoài các nội dung chính nêu trên, tại Nghị định có ban hành một (01) Quy chế và hai (02) Phụ lục:</w:t>
      </w:r>
    </w:p>
    <w:p w14:paraId="204DB93D" w14:textId="77777777" w:rsidR="007204EE" w:rsidRPr="00AE2A95" w:rsidRDefault="007204EE" w:rsidP="007204EE">
      <w:pPr>
        <w:widowControl w:val="0"/>
        <w:spacing w:before="120" w:after="120"/>
        <w:ind w:firstLine="720"/>
        <w:rPr>
          <w:szCs w:val="28"/>
          <w:lang w:val="sv-SE"/>
        </w:rPr>
      </w:pPr>
      <w:r>
        <w:rPr>
          <w:spacing w:val="-2"/>
          <w:szCs w:val="28"/>
          <w:lang w:val="sv-SE"/>
        </w:rPr>
        <w:t xml:space="preserve">- Quy chế về việc tra cứu, cung cấp, sử dụng thông tin hóa đơn, chứng từ điện tử. </w:t>
      </w:r>
      <w:r w:rsidRPr="00AE2A95">
        <w:rPr>
          <w:bCs/>
          <w:szCs w:val="28"/>
          <w:lang w:val="sv-SE"/>
        </w:rPr>
        <w:t>Quy chế này quy định về việc tra cứu, cung cấp, sử dụng thông tin hóa đơn điện tử, chứng từ điện tử để thực hiện các thủ tục về thuế hoặc các khoản thu khác thuộc ngân sách nhà nước, thủ tục thanh toán qua ngân hàng và các thủ tục hành chính khác; chứng minh tính hợp pháp của hàng hóa lưu thông trên thị trường. Đối tượng áp dụng quy chế là b</w:t>
      </w:r>
      <w:r w:rsidRPr="00AE2A95">
        <w:rPr>
          <w:szCs w:val="28"/>
          <w:lang w:val="sv-SE"/>
        </w:rPr>
        <w:t>ên cung cấp thông tin hóa đơn điện tử - Tổng cục Thuế và bên sử dụng thông tin hóa đơn điện tử, chứng từ điện tử.</w:t>
      </w:r>
    </w:p>
    <w:p w14:paraId="60C81746" w14:textId="77777777" w:rsidR="007204EE" w:rsidRDefault="007204EE" w:rsidP="007204EE">
      <w:pPr>
        <w:widowControl w:val="0"/>
        <w:spacing w:before="120" w:after="120"/>
        <w:rPr>
          <w:spacing w:val="-2"/>
          <w:szCs w:val="28"/>
          <w:lang w:val="sv-SE"/>
        </w:rPr>
      </w:pPr>
      <w:r>
        <w:rPr>
          <w:spacing w:val="-2"/>
          <w:szCs w:val="28"/>
          <w:lang w:val="sv-SE"/>
        </w:rPr>
        <w:tab/>
        <w:t>- Đ</w:t>
      </w:r>
      <w:r w:rsidRPr="005C1909">
        <w:rPr>
          <w:spacing w:val="-2"/>
          <w:szCs w:val="28"/>
          <w:lang w:val="sv-SE"/>
        </w:rPr>
        <w:t>ồng</w:t>
      </w:r>
      <w:r>
        <w:rPr>
          <w:spacing w:val="-2"/>
          <w:szCs w:val="28"/>
          <w:lang w:val="sv-SE"/>
        </w:rPr>
        <w:t xml:space="preserve"> th</w:t>
      </w:r>
      <w:r w:rsidRPr="005C1909">
        <w:rPr>
          <w:spacing w:val="-2"/>
          <w:szCs w:val="28"/>
          <w:lang w:val="sv-SE"/>
        </w:rPr>
        <w:t>ờ</w:t>
      </w:r>
      <w:r>
        <w:rPr>
          <w:spacing w:val="-2"/>
          <w:szCs w:val="28"/>
          <w:lang w:val="sv-SE"/>
        </w:rPr>
        <w:t>i c</w:t>
      </w:r>
      <w:r w:rsidRPr="005C1909">
        <w:rPr>
          <w:spacing w:val="-2"/>
          <w:szCs w:val="28"/>
          <w:lang w:val="sv-SE"/>
        </w:rPr>
        <w:t>ó</w:t>
      </w:r>
      <w:r>
        <w:rPr>
          <w:spacing w:val="-2"/>
          <w:szCs w:val="28"/>
          <w:lang w:val="sv-SE"/>
        </w:rPr>
        <w:t xml:space="preserve"> 02 Ph</w:t>
      </w:r>
      <w:r w:rsidRPr="005C1909">
        <w:rPr>
          <w:spacing w:val="-2"/>
          <w:szCs w:val="28"/>
          <w:lang w:val="sv-SE"/>
        </w:rPr>
        <w:t>ụ</w:t>
      </w:r>
      <w:r>
        <w:rPr>
          <w:spacing w:val="-2"/>
          <w:szCs w:val="28"/>
          <w:lang w:val="sv-SE"/>
        </w:rPr>
        <w:t xml:space="preserve"> l</w:t>
      </w:r>
      <w:r w:rsidRPr="005C1909">
        <w:rPr>
          <w:spacing w:val="-2"/>
          <w:szCs w:val="28"/>
          <w:lang w:val="sv-SE"/>
        </w:rPr>
        <w:t>ục</w:t>
      </w:r>
      <w:r>
        <w:rPr>
          <w:spacing w:val="-2"/>
          <w:szCs w:val="28"/>
          <w:lang w:val="sv-SE"/>
        </w:rPr>
        <w:t xml:space="preserve"> ban h</w:t>
      </w:r>
      <w:r w:rsidRPr="005C1909">
        <w:rPr>
          <w:spacing w:val="-2"/>
          <w:szCs w:val="28"/>
          <w:lang w:val="sv-SE"/>
        </w:rPr>
        <w:t>à</w:t>
      </w:r>
      <w:r>
        <w:rPr>
          <w:spacing w:val="-2"/>
          <w:szCs w:val="28"/>
          <w:lang w:val="sv-SE"/>
        </w:rPr>
        <w:t>nh k</w:t>
      </w:r>
      <w:r w:rsidRPr="005C1909">
        <w:rPr>
          <w:spacing w:val="-2"/>
          <w:szCs w:val="28"/>
          <w:lang w:val="sv-SE"/>
        </w:rPr>
        <w:t>è</w:t>
      </w:r>
      <w:r>
        <w:rPr>
          <w:spacing w:val="-2"/>
          <w:szCs w:val="28"/>
          <w:lang w:val="sv-SE"/>
        </w:rPr>
        <w:t>m theo Ngh</w:t>
      </w:r>
      <w:r w:rsidRPr="005C1909">
        <w:rPr>
          <w:spacing w:val="-2"/>
          <w:szCs w:val="28"/>
          <w:lang w:val="sv-SE"/>
        </w:rPr>
        <w:t>ị</w:t>
      </w:r>
      <w:r>
        <w:rPr>
          <w:spacing w:val="-2"/>
          <w:szCs w:val="28"/>
          <w:lang w:val="sv-SE"/>
        </w:rPr>
        <w:t xml:space="preserve"> </w:t>
      </w:r>
      <w:r w:rsidRPr="005C1909">
        <w:rPr>
          <w:spacing w:val="-2"/>
          <w:szCs w:val="28"/>
          <w:lang w:val="sv-SE"/>
        </w:rPr>
        <w:t>định</w:t>
      </w:r>
      <w:r>
        <w:rPr>
          <w:spacing w:val="-2"/>
          <w:szCs w:val="28"/>
          <w:lang w:val="sv-SE"/>
        </w:rPr>
        <w:t xml:space="preserve"> bao g</w:t>
      </w:r>
      <w:r w:rsidRPr="005C1909">
        <w:rPr>
          <w:spacing w:val="-2"/>
          <w:szCs w:val="28"/>
          <w:lang w:val="sv-SE"/>
        </w:rPr>
        <w:t>ồm</w:t>
      </w:r>
      <w:r>
        <w:rPr>
          <w:spacing w:val="-2"/>
          <w:szCs w:val="28"/>
          <w:lang w:val="sv-SE"/>
        </w:rPr>
        <w:t>: Quy định về các mẫu biểu trên cơ sở kế thừa quy định tại Nghị định số 119/2018/NĐ-CP và quy định về mẫu báo cáo tình hình sử dụng hóa đơn mua của cơ quan thuế (Ph</w:t>
      </w:r>
      <w:r w:rsidRPr="005C1909">
        <w:rPr>
          <w:spacing w:val="-2"/>
          <w:szCs w:val="28"/>
          <w:lang w:val="sv-SE"/>
        </w:rPr>
        <w:t>ụ</w:t>
      </w:r>
      <w:r>
        <w:rPr>
          <w:spacing w:val="-2"/>
          <w:szCs w:val="28"/>
          <w:lang w:val="sv-SE"/>
        </w:rPr>
        <w:t xml:space="preserve"> l</w:t>
      </w:r>
      <w:r w:rsidRPr="005C1909">
        <w:rPr>
          <w:spacing w:val="-2"/>
          <w:szCs w:val="28"/>
          <w:lang w:val="sv-SE"/>
        </w:rPr>
        <w:t>ục</w:t>
      </w:r>
      <w:r>
        <w:rPr>
          <w:spacing w:val="-2"/>
          <w:szCs w:val="28"/>
          <w:lang w:val="sv-SE"/>
        </w:rPr>
        <w:t xml:space="preserve"> 1) v</w:t>
      </w:r>
      <w:r w:rsidRPr="005C1909">
        <w:rPr>
          <w:spacing w:val="-2"/>
          <w:szCs w:val="28"/>
          <w:lang w:val="sv-SE"/>
        </w:rPr>
        <w:t>à</w:t>
      </w:r>
      <w:r>
        <w:rPr>
          <w:spacing w:val="-2"/>
          <w:szCs w:val="28"/>
          <w:lang w:val="sv-SE"/>
        </w:rPr>
        <w:t xml:space="preserve"> quy định về các mẫu biểu tại quy chế về việc tra cứu, cung cấp, sử dụng thông tin hóa đơn, chứng từ điện tử (Ph</w:t>
      </w:r>
      <w:r w:rsidRPr="005C1909">
        <w:rPr>
          <w:spacing w:val="-2"/>
          <w:szCs w:val="28"/>
          <w:lang w:val="sv-SE"/>
        </w:rPr>
        <w:t>ụ</w:t>
      </w:r>
      <w:r>
        <w:rPr>
          <w:spacing w:val="-2"/>
          <w:szCs w:val="28"/>
          <w:lang w:val="sv-SE"/>
        </w:rPr>
        <w:t xml:space="preserve"> l</w:t>
      </w:r>
      <w:r w:rsidRPr="005C1909">
        <w:rPr>
          <w:spacing w:val="-2"/>
          <w:szCs w:val="28"/>
          <w:lang w:val="sv-SE"/>
        </w:rPr>
        <w:t>ục</w:t>
      </w:r>
      <w:r>
        <w:rPr>
          <w:spacing w:val="-2"/>
          <w:szCs w:val="28"/>
          <w:lang w:val="sv-SE"/>
        </w:rPr>
        <w:t xml:space="preserve"> 2). </w:t>
      </w:r>
    </w:p>
    <w:p w14:paraId="7731C885" w14:textId="77777777" w:rsidR="007204EE" w:rsidRPr="00AE2A95" w:rsidRDefault="007204EE" w:rsidP="007204EE">
      <w:pPr>
        <w:widowControl w:val="0"/>
        <w:spacing w:before="120" w:after="120"/>
        <w:ind w:firstLine="720"/>
        <w:rPr>
          <w:b/>
          <w:sz w:val="26"/>
          <w:szCs w:val="28"/>
          <w:lang w:val="sv-SE"/>
        </w:rPr>
      </w:pPr>
      <w:r w:rsidRPr="00AE2A95">
        <w:rPr>
          <w:b/>
          <w:sz w:val="26"/>
          <w:szCs w:val="28"/>
          <w:lang w:val="sv-SE"/>
        </w:rPr>
        <w:t>IV. Ý KIẾN CỦA CÁC BỘ, NGÀNH, ĐỊA PHƯƠNG VÀ TỔ CHỨC, CÁ NHÂN LIÊN QUAN</w:t>
      </w:r>
    </w:p>
    <w:p w14:paraId="4BE68C54" w14:textId="77777777" w:rsidR="007204EE" w:rsidRPr="00AE2A95" w:rsidRDefault="007204EE" w:rsidP="007204EE">
      <w:pPr>
        <w:widowControl w:val="0"/>
        <w:spacing w:before="120" w:after="120"/>
        <w:ind w:firstLine="720"/>
        <w:rPr>
          <w:szCs w:val="28"/>
          <w:lang w:val="sv-SE"/>
        </w:rPr>
      </w:pPr>
      <w:r w:rsidRPr="00AE2A95">
        <w:rPr>
          <w:szCs w:val="28"/>
          <w:lang w:val="sv-SE"/>
        </w:rPr>
        <w:t>(</w:t>
      </w:r>
      <w:r w:rsidRPr="00AE2A95">
        <w:rPr>
          <w:i/>
          <w:szCs w:val="28"/>
          <w:lang w:val="sv-SE"/>
        </w:rPr>
        <w:t xml:space="preserve">Bộ Tài chính sẽ </w:t>
      </w:r>
      <w:r w:rsidRPr="005D1990">
        <w:rPr>
          <w:bCs/>
          <w:i/>
          <w:szCs w:val="28"/>
          <w:lang w:val="nl-NL"/>
        </w:rPr>
        <w:t>bổ sung</w:t>
      </w:r>
      <w:r w:rsidRPr="00AE2A95">
        <w:rPr>
          <w:i/>
          <w:szCs w:val="28"/>
          <w:lang w:val="sv-SE"/>
        </w:rPr>
        <w:t xml:space="preserve"> sau khi nhận </w:t>
      </w:r>
      <w:r w:rsidRPr="005D1990">
        <w:rPr>
          <w:i/>
          <w:szCs w:val="28"/>
          <w:lang w:val="nl-NL"/>
        </w:rPr>
        <w:t>được</w:t>
      </w:r>
      <w:r w:rsidRPr="00AE2A95">
        <w:rPr>
          <w:i/>
          <w:szCs w:val="28"/>
          <w:lang w:val="sv-SE"/>
        </w:rPr>
        <w:t xml:space="preserve"> ý kiến tham gia</w:t>
      </w:r>
      <w:r w:rsidRPr="00AE2A95">
        <w:rPr>
          <w:szCs w:val="28"/>
          <w:lang w:val="sv-SE"/>
        </w:rPr>
        <w:t>)</w:t>
      </w:r>
    </w:p>
    <w:p w14:paraId="66A24FA6" w14:textId="77777777" w:rsidR="007204EE" w:rsidRPr="00AE2A95" w:rsidRDefault="007204EE" w:rsidP="007204EE">
      <w:pPr>
        <w:widowControl w:val="0"/>
        <w:spacing w:before="120" w:after="120"/>
        <w:rPr>
          <w:lang w:val="sv-SE"/>
        </w:rPr>
      </w:pPr>
      <w:r w:rsidRPr="00AE2A95">
        <w:rPr>
          <w:szCs w:val="28"/>
          <w:lang w:val="sv-SE"/>
        </w:rPr>
        <w:tab/>
        <w:t xml:space="preserve">Trên đây là những nội dung cơ bản của dự thảo Nghị định </w:t>
      </w:r>
      <w:r w:rsidRPr="00AE2A95">
        <w:rPr>
          <w:lang w:val="sv-SE"/>
        </w:rPr>
        <w:t>quy định về hóa đơn, chứng từ theo Luật quản lý thuế số 38/2019/QH14 và pháp luật có liên quan</w:t>
      </w:r>
      <w:r w:rsidRPr="00AE2A95">
        <w:rPr>
          <w:szCs w:val="28"/>
          <w:lang w:val="sv-SE"/>
        </w:rPr>
        <w:t xml:space="preserve">, Bộ Tài chính kính trình </w:t>
      </w:r>
      <w:r w:rsidRPr="003A72FD">
        <w:rPr>
          <w:bCs/>
          <w:szCs w:val="28"/>
          <w:lang w:val="nl-NL"/>
        </w:rPr>
        <w:t>Chính phủ</w:t>
      </w:r>
      <w:r w:rsidRPr="00AE2A95">
        <w:rPr>
          <w:szCs w:val="28"/>
          <w:lang w:val="sv-SE"/>
        </w:rPr>
        <w:t xml:space="preserve"> xem xét, quyết định./.</w:t>
      </w:r>
    </w:p>
    <w:p w14:paraId="7BD68B09" w14:textId="77777777" w:rsidR="007204EE" w:rsidRPr="00AE2A95" w:rsidRDefault="007204EE" w:rsidP="007204EE">
      <w:pPr>
        <w:widowControl w:val="0"/>
        <w:spacing w:before="120" w:after="120"/>
        <w:ind w:firstLine="720"/>
        <w:rPr>
          <w:lang w:val="sv-SE"/>
        </w:rPr>
      </w:pPr>
      <w:r w:rsidRPr="00AE2A95">
        <w:rPr>
          <w:lang w:val="sv-SE"/>
        </w:rPr>
        <w:t>(</w:t>
      </w:r>
      <w:r w:rsidRPr="00AE2A95">
        <w:rPr>
          <w:i/>
          <w:lang w:val="sv-SE"/>
        </w:rPr>
        <w:t xml:space="preserve">Hồ sơ gửi kèm gồm: (1) Dự thảo </w:t>
      </w:r>
      <w:r w:rsidRPr="00AE2A95">
        <w:rPr>
          <w:i/>
          <w:szCs w:val="28"/>
          <w:lang w:val="sv-SE"/>
        </w:rPr>
        <w:t>Nghị định</w:t>
      </w:r>
      <w:r w:rsidRPr="00AE2A95">
        <w:rPr>
          <w:i/>
          <w:lang w:val="sv-SE"/>
        </w:rPr>
        <w:t xml:space="preserve">; (2) </w:t>
      </w:r>
      <w:r w:rsidRPr="005D1990">
        <w:rPr>
          <w:i/>
          <w:lang w:val="vi-VN"/>
        </w:rPr>
        <w:t>Báo cáo tổng hợp, giải trình, tiếp thu ý kiến của cơ quan, tổ chức, cá nhân và đối tượng chịu sự tác động trực tiếp của</w:t>
      </w:r>
      <w:r w:rsidRPr="00AE2A95">
        <w:rPr>
          <w:i/>
          <w:lang w:val="sv-SE"/>
        </w:rPr>
        <w:t xml:space="preserve"> </w:t>
      </w:r>
      <w:r w:rsidRPr="00AE2A95">
        <w:rPr>
          <w:i/>
          <w:szCs w:val="28"/>
          <w:lang w:val="sv-SE"/>
        </w:rPr>
        <w:t>Nghị định</w:t>
      </w:r>
      <w:r w:rsidRPr="00AE2A95">
        <w:rPr>
          <w:i/>
          <w:lang w:val="sv-SE"/>
        </w:rPr>
        <w:t>; (3) B</w:t>
      </w:r>
      <w:r w:rsidRPr="005D1990">
        <w:rPr>
          <w:i/>
          <w:lang w:val="vi-VN"/>
        </w:rPr>
        <w:t>ản chụp ý kiến của bộ, cơ quan ngang bộ, cơ quan thuộc Chính phủ</w:t>
      </w:r>
      <w:r w:rsidRPr="00AE2A95">
        <w:rPr>
          <w:i/>
          <w:lang w:val="sv-SE"/>
        </w:rPr>
        <w:t xml:space="preserve">; (4) </w:t>
      </w:r>
      <w:r w:rsidRPr="005D1990">
        <w:rPr>
          <w:i/>
          <w:lang w:val="vi-VN"/>
        </w:rPr>
        <w:t xml:space="preserve">Bản đánh giá thủ tục hành chính </w:t>
      </w:r>
      <w:r w:rsidRPr="005D1990">
        <w:rPr>
          <w:i/>
          <w:shd w:val="solid" w:color="FFFFFF" w:fill="auto"/>
          <w:lang w:val="vi-VN"/>
        </w:rPr>
        <w:t>trong</w:t>
      </w:r>
      <w:r w:rsidRPr="005D1990">
        <w:rPr>
          <w:i/>
          <w:lang w:val="vi-VN"/>
        </w:rPr>
        <w:t xml:space="preserve"> dự thảo</w:t>
      </w:r>
      <w:r w:rsidRPr="00AE2A95">
        <w:rPr>
          <w:i/>
          <w:lang w:val="sv-SE"/>
        </w:rPr>
        <w:t xml:space="preserve"> </w:t>
      </w:r>
      <w:r w:rsidRPr="00AE2A95">
        <w:rPr>
          <w:i/>
          <w:szCs w:val="28"/>
          <w:lang w:val="sv-SE"/>
        </w:rPr>
        <w:t>Nghị định</w:t>
      </w:r>
      <w:r w:rsidRPr="00AE2A95">
        <w:rPr>
          <w:lang w:val="sv-SE"/>
        </w:rPr>
        <w:t>).</w:t>
      </w:r>
    </w:p>
    <w:p w14:paraId="70A0E282" w14:textId="77777777" w:rsidR="007204EE" w:rsidRPr="00AE2A95" w:rsidRDefault="007204EE" w:rsidP="007204EE">
      <w:pPr>
        <w:widowControl w:val="0"/>
        <w:ind w:firstLine="720"/>
        <w:rPr>
          <w:lang w:val="sv-SE"/>
        </w:rPr>
      </w:pPr>
    </w:p>
    <w:tbl>
      <w:tblPr>
        <w:tblW w:w="0" w:type="auto"/>
        <w:tblCellMar>
          <w:left w:w="28" w:type="dxa"/>
          <w:right w:w="28" w:type="dxa"/>
        </w:tblCellMar>
        <w:tblLook w:val="01E0" w:firstRow="1" w:lastRow="1" w:firstColumn="1" w:lastColumn="1" w:noHBand="0" w:noVBand="0"/>
      </w:tblPr>
      <w:tblGrid>
        <w:gridCol w:w="5239"/>
        <w:gridCol w:w="4116"/>
      </w:tblGrid>
      <w:tr w:rsidR="007204EE" w:rsidRPr="005D1990" w14:paraId="726642E5" w14:textId="77777777" w:rsidTr="00AE2A95">
        <w:tc>
          <w:tcPr>
            <w:tcW w:w="5273" w:type="dxa"/>
          </w:tcPr>
          <w:p w14:paraId="671E9A5F" w14:textId="77777777" w:rsidR="007204EE" w:rsidRPr="005D1990" w:rsidRDefault="007204EE" w:rsidP="00AE2A95">
            <w:pPr>
              <w:widowControl w:val="0"/>
              <w:rPr>
                <w:rFonts w:eastAsia="Times New Roman"/>
                <w:b/>
                <w:i/>
                <w:szCs w:val="26"/>
                <w:lang w:val="nl-NL"/>
              </w:rPr>
            </w:pPr>
            <w:r w:rsidRPr="005D1990">
              <w:rPr>
                <w:rFonts w:eastAsia="Times New Roman"/>
                <w:b/>
                <w:i/>
                <w:sz w:val="24"/>
                <w:lang w:val="nl-NL"/>
              </w:rPr>
              <w:t>Nơi nhận:</w:t>
            </w:r>
          </w:p>
        </w:tc>
        <w:tc>
          <w:tcPr>
            <w:tcW w:w="4138" w:type="dxa"/>
          </w:tcPr>
          <w:p w14:paraId="1C15262D" w14:textId="77777777" w:rsidR="007204EE" w:rsidRPr="005D1990" w:rsidRDefault="007204EE" w:rsidP="00AE2A95">
            <w:pPr>
              <w:widowControl w:val="0"/>
              <w:jc w:val="center"/>
              <w:rPr>
                <w:rFonts w:eastAsia="Times New Roman"/>
                <w:b/>
                <w:sz w:val="26"/>
                <w:szCs w:val="26"/>
                <w:lang w:val="nl-NL"/>
              </w:rPr>
            </w:pPr>
            <w:r w:rsidRPr="005D1990">
              <w:rPr>
                <w:rFonts w:eastAsia="Times New Roman"/>
                <w:b/>
                <w:sz w:val="26"/>
                <w:szCs w:val="26"/>
                <w:lang w:val="nl-NL"/>
              </w:rPr>
              <w:t>BỘ TRƯỞNG</w:t>
            </w:r>
          </w:p>
        </w:tc>
      </w:tr>
      <w:tr w:rsidR="007204EE" w:rsidRPr="00AE2A95" w14:paraId="6728EA5B" w14:textId="77777777" w:rsidTr="00AE2A95">
        <w:tc>
          <w:tcPr>
            <w:tcW w:w="5273" w:type="dxa"/>
            <w:vMerge w:val="restart"/>
          </w:tcPr>
          <w:p w14:paraId="58212E05" w14:textId="77777777" w:rsidR="007204EE" w:rsidRPr="005D1990" w:rsidRDefault="007204EE" w:rsidP="00AE2A95">
            <w:pPr>
              <w:widowControl w:val="0"/>
              <w:rPr>
                <w:rFonts w:eastAsia="Times New Roman"/>
                <w:b/>
                <w:sz w:val="22"/>
                <w:lang w:val="nl-NL"/>
              </w:rPr>
            </w:pPr>
            <w:r w:rsidRPr="005D1990">
              <w:rPr>
                <w:rFonts w:eastAsia="Times New Roman"/>
                <w:sz w:val="22"/>
                <w:lang w:val="nl-NL"/>
              </w:rPr>
              <w:t xml:space="preserve">- </w:t>
            </w:r>
            <w:r w:rsidRPr="005D1990">
              <w:rPr>
                <w:sz w:val="22"/>
                <w:lang w:val="nl-NL"/>
              </w:rPr>
              <w:t>Như trên</w:t>
            </w:r>
            <w:r w:rsidRPr="005D1990">
              <w:rPr>
                <w:rFonts w:eastAsia="Times New Roman"/>
                <w:sz w:val="22"/>
                <w:lang w:val="nl-NL"/>
              </w:rPr>
              <w:t>;</w:t>
            </w:r>
          </w:p>
          <w:p w14:paraId="0BEF6623" w14:textId="77777777" w:rsidR="007204EE" w:rsidRPr="005D1990" w:rsidRDefault="007204EE" w:rsidP="00AE2A95">
            <w:pPr>
              <w:widowControl w:val="0"/>
              <w:rPr>
                <w:rFonts w:eastAsia="Times New Roman"/>
                <w:sz w:val="22"/>
                <w:lang w:val="nl-NL"/>
              </w:rPr>
            </w:pPr>
            <w:r w:rsidRPr="005D1990">
              <w:rPr>
                <w:rFonts w:eastAsia="Times New Roman"/>
                <w:sz w:val="22"/>
                <w:lang w:val="nl-NL"/>
              </w:rPr>
              <w:t>- Thủ t</w:t>
            </w:r>
            <w:r w:rsidRPr="005D1990">
              <w:rPr>
                <w:rFonts w:eastAsia="Times New Roman" w:hint="eastAsia"/>
                <w:sz w:val="22"/>
                <w:lang w:val="nl-NL"/>
              </w:rPr>
              <w:t>ư</w:t>
            </w:r>
            <w:r w:rsidRPr="005D1990">
              <w:rPr>
                <w:rFonts w:eastAsia="Times New Roman"/>
                <w:sz w:val="22"/>
                <w:lang w:val="nl-NL"/>
              </w:rPr>
              <w:t xml:space="preserve">ớng </w:t>
            </w:r>
            <w:r w:rsidRPr="005D1990">
              <w:rPr>
                <w:rFonts w:eastAsia="Times New Roman"/>
                <w:bCs/>
                <w:sz w:val="22"/>
                <w:lang w:val="nl-NL"/>
              </w:rPr>
              <w:t>Chính phủ</w:t>
            </w:r>
            <w:r w:rsidRPr="005D1990">
              <w:rPr>
                <w:rFonts w:eastAsia="Times New Roman"/>
                <w:sz w:val="22"/>
                <w:lang w:val="nl-NL"/>
              </w:rPr>
              <w:t xml:space="preserve"> (để báo cáo);</w:t>
            </w:r>
          </w:p>
          <w:p w14:paraId="7A2E0AE7" w14:textId="77777777" w:rsidR="007204EE" w:rsidRPr="005D1990" w:rsidRDefault="007204EE" w:rsidP="00AE2A95">
            <w:pPr>
              <w:widowControl w:val="0"/>
              <w:rPr>
                <w:rFonts w:eastAsia="Times New Roman"/>
                <w:sz w:val="22"/>
                <w:lang w:val="nl-NL"/>
              </w:rPr>
            </w:pPr>
            <w:r w:rsidRPr="005D1990">
              <w:rPr>
                <w:rFonts w:eastAsia="Times New Roman"/>
                <w:sz w:val="22"/>
                <w:lang w:val="nl-NL"/>
              </w:rPr>
              <w:t>- Các Phó Thủ t</w:t>
            </w:r>
            <w:r w:rsidRPr="005D1990">
              <w:rPr>
                <w:rFonts w:eastAsia="Times New Roman" w:hint="eastAsia"/>
                <w:sz w:val="22"/>
                <w:lang w:val="nl-NL"/>
              </w:rPr>
              <w:t>ư</w:t>
            </w:r>
            <w:r w:rsidRPr="005D1990">
              <w:rPr>
                <w:rFonts w:eastAsia="Times New Roman"/>
                <w:sz w:val="22"/>
                <w:lang w:val="nl-NL"/>
              </w:rPr>
              <w:t>ớng CP (để báo cáo);</w:t>
            </w:r>
          </w:p>
          <w:p w14:paraId="536536FA" w14:textId="77777777" w:rsidR="007204EE" w:rsidRPr="005D1990" w:rsidRDefault="007204EE" w:rsidP="00AE2A95">
            <w:pPr>
              <w:widowControl w:val="0"/>
              <w:rPr>
                <w:rFonts w:eastAsia="Times New Roman"/>
                <w:sz w:val="22"/>
                <w:lang w:val="nl-NL"/>
              </w:rPr>
            </w:pPr>
            <w:r w:rsidRPr="005D1990">
              <w:rPr>
                <w:rFonts w:eastAsia="Times New Roman"/>
                <w:sz w:val="22"/>
                <w:lang w:val="nl-NL"/>
              </w:rPr>
              <w:t xml:space="preserve">- Văn phòng </w:t>
            </w:r>
            <w:r w:rsidRPr="005D1990">
              <w:rPr>
                <w:rFonts w:eastAsia="Times New Roman"/>
                <w:bCs/>
                <w:sz w:val="22"/>
                <w:lang w:val="nl-NL"/>
              </w:rPr>
              <w:t>Chính phủ</w:t>
            </w:r>
            <w:r w:rsidRPr="005D1990">
              <w:rPr>
                <w:rFonts w:eastAsia="Times New Roman"/>
                <w:sz w:val="22"/>
                <w:lang w:val="nl-NL"/>
              </w:rPr>
              <w:t>;</w:t>
            </w:r>
          </w:p>
          <w:p w14:paraId="6CFB06C9" w14:textId="77777777" w:rsidR="007204EE" w:rsidRPr="005D1990" w:rsidRDefault="007204EE" w:rsidP="00AE2A95">
            <w:pPr>
              <w:widowControl w:val="0"/>
              <w:rPr>
                <w:rFonts w:eastAsia="Times New Roman"/>
                <w:sz w:val="22"/>
                <w:lang w:val="nl-NL"/>
              </w:rPr>
            </w:pPr>
            <w:r w:rsidRPr="005D1990">
              <w:rPr>
                <w:rFonts w:eastAsia="Times New Roman"/>
                <w:sz w:val="22"/>
                <w:lang w:val="nl-NL"/>
              </w:rPr>
              <w:t>- Bộ Tư pháp;</w:t>
            </w:r>
          </w:p>
          <w:p w14:paraId="7540316C" w14:textId="77777777" w:rsidR="007204EE" w:rsidRPr="005D1990" w:rsidRDefault="007204EE" w:rsidP="00AE2A95">
            <w:pPr>
              <w:widowControl w:val="0"/>
              <w:rPr>
                <w:sz w:val="22"/>
                <w:lang w:val="nl-NL"/>
              </w:rPr>
            </w:pPr>
            <w:r w:rsidRPr="005D1990">
              <w:rPr>
                <w:rFonts w:eastAsia="Times New Roman"/>
                <w:sz w:val="22"/>
                <w:lang w:val="nl-NL"/>
              </w:rPr>
              <w:t>- Vụ PC (BTC);</w:t>
            </w:r>
          </w:p>
          <w:p w14:paraId="3AB4E55C" w14:textId="77777777" w:rsidR="007204EE" w:rsidRPr="005D1990" w:rsidRDefault="007204EE" w:rsidP="00AE2A95">
            <w:pPr>
              <w:widowControl w:val="0"/>
              <w:rPr>
                <w:rFonts w:eastAsia="Times New Roman"/>
                <w:i/>
                <w:sz w:val="22"/>
                <w:lang w:val="nl-NL"/>
              </w:rPr>
            </w:pPr>
            <w:r w:rsidRPr="005D1990">
              <w:rPr>
                <w:rFonts w:eastAsia="Times New Roman"/>
                <w:sz w:val="22"/>
                <w:lang w:val="nl-NL"/>
              </w:rPr>
              <w:t>- Lưu: VT, TCT (VP, CS).</w:t>
            </w:r>
          </w:p>
        </w:tc>
        <w:tc>
          <w:tcPr>
            <w:tcW w:w="4138" w:type="dxa"/>
          </w:tcPr>
          <w:p w14:paraId="48CFCE44" w14:textId="77777777" w:rsidR="007204EE" w:rsidRPr="005D1990" w:rsidRDefault="007204EE" w:rsidP="00AE2A95">
            <w:pPr>
              <w:widowControl w:val="0"/>
              <w:jc w:val="center"/>
              <w:rPr>
                <w:rFonts w:eastAsia="Times New Roman"/>
                <w:b/>
                <w:sz w:val="26"/>
                <w:szCs w:val="26"/>
                <w:lang w:val="nl-NL"/>
              </w:rPr>
            </w:pPr>
          </w:p>
        </w:tc>
      </w:tr>
      <w:tr w:rsidR="007204EE" w:rsidRPr="005D1990" w14:paraId="5F1AFABC" w14:textId="77777777" w:rsidTr="00AE2A95">
        <w:tc>
          <w:tcPr>
            <w:tcW w:w="5273" w:type="dxa"/>
            <w:vMerge/>
          </w:tcPr>
          <w:p w14:paraId="27B3953A" w14:textId="77777777" w:rsidR="007204EE" w:rsidRPr="005D1990" w:rsidRDefault="007204EE" w:rsidP="00AE2A95">
            <w:pPr>
              <w:widowControl w:val="0"/>
              <w:rPr>
                <w:rFonts w:eastAsia="Times New Roman"/>
                <w:lang w:val="nl-NL"/>
              </w:rPr>
            </w:pPr>
          </w:p>
        </w:tc>
        <w:tc>
          <w:tcPr>
            <w:tcW w:w="4138" w:type="dxa"/>
          </w:tcPr>
          <w:p w14:paraId="2F70A8B0" w14:textId="77777777" w:rsidR="007204EE" w:rsidRPr="005D1990" w:rsidRDefault="007204EE" w:rsidP="00AE2A95">
            <w:pPr>
              <w:widowControl w:val="0"/>
              <w:jc w:val="center"/>
              <w:rPr>
                <w:rFonts w:eastAsia="Times New Roman"/>
                <w:lang w:val="nl-NL"/>
              </w:rPr>
            </w:pPr>
          </w:p>
          <w:p w14:paraId="100440E1" w14:textId="77777777" w:rsidR="007204EE" w:rsidRPr="005D1990" w:rsidRDefault="007204EE" w:rsidP="00AE2A95">
            <w:pPr>
              <w:widowControl w:val="0"/>
              <w:jc w:val="center"/>
              <w:rPr>
                <w:b/>
                <w:lang w:val="nl-NL"/>
              </w:rPr>
            </w:pPr>
          </w:p>
          <w:p w14:paraId="0E39C285" w14:textId="77777777" w:rsidR="007204EE" w:rsidRPr="005D1990" w:rsidRDefault="007204EE" w:rsidP="00AE2A95">
            <w:pPr>
              <w:widowControl w:val="0"/>
              <w:jc w:val="center"/>
              <w:rPr>
                <w:b/>
                <w:lang w:val="nl-NL"/>
              </w:rPr>
            </w:pPr>
          </w:p>
          <w:p w14:paraId="58E8266E" w14:textId="77777777" w:rsidR="007204EE" w:rsidRPr="005D1990" w:rsidRDefault="007204EE" w:rsidP="00AE2A95">
            <w:pPr>
              <w:widowControl w:val="0"/>
              <w:jc w:val="center"/>
              <w:rPr>
                <w:b/>
                <w:lang w:val="nl-NL"/>
              </w:rPr>
            </w:pPr>
          </w:p>
          <w:p w14:paraId="5D173A0D" w14:textId="77777777" w:rsidR="007204EE" w:rsidRPr="005D1990" w:rsidRDefault="007204EE" w:rsidP="00AE2A95">
            <w:pPr>
              <w:widowControl w:val="0"/>
              <w:jc w:val="center"/>
              <w:rPr>
                <w:rFonts w:eastAsia="Times New Roman"/>
                <w:b/>
                <w:lang w:val="nl-NL"/>
              </w:rPr>
            </w:pPr>
            <w:r w:rsidRPr="005D1990">
              <w:rPr>
                <w:rFonts w:eastAsia="Times New Roman"/>
                <w:b/>
                <w:lang w:val="nl-NL"/>
              </w:rPr>
              <w:t>Đinh Tiến Dũng</w:t>
            </w:r>
          </w:p>
        </w:tc>
      </w:tr>
    </w:tbl>
    <w:p w14:paraId="2911DB5C" w14:textId="77777777" w:rsidR="007204EE" w:rsidRPr="005D1990" w:rsidRDefault="007204EE" w:rsidP="007204EE">
      <w:pPr>
        <w:widowControl w:val="0"/>
      </w:pPr>
    </w:p>
    <w:p w14:paraId="44FA8A12" w14:textId="77777777" w:rsidR="007204EE" w:rsidRDefault="007204EE">
      <w:bookmarkStart w:id="0" w:name="_GoBack"/>
      <w:bookmarkEnd w:id="0"/>
    </w:p>
    <w:sectPr w:rsidR="007204EE" w:rsidSect="00504335">
      <w:footerReference w:type="default" r:id="rId7"/>
      <w:pgSz w:w="11907" w:h="16840" w:code="9"/>
      <w:pgMar w:top="1021" w:right="1134" w:bottom="1021" w:left="1418"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BB9D" w14:textId="77777777" w:rsidR="00280787" w:rsidRDefault="00280787" w:rsidP="007204EE">
      <w:r>
        <w:separator/>
      </w:r>
    </w:p>
  </w:endnote>
  <w:endnote w:type="continuationSeparator" w:id="0">
    <w:p w14:paraId="311267C8" w14:textId="77777777" w:rsidR="00280787" w:rsidRDefault="00280787" w:rsidP="0072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9E0A7" w14:textId="77777777" w:rsidR="005C1909" w:rsidRPr="00813E51" w:rsidRDefault="00280787" w:rsidP="00813E51">
    <w:pPr>
      <w:pStyle w:val="Footer"/>
      <w:jc w:val="right"/>
      <w:rPr>
        <w:sz w:val="26"/>
        <w:szCs w:val="26"/>
      </w:rPr>
    </w:pPr>
    <w:r w:rsidRPr="00813E51">
      <w:rPr>
        <w:sz w:val="26"/>
        <w:szCs w:val="26"/>
      </w:rPr>
      <w:fldChar w:fldCharType="begin"/>
    </w:r>
    <w:r w:rsidRPr="00813E51">
      <w:rPr>
        <w:sz w:val="26"/>
        <w:szCs w:val="26"/>
      </w:rPr>
      <w:instrText xml:space="preserve"> PAGE   \* MERGEFORMAT </w:instrText>
    </w:r>
    <w:r w:rsidRPr="00813E51">
      <w:rPr>
        <w:sz w:val="26"/>
        <w:szCs w:val="26"/>
      </w:rPr>
      <w:fldChar w:fldCharType="separate"/>
    </w:r>
    <w:r>
      <w:rPr>
        <w:noProof/>
        <w:sz w:val="26"/>
        <w:szCs w:val="26"/>
      </w:rPr>
      <w:t>6</w:t>
    </w:r>
    <w:r w:rsidRPr="00813E51">
      <w:rPr>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068A" w14:textId="77777777" w:rsidR="00280787" w:rsidRDefault="00280787" w:rsidP="007204EE">
      <w:r>
        <w:separator/>
      </w:r>
    </w:p>
  </w:footnote>
  <w:footnote w:type="continuationSeparator" w:id="0">
    <w:p w14:paraId="5C4FBE06" w14:textId="77777777" w:rsidR="00280787" w:rsidRDefault="00280787" w:rsidP="007204EE">
      <w:r>
        <w:continuationSeparator/>
      </w:r>
    </w:p>
  </w:footnote>
  <w:footnote w:id="1">
    <w:p w14:paraId="2D1922D4" w14:textId="77777777" w:rsidR="007204EE" w:rsidRPr="00CF33C7" w:rsidRDefault="007204EE" w:rsidP="007204EE">
      <w:pPr>
        <w:pStyle w:val="FootnoteText"/>
        <w:rPr>
          <w:sz w:val="22"/>
          <w:szCs w:val="22"/>
        </w:rPr>
      </w:pPr>
      <w:r w:rsidRPr="00CF33C7">
        <w:rPr>
          <w:rStyle w:val="FootnoteReference"/>
          <w:b/>
          <w:sz w:val="22"/>
          <w:szCs w:val="22"/>
        </w:rPr>
        <w:footnoteRef/>
      </w:r>
      <w:r w:rsidRPr="00CF33C7">
        <w:rPr>
          <w:sz w:val="22"/>
          <w:szCs w:val="22"/>
        </w:rPr>
        <w:t xml:space="preserve"> Nghị định số 51/2010/NĐ-CP thay thế Nghị định số 89/2002/NĐ-CP ngày 07/11/2002 quy định về việc in, phát hành, sử dụng, quản lý hóa đơn.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73B"/>
    <w:multiLevelType w:val="hybridMultilevel"/>
    <w:tmpl w:val="D05E356E"/>
    <w:lvl w:ilvl="0" w:tplc="44328B2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500DB"/>
    <w:multiLevelType w:val="hybridMultilevel"/>
    <w:tmpl w:val="2A8240B4"/>
    <w:lvl w:ilvl="0" w:tplc="BFB40D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122B38"/>
    <w:multiLevelType w:val="hybridMultilevel"/>
    <w:tmpl w:val="0F6610CC"/>
    <w:lvl w:ilvl="0" w:tplc="42285A3C">
      <w:start w:val="2"/>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D86787A"/>
    <w:multiLevelType w:val="hybridMultilevel"/>
    <w:tmpl w:val="E2821B66"/>
    <w:lvl w:ilvl="0" w:tplc="7D7464D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E03029"/>
    <w:multiLevelType w:val="hybridMultilevel"/>
    <w:tmpl w:val="FD2E607A"/>
    <w:lvl w:ilvl="0" w:tplc="D4BCB22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735BB0"/>
    <w:multiLevelType w:val="hybridMultilevel"/>
    <w:tmpl w:val="70AA97AE"/>
    <w:lvl w:ilvl="0" w:tplc="2362C8B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C0559"/>
    <w:multiLevelType w:val="hybridMultilevel"/>
    <w:tmpl w:val="B9E87A70"/>
    <w:lvl w:ilvl="0" w:tplc="349A64FE">
      <w:start w:val="1"/>
      <w:numFmt w:val="decimal"/>
      <w:suff w:val="space"/>
      <w:lvlText w:val="2.%1."/>
      <w:lvlJc w:val="left"/>
      <w:pPr>
        <w:ind w:left="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121FA6"/>
    <w:multiLevelType w:val="hybridMultilevel"/>
    <w:tmpl w:val="4ABED0E4"/>
    <w:lvl w:ilvl="0" w:tplc="2D8EF3D2">
      <w:start w:val="2"/>
      <w:numFmt w:val="bullet"/>
      <w:lvlText w:val="-"/>
      <w:lvlJc w:val="left"/>
      <w:pPr>
        <w:ind w:left="923" w:hanging="360"/>
      </w:pPr>
      <w:rPr>
        <w:rFonts w:ascii="Times New Roman" w:eastAsia="Calibri" w:hAnsi="Times New Roman" w:cs="Times New Roman"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3"/>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EE"/>
    <w:rsid w:val="00280787"/>
    <w:rsid w:val="0072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04F4"/>
  <w15:chartTrackingRefBased/>
  <w15:docId w15:val="{A96168F7-7D13-4A2E-BC23-E5FEBDC1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4EE"/>
    <w:pPr>
      <w:spacing w:after="0" w:line="240" w:lineRule="auto"/>
      <w:jc w:val="both"/>
    </w:pPr>
    <w:rPr>
      <w:rFonts w:ascii="Times New Roman" w:eastAsia="Calibri" w:hAnsi="Times New Roman" w:cs="Times New Roman"/>
      <w:sz w:val="28"/>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7204EE"/>
    <w:pPr>
      <w:keepNext/>
      <w:keepLines/>
      <w:spacing w:before="200"/>
      <w:outlineLvl w:val="1"/>
    </w:pPr>
    <w:rPr>
      <w:rFonts w:ascii="Cambria" w:eastAsia="Times New Roman" w:hAnsi="Cambria"/>
      <w:b/>
      <w:bCs/>
      <w:color w:val="4F81BD"/>
      <w:sz w:val="26"/>
      <w:szCs w:val="26"/>
      <w:lang w:val="x-none" w:eastAsia="x-none"/>
    </w:rPr>
  </w:style>
  <w:style w:type="paragraph" w:styleId="Heading7">
    <w:name w:val="heading 7"/>
    <w:basedOn w:val="Normal"/>
    <w:next w:val="Normal"/>
    <w:link w:val="Heading7Char"/>
    <w:qFormat/>
    <w:rsid w:val="007204EE"/>
    <w:pPr>
      <w:keepNext/>
      <w:jc w:val="center"/>
      <w:outlineLvl w:val="6"/>
    </w:pPr>
    <w:rPr>
      <w:rFonts w:ascii=".VnTime" w:eastAsia="Times New Roman" w:hAnsi=".VnTime"/>
      <w:i/>
      <w:i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1 Char1,Heading 2 Char Char Char Char1,Heading 2 Char1 Char Char Char Char1,Heading 2 Char1 Char Char Char2,l2 Char1,H2 Char1,h21 Char1,H21 Char1,l21 Char1,H22 Char1,l22 Char1,H23 Char1,l23 Char1"/>
    <w:basedOn w:val="DefaultParagraphFont"/>
    <w:link w:val="Heading2"/>
    <w:uiPriority w:val="9"/>
    <w:rsid w:val="007204EE"/>
    <w:rPr>
      <w:rFonts w:ascii="Cambria" w:eastAsia="Times New Roman" w:hAnsi="Cambria" w:cs="Times New Roman"/>
      <w:b/>
      <w:bCs/>
      <w:color w:val="4F81BD"/>
      <w:sz w:val="26"/>
      <w:szCs w:val="26"/>
      <w:lang w:val="x-none" w:eastAsia="x-none"/>
    </w:rPr>
  </w:style>
  <w:style w:type="character" w:customStyle="1" w:styleId="Heading7Char">
    <w:name w:val="Heading 7 Char"/>
    <w:basedOn w:val="DefaultParagraphFont"/>
    <w:link w:val="Heading7"/>
    <w:rsid w:val="007204EE"/>
    <w:rPr>
      <w:rFonts w:ascii=".VnTime" w:eastAsia="Times New Roman" w:hAnsi=".VnTime" w:cs="Times New Roman"/>
      <w:i/>
      <w:iCs/>
      <w:sz w:val="20"/>
      <w:szCs w:val="28"/>
      <w:lang w:val="x-none" w:eastAsia="x-none"/>
    </w:rPr>
  </w:style>
  <w:style w:type="table" w:styleId="TableGrid">
    <w:name w:val="Table Grid"/>
    <w:basedOn w:val="TableNormal"/>
    <w:uiPriority w:val="59"/>
    <w:rsid w:val="007204EE"/>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204E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204EE"/>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7204E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204EE"/>
    <w:rPr>
      <w:rFonts w:ascii="Times New Roman" w:eastAsia="Calibri" w:hAnsi="Times New Roman" w:cs="Times New Roman"/>
      <w:sz w:val="28"/>
      <w:lang w:val="x-none" w:eastAsia="x-none"/>
    </w:rPr>
  </w:style>
  <w:style w:type="paragraph" w:styleId="BalloonText">
    <w:name w:val="Balloon Text"/>
    <w:basedOn w:val="Normal"/>
    <w:link w:val="BalloonTextChar"/>
    <w:uiPriority w:val="99"/>
    <w:semiHidden/>
    <w:unhideWhenUsed/>
    <w:rsid w:val="007204E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204EE"/>
    <w:rPr>
      <w:rFonts w:ascii="Tahoma" w:eastAsia="Calibri" w:hAnsi="Tahoma" w:cs="Times New Roman"/>
      <w:sz w:val="16"/>
      <w:szCs w:val="16"/>
      <w:lang w:val="x-none" w:eastAsia="x-non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
    <w:basedOn w:val="Normal"/>
    <w:link w:val="FootnoteTextChar"/>
    <w:unhideWhenUsed/>
    <w:qFormat/>
    <w:rsid w:val="007204EE"/>
    <w:rPr>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
    <w:basedOn w:val="DefaultParagraphFont"/>
    <w:link w:val="FootnoteText"/>
    <w:rsid w:val="007204EE"/>
    <w:rPr>
      <w:rFonts w:ascii="Times New Roman" w:eastAsia="Calibri" w:hAnsi="Times New Roman" w:cs="Times New Roman"/>
      <w:sz w:val="20"/>
      <w:szCs w:val="20"/>
      <w:lang w:val="x-none" w:eastAsia="x-none"/>
    </w:rPr>
  </w:style>
  <w:style w:type="paragraph" w:styleId="ListParagraph">
    <w:name w:val="List Paragraph"/>
    <w:basedOn w:val="Normal"/>
    <w:link w:val="ListParagraphChar"/>
    <w:uiPriority w:val="34"/>
    <w:qFormat/>
    <w:rsid w:val="007204EE"/>
    <w:pPr>
      <w:spacing w:after="200" w:line="276" w:lineRule="auto"/>
      <w:ind w:left="720"/>
      <w:contextualSpacing/>
      <w:jc w:val="left"/>
    </w:pPr>
    <w:rPr>
      <w:lang w:val="x-none" w:eastAsia="x-none"/>
    </w:rPr>
  </w:style>
  <w:style w:type="paragraph" w:styleId="NormalWeb">
    <w:name w:val="Normal (Web)"/>
    <w:basedOn w:val="Normal"/>
    <w:link w:val="NormalWebChar"/>
    <w:uiPriority w:val="99"/>
    <w:rsid w:val="007204EE"/>
    <w:pPr>
      <w:spacing w:before="100" w:beforeAutospacing="1" w:after="100" w:afterAutospacing="1"/>
      <w:jc w:val="left"/>
    </w:pPr>
    <w:rPr>
      <w:rFonts w:eastAsia="Times New Roman"/>
      <w:sz w:val="24"/>
      <w:szCs w:val="24"/>
      <w:lang w:val="x-none" w:eastAsia="x-none"/>
    </w:rPr>
  </w:style>
  <w:style w:type="character" w:customStyle="1" w:styleId="NormalWebChar">
    <w:name w:val="Normal (Web) Char"/>
    <w:link w:val="NormalWeb"/>
    <w:uiPriority w:val="99"/>
    <w:locked/>
    <w:rsid w:val="007204EE"/>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7204EE"/>
    <w:pPr>
      <w:jc w:val="left"/>
    </w:pPr>
    <w:rPr>
      <w:rFonts w:ascii=".VnTimeH" w:eastAsia="Times New Roman" w:hAnsi=".VnTimeH"/>
      <w:color w:val="0000FF"/>
      <w:szCs w:val="20"/>
      <w:lang w:val="x-none" w:eastAsia="x-none"/>
    </w:rPr>
  </w:style>
  <w:style w:type="character" w:customStyle="1" w:styleId="BodyTextChar">
    <w:name w:val="Body Text Char"/>
    <w:basedOn w:val="DefaultParagraphFont"/>
    <w:link w:val="BodyText"/>
    <w:rsid w:val="007204EE"/>
    <w:rPr>
      <w:rFonts w:ascii=".VnTimeH" w:eastAsia="Times New Roman" w:hAnsi=".VnTimeH" w:cs="Times New Roman"/>
      <w:color w:val="0000FF"/>
      <w:sz w:val="28"/>
      <w:szCs w:val="20"/>
      <w:lang w:val="x-none" w:eastAsia="x-none"/>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7204EE"/>
    <w:rPr>
      <w:vertAlign w:val="superscript"/>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Char Char"/>
    <w:basedOn w:val="Normal"/>
    <w:link w:val="BodyTextIndentChar"/>
    <w:uiPriority w:val="99"/>
    <w:unhideWhenUsed/>
    <w:rsid w:val="007204EE"/>
    <w:pPr>
      <w:spacing w:after="120"/>
      <w:ind w:left="360"/>
    </w:pPr>
    <w:rPr>
      <w:lang w:val="x-none" w:eastAsia="x-none"/>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
    <w:basedOn w:val="DefaultParagraphFont"/>
    <w:link w:val="BodyTextIndent"/>
    <w:uiPriority w:val="99"/>
    <w:rsid w:val="007204EE"/>
    <w:rPr>
      <w:rFonts w:ascii="Times New Roman" w:eastAsia="Calibri" w:hAnsi="Times New Roman" w:cs="Times New Roman"/>
      <w:sz w:val="28"/>
      <w:lang w:val="x-none" w:eastAsia="x-none"/>
    </w:rPr>
  </w:style>
  <w:style w:type="character" w:customStyle="1" w:styleId="Heading2Char2">
    <w:name w:val="Heading 2 Char2"/>
    <w:aliases w:val="Heading 2 Char1 Char,Heading 2 Char Char Char Char,Heading 2 Char1 Char Char Char Char,Heading 2 Char1 Char Char Char1,l2 Char,H2 Char,h21 Char,H21 Char,l21 Char,H22 Char,l22 Char,H23 Char,l23 Char"/>
    <w:rsid w:val="007204EE"/>
    <w:rPr>
      <w:rFonts w:ascii=".VnTimeH" w:hAnsi=".VnTimeH"/>
      <w:b/>
      <w:color w:val="0000FF"/>
      <w:sz w:val="24"/>
      <w:szCs w:val="24"/>
      <w:lang w:val="en-US" w:eastAsia="en-US"/>
    </w:rPr>
  </w:style>
  <w:style w:type="character" w:customStyle="1" w:styleId="apple-converted-space">
    <w:name w:val="apple-converted-space"/>
    <w:rsid w:val="007204EE"/>
  </w:style>
  <w:style w:type="character" w:customStyle="1" w:styleId="ListParagraphChar">
    <w:name w:val="List Paragraph Char"/>
    <w:link w:val="ListParagraph"/>
    <w:uiPriority w:val="34"/>
    <w:rsid w:val="007204EE"/>
    <w:rPr>
      <w:rFonts w:ascii="Times New Roman" w:eastAsia="Calibri" w:hAnsi="Times New Roman" w:cs="Times New Roman"/>
      <w:sz w:val="28"/>
      <w:lang w:val="x-none" w:eastAsia="x-none"/>
    </w:rPr>
  </w:style>
  <w:style w:type="character" w:styleId="Strong">
    <w:name w:val="Strong"/>
    <w:uiPriority w:val="22"/>
    <w:qFormat/>
    <w:rsid w:val="007204EE"/>
    <w:rPr>
      <w:b/>
      <w:bCs/>
    </w:rPr>
  </w:style>
  <w:style w:type="paragraph" w:styleId="CommentText">
    <w:name w:val="annotation text"/>
    <w:basedOn w:val="Normal"/>
    <w:link w:val="CommentTextChar"/>
    <w:uiPriority w:val="99"/>
    <w:rsid w:val="007204EE"/>
    <w:pPr>
      <w:jc w:val="left"/>
    </w:pPr>
    <w:rPr>
      <w:rFonts w:eastAsia="Times New Roman"/>
      <w:sz w:val="20"/>
      <w:szCs w:val="20"/>
      <w:lang w:val="x-none" w:eastAsia="x-none"/>
    </w:rPr>
  </w:style>
  <w:style w:type="character" w:customStyle="1" w:styleId="CommentTextChar">
    <w:name w:val="Comment Text Char"/>
    <w:basedOn w:val="DefaultParagraphFont"/>
    <w:link w:val="CommentText"/>
    <w:uiPriority w:val="99"/>
    <w:rsid w:val="007204EE"/>
    <w:rPr>
      <w:rFonts w:ascii="Times New Roman" w:eastAsia="Times New Roman" w:hAnsi="Times New Roman" w:cs="Times New Roman"/>
      <w:sz w:val="20"/>
      <w:szCs w:val="20"/>
      <w:lang w:val="x-none" w:eastAsia="x-none"/>
    </w:rPr>
  </w:style>
  <w:style w:type="character" w:styleId="CommentReference">
    <w:name w:val="annotation reference"/>
    <w:uiPriority w:val="99"/>
    <w:rsid w:val="007204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3867</Words>
  <Characters>22047</Characters>
  <Application>Microsoft Office Word</Application>
  <DocSecurity>0</DocSecurity>
  <Lines>183</Lines>
  <Paragraphs>51</Paragraphs>
  <ScaleCrop>false</ScaleCrop>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dc:description/>
  <cp:lastModifiedBy>Nga</cp:lastModifiedBy>
  <cp:revision>1</cp:revision>
  <dcterms:created xsi:type="dcterms:W3CDTF">2020-03-03T06:47:00Z</dcterms:created>
  <dcterms:modified xsi:type="dcterms:W3CDTF">2020-03-03T06:47:00Z</dcterms:modified>
</cp:coreProperties>
</file>