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433"/>
        <w:gridCol w:w="7032"/>
      </w:tblGrid>
      <w:tr w:rsidR="004F2741" w:rsidRPr="004F2741" w:rsidTr="004F2741">
        <w:trPr>
          <w:trHeight w:val="284"/>
          <w:jc w:val="center"/>
        </w:trPr>
        <w:tc>
          <w:tcPr>
            <w:tcW w:w="0" w:type="auto"/>
            <w:tcBorders>
              <w:top w:val="nil"/>
              <w:left w:val="nil"/>
              <w:bottom w:val="nil"/>
              <w:right w:val="nil"/>
            </w:tcBorders>
            <w:shd w:val="clear" w:color="auto" w:fill="FFFFFF"/>
            <w:hideMark/>
          </w:tcPr>
          <w:p w:rsidR="004F2741" w:rsidRPr="004F2741" w:rsidRDefault="004F2741" w:rsidP="004F2741">
            <w:pPr>
              <w:ind w:firstLine="0"/>
              <w:jc w:val="center"/>
            </w:pPr>
            <w:r w:rsidRPr="004F2741">
              <w:rPr>
                <w:b/>
                <w:bCs/>
              </w:rPr>
              <w:t>CHÍNH PHỦ</w:t>
            </w:r>
          </w:p>
          <w:p w:rsidR="004F2741" w:rsidRPr="004F2741" w:rsidRDefault="004F2741" w:rsidP="004F2741">
            <w:pPr>
              <w:ind w:firstLine="0"/>
            </w:pPr>
            <w:r w:rsidRPr="004F2741">
              <w:t> </w:t>
            </w:r>
          </w:p>
        </w:tc>
        <w:tc>
          <w:tcPr>
            <w:tcW w:w="0" w:type="auto"/>
            <w:tcBorders>
              <w:top w:val="nil"/>
              <w:left w:val="nil"/>
              <w:bottom w:val="nil"/>
              <w:right w:val="nil"/>
            </w:tcBorders>
            <w:shd w:val="clear" w:color="auto" w:fill="FFFFFF"/>
            <w:hideMark/>
          </w:tcPr>
          <w:p w:rsidR="004F2741" w:rsidRPr="004F2741" w:rsidRDefault="004F2741" w:rsidP="004F2741">
            <w:pPr>
              <w:ind w:firstLine="0"/>
              <w:jc w:val="center"/>
            </w:pPr>
            <w:r w:rsidRPr="004F2741">
              <w:rPr>
                <w:b/>
                <w:bCs/>
              </w:rPr>
              <w:t>CỘNG HOÀ XÃ HỘI CHỦ NGHĨA VIỆT NAM</w:t>
            </w:r>
          </w:p>
          <w:p w:rsidR="004F2741" w:rsidRPr="004F2741" w:rsidRDefault="004F2741" w:rsidP="004F2741">
            <w:pPr>
              <w:ind w:firstLine="0"/>
              <w:jc w:val="center"/>
            </w:pPr>
            <w:r w:rsidRPr="004F2741">
              <w:rPr>
                <w:b/>
                <w:bCs/>
              </w:rPr>
              <w:t>Độc lập - Tự do - Hạnh phúc</w:t>
            </w:r>
            <w:bookmarkStart w:id="0" w:name="_GoBack"/>
            <w:bookmarkEnd w:id="0"/>
          </w:p>
        </w:tc>
      </w:tr>
      <w:tr w:rsidR="004F2741" w:rsidRPr="004F2741" w:rsidTr="004F2741">
        <w:trPr>
          <w:trHeight w:val="284"/>
          <w:jc w:val="center"/>
        </w:trPr>
        <w:tc>
          <w:tcPr>
            <w:tcW w:w="0" w:type="auto"/>
            <w:tcBorders>
              <w:top w:val="nil"/>
              <w:left w:val="nil"/>
              <w:bottom w:val="nil"/>
              <w:right w:val="nil"/>
            </w:tcBorders>
            <w:shd w:val="clear" w:color="auto" w:fill="FFFFFF"/>
            <w:hideMark/>
          </w:tcPr>
          <w:p w:rsidR="004F2741" w:rsidRPr="004F2741" w:rsidRDefault="004F2741" w:rsidP="004F2741">
            <w:pPr>
              <w:ind w:firstLine="0"/>
              <w:jc w:val="center"/>
            </w:pPr>
            <w:r w:rsidRPr="004F2741">
              <w:t>Số: /2019/NĐ-CP</w:t>
            </w:r>
          </w:p>
        </w:tc>
        <w:tc>
          <w:tcPr>
            <w:tcW w:w="0" w:type="auto"/>
            <w:tcBorders>
              <w:top w:val="nil"/>
              <w:left w:val="nil"/>
              <w:bottom w:val="nil"/>
              <w:right w:val="nil"/>
            </w:tcBorders>
            <w:shd w:val="clear" w:color="auto" w:fill="FFFFFF"/>
            <w:hideMark/>
          </w:tcPr>
          <w:p w:rsidR="004F2741" w:rsidRPr="004F2741" w:rsidRDefault="004F2741" w:rsidP="004F2741">
            <w:pPr>
              <w:ind w:firstLine="0"/>
              <w:jc w:val="right"/>
            </w:pPr>
            <w:r w:rsidRPr="004F2741">
              <w:rPr>
                <w:i/>
                <w:iCs/>
              </w:rPr>
              <w:t>Hà Nội, ngày </w:t>
            </w:r>
            <w:r>
              <w:rPr>
                <w:i/>
                <w:iCs/>
              </w:rPr>
              <w:t xml:space="preserve">   </w:t>
            </w:r>
            <w:r w:rsidRPr="004F2741">
              <w:rPr>
                <w:i/>
                <w:iCs/>
              </w:rPr>
              <w:t>tháng 12 năm 2019</w:t>
            </w:r>
          </w:p>
        </w:tc>
      </w:tr>
    </w:tbl>
    <w:p w:rsidR="004F2741" w:rsidRPr="004F2741" w:rsidRDefault="004F2741" w:rsidP="004F2741">
      <w:pPr>
        <w:ind w:firstLine="0"/>
        <w:jc w:val="center"/>
      </w:pPr>
    </w:p>
    <w:p w:rsidR="004F2741" w:rsidRPr="004F2741" w:rsidRDefault="004F2741" w:rsidP="004F2741">
      <w:pPr>
        <w:ind w:firstLine="0"/>
        <w:jc w:val="center"/>
      </w:pPr>
      <w:r w:rsidRPr="004F2741">
        <w:rPr>
          <w:b/>
          <w:bCs/>
        </w:rPr>
        <w:t>NGHỊ ĐỊNH</w:t>
      </w:r>
    </w:p>
    <w:p w:rsidR="004F2741" w:rsidRPr="004F2741" w:rsidRDefault="004F2741" w:rsidP="004F2741">
      <w:pPr>
        <w:ind w:firstLine="0"/>
        <w:jc w:val="center"/>
        <w:rPr>
          <w:b/>
          <w:bCs/>
        </w:rPr>
      </w:pPr>
      <w:r w:rsidRPr="004F2741">
        <w:rPr>
          <w:b/>
          <w:bCs/>
        </w:rPr>
        <w:t>Sửa đổi, bổ sung khoản 3 Điều 8 Nghị định số 20/2017/NĐ-CP ngày 24 tháng 02 năm 2017 của Chính phủ quy định về quản lý thuế đối với doanh nghiệp có giao dịch liên kết</w:t>
      </w:r>
    </w:p>
    <w:p w:rsidR="004F2741" w:rsidRPr="004F2741" w:rsidRDefault="004F2741" w:rsidP="004F2741">
      <w:pPr>
        <w:ind w:firstLine="0"/>
      </w:pPr>
      <w:r w:rsidRPr="004F2741">
        <w:t> </w:t>
      </w:r>
    </w:p>
    <w:p w:rsidR="004F2741" w:rsidRPr="004F2741" w:rsidRDefault="004F2741" w:rsidP="004F2741">
      <w:pPr>
        <w:ind w:firstLine="0"/>
      </w:pPr>
      <w:r w:rsidRPr="004F2741">
        <w:t>      </w:t>
      </w:r>
      <w:r w:rsidRPr="004F2741">
        <w:rPr>
          <w:i/>
          <w:iCs/>
        </w:rPr>
        <w:t>Căn cứ Luật tổ chức Chính phủ ngày 19 tháng 6 năm 2015;</w:t>
      </w:r>
    </w:p>
    <w:p w:rsidR="004F2741" w:rsidRPr="004F2741" w:rsidRDefault="004F2741" w:rsidP="004F2741">
      <w:pPr>
        <w:ind w:firstLine="0"/>
      </w:pPr>
      <w:r w:rsidRPr="004F2741">
        <w:rPr>
          <w:i/>
          <w:iCs/>
        </w:rPr>
        <w:t>      Căn cứ Luật quản lý thuế ngày 29 tháng 11 năm 2006; Luật sửa đổi, bổ sung một số điều của Luật quản lý thuế ngày 20 tháng 11 năm 2012; Luật Quản lý thuế ngày 13 tháng 6 năm 2019;</w:t>
      </w:r>
    </w:p>
    <w:p w:rsidR="004F2741" w:rsidRPr="004F2741" w:rsidRDefault="004F2741" w:rsidP="004F2741">
      <w:pPr>
        <w:ind w:firstLine="0"/>
      </w:pPr>
      <w:r w:rsidRPr="004F2741">
        <w:rPr>
          <w:i/>
          <w:iCs/>
        </w:rPr>
        <w:t>      Căn cứ Luật thuế thu nhập doanh nghiệp ngày 03 tháng 06 năm 2008; Luật sửa đổi, bổ sung một số điều của Luật thuế thu nhập doanh nghiệp ngày 19 tháng 6 năm 2013;</w:t>
      </w:r>
    </w:p>
    <w:p w:rsidR="004F2741" w:rsidRPr="004F2741" w:rsidRDefault="004F2741" w:rsidP="004F2741">
      <w:pPr>
        <w:ind w:firstLine="0"/>
      </w:pPr>
      <w:r w:rsidRPr="004F2741">
        <w:rPr>
          <w:i/>
          <w:iCs/>
        </w:rPr>
        <w:t>    Căn cứ Luật sửa đổi, bổ sung một số điều của các Luật về thuế ngày 26 tháng 11 năm 2014;   </w:t>
      </w:r>
    </w:p>
    <w:p w:rsidR="004F2741" w:rsidRPr="004F2741" w:rsidRDefault="004F2741" w:rsidP="004F2741">
      <w:pPr>
        <w:ind w:firstLine="0"/>
      </w:pPr>
      <w:r w:rsidRPr="004F2741">
        <w:rPr>
          <w:i/>
          <w:iCs/>
        </w:rPr>
        <w:t>      Căn cứ Luật đầu tư ngày 26 tháng 11 năm 2014;</w:t>
      </w:r>
    </w:p>
    <w:p w:rsidR="004F2741" w:rsidRPr="004F2741" w:rsidRDefault="004F2741" w:rsidP="004F2741">
      <w:pPr>
        <w:ind w:firstLine="0"/>
      </w:pPr>
      <w:r w:rsidRPr="004F2741">
        <w:rPr>
          <w:i/>
          <w:iCs/>
        </w:rPr>
        <w:t>      Căn cứ Luật doanh nghiệp ngày 26 tháng 11 năm 2014;</w:t>
      </w:r>
    </w:p>
    <w:p w:rsidR="004F2741" w:rsidRPr="004F2741" w:rsidRDefault="004F2741" w:rsidP="004F2741">
      <w:pPr>
        <w:ind w:firstLine="0"/>
      </w:pPr>
      <w:r w:rsidRPr="004F2741">
        <w:rPr>
          <w:i/>
          <w:iCs/>
        </w:rPr>
        <w:t>      Căn cứ Luật kế toán ngày 20 tháng 11 năm 2015;</w:t>
      </w:r>
    </w:p>
    <w:p w:rsidR="004F2741" w:rsidRPr="004F2741" w:rsidRDefault="004F2741" w:rsidP="004F2741">
      <w:pPr>
        <w:ind w:firstLine="0"/>
      </w:pPr>
      <w:r w:rsidRPr="004F2741">
        <w:rPr>
          <w:i/>
          <w:iCs/>
        </w:rPr>
        <w:t>    Căn cứ Luật giá ngày 20 tháng 6 năm 2012;</w:t>
      </w:r>
    </w:p>
    <w:p w:rsidR="004F2741" w:rsidRPr="004F2741" w:rsidRDefault="004F2741" w:rsidP="004F2741">
      <w:pPr>
        <w:ind w:firstLine="0"/>
      </w:pPr>
      <w:r w:rsidRPr="004F2741">
        <w:rPr>
          <w:i/>
          <w:iCs/>
        </w:rPr>
        <w:t>      Theo đề nghị của Bộ trưởng Bộ Tài chính;</w:t>
      </w:r>
    </w:p>
    <w:p w:rsidR="004F2741" w:rsidRPr="004F2741" w:rsidRDefault="004F2741" w:rsidP="004F2741">
      <w:pPr>
        <w:ind w:firstLine="0"/>
      </w:pPr>
      <w:r w:rsidRPr="004F2741">
        <w:rPr>
          <w:i/>
          <w:iCs/>
        </w:rPr>
        <w:t>      Chính phủ ban hành Nghị định sửa đổi, bổ sung một số điều của Nghị định số 20/2017/NĐ-CP ngày 24 tháng 02 năm 2017 của Chính phủ quy định về quản lý thuế đối với doanh nghiệp có giao dịch liên kết.</w:t>
      </w:r>
    </w:p>
    <w:p w:rsidR="004F2741" w:rsidRPr="004F2741" w:rsidRDefault="004F2741" w:rsidP="004F2741">
      <w:pPr>
        <w:ind w:firstLine="0"/>
      </w:pPr>
      <w:r w:rsidRPr="004F2741">
        <w:t> </w:t>
      </w:r>
    </w:p>
    <w:p w:rsidR="004F2741" w:rsidRPr="004F2741" w:rsidRDefault="004F2741" w:rsidP="004F2741">
      <w:pPr>
        <w:ind w:firstLine="0"/>
      </w:pPr>
      <w:r w:rsidRPr="004F2741">
        <w:rPr>
          <w:b/>
          <w:bCs/>
        </w:rPr>
        <w:t>      Điều 1. Sửa đổi, bổ sung tên Điều 8 và khoản 3 Điều 8 Nghị định số 20/2017/NĐ-CP ngày 24 tháng 02 năm 2017 của Chính phủ quy định về quản lý thuế đối với doanh nghiệp có giao dịch liên kết</w:t>
      </w:r>
    </w:p>
    <w:p w:rsidR="004F2741" w:rsidRPr="004F2741" w:rsidRDefault="004F2741" w:rsidP="004F2741">
      <w:pPr>
        <w:ind w:firstLine="0"/>
      </w:pPr>
      <w:r w:rsidRPr="004F2741">
        <w:t>      1. Tên Điều 8 được sửa đổi, bổ sung như sau:</w:t>
      </w:r>
    </w:p>
    <w:p w:rsidR="004F2741" w:rsidRPr="004F2741" w:rsidRDefault="004F2741" w:rsidP="004F2741">
      <w:pPr>
        <w:ind w:firstLine="0"/>
      </w:pPr>
      <w:r w:rsidRPr="004F2741">
        <w:t>   </w:t>
      </w:r>
      <w:r w:rsidRPr="004F2741">
        <w:rPr>
          <w:u w:val="single"/>
        </w:rPr>
        <w:t>“Điều 8. </w:t>
      </w:r>
      <w:r w:rsidRPr="004F2741">
        <w:t>Xác định chi phí tính thuế đối với doanh nghiệp có giao dịch liên kết”.</w:t>
      </w:r>
    </w:p>
    <w:p w:rsidR="004F2741" w:rsidRPr="004F2741" w:rsidRDefault="004F2741" w:rsidP="004F2741">
      <w:pPr>
        <w:ind w:firstLine="0"/>
      </w:pPr>
      <w:r w:rsidRPr="004F2741">
        <w:rPr>
          <w:u w:val="single"/>
        </w:rPr>
        <w:lastRenderedPageBreak/>
        <w:t>2. Khoản 3 Điều 8 được sửa đổi, bổ sung như sau:</w:t>
      </w:r>
    </w:p>
    <w:p w:rsidR="004F2741" w:rsidRPr="004F2741" w:rsidRDefault="004F2741" w:rsidP="004F2741">
      <w:pPr>
        <w:ind w:firstLine="0"/>
      </w:pPr>
      <w:r w:rsidRPr="004F2741">
        <w:rPr>
          <w:u w:val="single"/>
        </w:rPr>
        <w:t>“3. Giao dịch vay, cho vay của người nộp thuế có phát sinh giao dịch liên kết:</w:t>
      </w:r>
    </w:p>
    <w:p w:rsidR="004F2741" w:rsidRPr="004F2741" w:rsidRDefault="004F2741" w:rsidP="004F2741">
      <w:pPr>
        <w:ind w:firstLine="0"/>
      </w:pPr>
      <w:r w:rsidRPr="004F2741">
        <w:rPr>
          <w:u w:val="single"/>
        </w:rPr>
        <w:t>      a) Tổng chi phí lãi vay thuần phát sinh trong kỳ của người nộp thuế (chi phí lãi vay bù trừ với doanh thu lãi tiền gửi, tiền cho vay) được trừ khi xác định thu nhập chịu thuế thu nhập doanh nghiệp không vượt quá 30% của tổng lợi nhuận thuần từ hoạt động kinh doanh cộng (+) chi phí lãi vay thuần cộng (+) chi phí khấu hao trong kỳ của người nộp thuế.</w:t>
      </w:r>
    </w:p>
    <w:p w:rsidR="004F2741" w:rsidRPr="004F2741" w:rsidRDefault="004F2741" w:rsidP="004F2741">
      <w:pPr>
        <w:ind w:firstLine="0"/>
      </w:pPr>
      <w:r w:rsidRPr="004F2741">
        <w:rPr>
          <w:u w:val="single"/>
        </w:rPr>
        <w:t>a1) Doanh thu lãi tiền gửi, tiền cho vay và các khoản có tính chất tương tự xác định theo quy định của pháp luật về kế toán và thuế.</w:t>
      </w:r>
    </w:p>
    <w:p w:rsidR="004F2741" w:rsidRPr="004F2741" w:rsidRDefault="004F2741" w:rsidP="004F2741">
      <w:pPr>
        <w:ind w:firstLine="0"/>
      </w:pPr>
      <w:r w:rsidRPr="004F2741">
        <w:rPr>
          <w:u w:val="single"/>
        </w:rPr>
        <w:t>a2) Chi phí lãi vay bao gồm chi phí lãi vay và các khoản có tính chất tương tự lãi vay, bao gồm cả chi trả tiền vay được tính vào giá trị đầu tư theo quy định của pháp luật về kế toán và thuế.</w:t>
      </w:r>
    </w:p>
    <w:p w:rsidR="004F2741" w:rsidRPr="004F2741" w:rsidRDefault="004F2741" w:rsidP="004F2741">
      <w:pPr>
        <w:ind w:firstLine="0"/>
      </w:pPr>
      <w:r w:rsidRPr="004F2741">
        <w:rPr>
          <w:u w:val="single"/>
        </w:rPr>
        <w:t>a3) Trường hợp tổng lợi nhuận thuần từ hoạt động kinh doanh cộng (+) chi phí lãi vay thuần cộng (+) chi phí khấu hao trong kỳ của người nộp thuế nhỏ hơn (&lt;) hoặc bằng (=) 0, chi phí lãi vay thuần phát sinh trong kỳ được chuyển toàn bộ và liên tục vào chi phí lãi vay thuần được trừ theo quy định tại điểm a khoản này để xác định thu nhập chịu thuế của 05 năm tiếp theo theo quy định xác định lỗ và chuyển lỗ của pháp luật thuế thu nhập doanh nghiệp.</w:t>
      </w:r>
    </w:p>
    <w:p w:rsidR="004F2741" w:rsidRPr="004F2741" w:rsidRDefault="004F2741" w:rsidP="004F2741">
      <w:pPr>
        <w:ind w:firstLine="0"/>
      </w:pPr>
      <w:r w:rsidRPr="004F2741">
        <w:t>b) Quy định này không áp dụng với người nộp thuế là đối tượng áp dụng của Luật các tổ chức tín dụng và Luật kinh doanh bảo hiểm; không áp dụng đối với các giao dịch vay, cho vay của các dự án công ích, xã hội, dự án mục tiêu, trọng điểm thuộc thẩm quyền quyết định của Quốc hội và Chính phủ, được Bộ Tài chính thẩm định phương án tài chính trình Thủ tướng Chính phủ quyết định.</w:t>
      </w:r>
    </w:p>
    <w:p w:rsidR="004F2741" w:rsidRPr="004F2741" w:rsidRDefault="004F2741" w:rsidP="004F2741">
      <w:pPr>
        <w:ind w:firstLine="0"/>
      </w:pPr>
      <w:r w:rsidRPr="004F2741">
        <w:t>c) Người nộp thuế kê khai tỷ lệ chi phí lãi vay trong kỳ tính thuế theo mục IV.1 hoặc IV.3 Mẫu số 01, Mẫu số 03 tại Phụ lục ban hành kèm theo Nghị định này.”.</w:t>
      </w:r>
    </w:p>
    <w:p w:rsidR="004F2741" w:rsidRPr="004F2741" w:rsidRDefault="004F2741" w:rsidP="004F2741">
      <w:pPr>
        <w:ind w:firstLine="0"/>
      </w:pPr>
      <w:r w:rsidRPr="004F2741">
        <w:rPr>
          <w:b/>
          <w:bCs/>
        </w:rPr>
        <w:t>Điều 2. Hiệu lực thi hành</w:t>
      </w:r>
    </w:p>
    <w:p w:rsidR="004F2741" w:rsidRPr="004F2741" w:rsidRDefault="004F2741" w:rsidP="004F2741">
      <w:pPr>
        <w:ind w:firstLine="0"/>
      </w:pPr>
      <w:r w:rsidRPr="004F2741">
        <w:t>1. Nghị định này có hiệu lực thi hành kể từ ngày ký và áp dụng cho kỳ tính thuế thu nhập doanh nghiệp từ năm 2019 trở đi.</w:t>
      </w:r>
    </w:p>
    <w:p w:rsidR="004F2741" w:rsidRPr="004F2741" w:rsidRDefault="004F2741" w:rsidP="004F2741">
      <w:pPr>
        <w:ind w:firstLine="0"/>
      </w:pPr>
      <w:r w:rsidRPr="004F2741">
        <w:t>2. Sửa đổi, bổ sung mục IV.1, IV.3 mẫu số 01 và mẫu số 03 của Nghị định số 20/2017/NĐ-CP ngày 24 tháng 02 năm 2017 của Chính phủ quy định về quản lý thuế đối với doanh nghiệp có giao dịch liên kết.</w:t>
      </w:r>
    </w:p>
    <w:p w:rsidR="004F2741" w:rsidRPr="004F2741" w:rsidRDefault="004F2741" w:rsidP="004F2741">
      <w:pPr>
        <w:ind w:firstLine="0"/>
      </w:pPr>
      <w:r w:rsidRPr="004F2741">
        <w:t>3. Đối với các trường hợp phát sinh chi phí lãi vay không được trừ khi xác định thu nhập chịu thuế thu nhập doanh nghiệp theo quy định tại khoản 3 Điều 8 Nghị định số 20/2017/NĐ-CP ngày 24 tháng 02 năm 2017 của Chính phủ quy định về quản lý thuế đối với doanh nghiệp có giao dịch liên kết đến trước ngày có hiệu lực thi hành của Nghị định này mà chưa tính vào chi phí để xác định thu nhập chịu thuế thu nhập doanh nghiệp trong kỳ đã kê khai, nộp thuế thu nhập doanh nghiệp thì toàn bộ chi phí lãi vay thuần vượt mức khống chế theo quy định được chuyển toàn bộ và liên tục vào chi phí lãi vay thuần được trừ theo quy định tại điểm a khoản 3 Điều 8 nêu tại khoản 2 Điều 1 Nghị định này để xác định thu nhập chịu thuế của 05 năm tiếp theo theo quy định của pháp luật thuế thu nhập doanh nghiệp.</w:t>
      </w:r>
    </w:p>
    <w:p w:rsidR="004F2741" w:rsidRPr="004F2741" w:rsidRDefault="004F2741" w:rsidP="004F2741">
      <w:pPr>
        <w:ind w:firstLine="0"/>
      </w:pPr>
      <w:r w:rsidRPr="004F2741">
        <w:rPr>
          <w:b/>
          <w:bCs/>
        </w:rPr>
        <w:t>Điều 3. Trách nhiệm thi hành</w:t>
      </w:r>
    </w:p>
    <w:p w:rsidR="004F2741" w:rsidRPr="004F2741" w:rsidRDefault="004F2741" w:rsidP="004F2741">
      <w:pPr>
        <w:ind w:firstLine="0"/>
      </w:pPr>
      <w:r w:rsidRPr="004F2741">
        <w:t>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5245"/>
        <w:gridCol w:w="4820"/>
      </w:tblGrid>
      <w:tr w:rsidR="004F2741" w:rsidRPr="004F2741" w:rsidTr="004F2741">
        <w:trPr>
          <w:trHeight w:val="284"/>
        </w:trPr>
        <w:tc>
          <w:tcPr>
            <w:tcW w:w="5245" w:type="dxa"/>
            <w:tcBorders>
              <w:top w:val="nil"/>
              <w:left w:val="nil"/>
              <w:bottom w:val="nil"/>
              <w:right w:val="nil"/>
            </w:tcBorders>
            <w:shd w:val="clear" w:color="auto" w:fill="FFFFFF"/>
            <w:hideMark/>
          </w:tcPr>
          <w:p w:rsidR="004F2741" w:rsidRPr="004F2741" w:rsidRDefault="004F2741" w:rsidP="004F2741">
            <w:pPr>
              <w:ind w:firstLine="0"/>
              <w:rPr>
                <w:sz w:val="22"/>
                <w:szCs w:val="22"/>
              </w:rPr>
            </w:pPr>
            <w:r w:rsidRPr="004F2741">
              <w:rPr>
                <w:b/>
                <w:bCs/>
                <w:i/>
                <w:iCs/>
                <w:sz w:val="22"/>
                <w:szCs w:val="22"/>
              </w:rPr>
              <w:t>Nơi nhận:</w:t>
            </w:r>
          </w:p>
          <w:p w:rsidR="004F2741" w:rsidRPr="004F2741" w:rsidRDefault="004F2741" w:rsidP="004F2741">
            <w:pPr>
              <w:ind w:firstLine="0"/>
              <w:rPr>
                <w:sz w:val="22"/>
                <w:szCs w:val="22"/>
              </w:rPr>
            </w:pPr>
            <w:r w:rsidRPr="004F2741">
              <w:rPr>
                <w:sz w:val="22"/>
                <w:szCs w:val="22"/>
              </w:rPr>
              <w:t>- Ban Bí thư Trung ương Đảng;</w:t>
            </w:r>
          </w:p>
          <w:p w:rsidR="004F2741" w:rsidRPr="004F2741" w:rsidRDefault="004F2741" w:rsidP="004F2741">
            <w:pPr>
              <w:ind w:firstLine="0"/>
              <w:rPr>
                <w:sz w:val="22"/>
                <w:szCs w:val="22"/>
              </w:rPr>
            </w:pPr>
            <w:r w:rsidRPr="004F2741">
              <w:rPr>
                <w:sz w:val="22"/>
                <w:szCs w:val="22"/>
              </w:rPr>
              <w:t>- Thủ tướng, các Phó Thủ tướng Chính phủ;</w:t>
            </w:r>
          </w:p>
          <w:p w:rsidR="004F2741" w:rsidRPr="004F2741" w:rsidRDefault="004F2741" w:rsidP="004F2741">
            <w:pPr>
              <w:ind w:firstLine="0"/>
              <w:rPr>
                <w:sz w:val="22"/>
                <w:szCs w:val="22"/>
              </w:rPr>
            </w:pPr>
            <w:r w:rsidRPr="004F2741">
              <w:rPr>
                <w:sz w:val="22"/>
                <w:szCs w:val="22"/>
              </w:rPr>
              <w:t>- Các Bộ, cơ quan ngang Bộ, cơ quan thuộc CP;</w:t>
            </w:r>
          </w:p>
          <w:p w:rsidR="004F2741" w:rsidRPr="004F2741" w:rsidRDefault="004F2741" w:rsidP="004F2741">
            <w:pPr>
              <w:ind w:firstLine="0"/>
              <w:rPr>
                <w:sz w:val="22"/>
                <w:szCs w:val="22"/>
              </w:rPr>
            </w:pPr>
            <w:r w:rsidRPr="004F2741">
              <w:rPr>
                <w:sz w:val="22"/>
                <w:szCs w:val="22"/>
              </w:rPr>
              <w:t>- HĐND, UBND các tỉnh, TP trực thuộc TW;</w:t>
            </w:r>
          </w:p>
          <w:p w:rsidR="004F2741" w:rsidRPr="004F2741" w:rsidRDefault="004F2741" w:rsidP="004F2741">
            <w:pPr>
              <w:ind w:firstLine="0"/>
              <w:rPr>
                <w:sz w:val="22"/>
                <w:szCs w:val="22"/>
              </w:rPr>
            </w:pPr>
            <w:r w:rsidRPr="004F2741">
              <w:rPr>
                <w:sz w:val="22"/>
                <w:szCs w:val="22"/>
              </w:rPr>
              <w:t>- Văn phòng Trung ương và các Ban của Đảng;</w:t>
            </w:r>
          </w:p>
          <w:p w:rsidR="004F2741" w:rsidRPr="004F2741" w:rsidRDefault="004F2741" w:rsidP="004F2741">
            <w:pPr>
              <w:ind w:firstLine="0"/>
              <w:rPr>
                <w:sz w:val="22"/>
                <w:szCs w:val="22"/>
              </w:rPr>
            </w:pPr>
            <w:r w:rsidRPr="004F2741">
              <w:rPr>
                <w:sz w:val="22"/>
                <w:szCs w:val="22"/>
              </w:rPr>
              <w:t>- Văn phòng Tổng Bí thư;</w:t>
            </w:r>
          </w:p>
          <w:p w:rsidR="004F2741" w:rsidRPr="004F2741" w:rsidRDefault="004F2741" w:rsidP="004F2741">
            <w:pPr>
              <w:ind w:firstLine="0"/>
              <w:rPr>
                <w:sz w:val="22"/>
                <w:szCs w:val="22"/>
              </w:rPr>
            </w:pPr>
            <w:r w:rsidRPr="004F2741">
              <w:rPr>
                <w:sz w:val="22"/>
                <w:szCs w:val="22"/>
              </w:rPr>
              <w:t>- Văn phòng Chủ tịch nước;</w:t>
            </w:r>
          </w:p>
          <w:p w:rsidR="004F2741" w:rsidRPr="004F2741" w:rsidRDefault="004F2741" w:rsidP="004F2741">
            <w:pPr>
              <w:ind w:firstLine="0"/>
              <w:rPr>
                <w:sz w:val="22"/>
                <w:szCs w:val="22"/>
              </w:rPr>
            </w:pPr>
            <w:r w:rsidRPr="004F2741">
              <w:rPr>
                <w:sz w:val="22"/>
                <w:szCs w:val="22"/>
              </w:rPr>
              <w:t>- Hội đồng Dân tộc và các Ủy ban của Quốc hội;</w:t>
            </w:r>
          </w:p>
          <w:p w:rsidR="004F2741" w:rsidRPr="004F2741" w:rsidRDefault="004F2741" w:rsidP="004F2741">
            <w:pPr>
              <w:ind w:firstLine="0"/>
              <w:rPr>
                <w:sz w:val="22"/>
                <w:szCs w:val="22"/>
              </w:rPr>
            </w:pPr>
            <w:r w:rsidRPr="004F2741">
              <w:rPr>
                <w:sz w:val="22"/>
                <w:szCs w:val="22"/>
              </w:rPr>
              <w:t>- Văn phòng Quốc hội;</w:t>
            </w:r>
          </w:p>
          <w:p w:rsidR="004F2741" w:rsidRPr="004F2741" w:rsidRDefault="004F2741" w:rsidP="004F2741">
            <w:pPr>
              <w:ind w:firstLine="0"/>
              <w:rPr>
                <w:sz w:val="22"/>
                <w:szCs w:val="22"/>
              </w:rPr>
            </w:pPr>
            <w:r w:rsidRPr="004F2741">
              <w:rPr>
                <w:sz w:val="22"/>
                <w:szCs w:val="22"/>
              </w:rPr>
              <w:t>- Tòa án nhân dân tối cao;</w:t>
            </w:r>
          </w:p>
          <w:p w:rsidR="004F2741" w:rsidRPr="004F2741" w:rsidRDefault="004F2741" w:rsidP="004F2741">
            <w:pPr>
              <w:ind w:firstLine="0"/>
              <w:rPr>
                <w:sz w:val="22"/>
                <w:szCs w:val="22"/>
              </w:rPr>
            </w:pPr>
            <w:r w:rsidRPr="004F2741">
              <w:rPr>
                <w:sz w:val="22"/>
                <w:szCs w:val="22"/>
              </w:rPr>
              <w:t>- Viện kiểm sát nhân dân tối cao;</w:t>
            </w:r>
          </w:p>
          <w:p w:rsidR="004F2741" w:rsidRPr="004F2741" w:rsidRDefault="004F2741" w:rsidP="004F2741">
            <w:pPr>
              <w:ind w:firstLine="0"/>
              <w:rPr>
                <w:sz w:val="22"/>
                <w:szCs w:val="22"/>
              </w:rPr>
            </w:pPr>
            <w:r w:rsidRPr="004F2741">
              <w:rPr>
                <w:sz w:val="22"/>
                <w:szCs w:val="22"/>
              </w:rPr>
              <w:t>- Kiểm toán Nhà nước;</w:t>
            </w:r>
          </w:p>
          <w:p w:rsidR="004F2741" w:rsidRPr="004F2741" w:rsidRDefault="004F2741" w:rsidP="004F2741">
            <w:pPr>
              <w:ind w:firstLine="0"/>
              <w:rPr>
                <w:sz w:val="22"/>
                <w:szCs w:val="22"/>
              </w:rPr>
            </w:pPr>
            <w:r w:rsidRPr="004F2741">
              <w:rPr>
                <w:sz w:val="22"/>
                <w:szCs w:val="22"/>
              </w:rPr>
              <w:t>- Ủy ban Giám sát tài chính Quốc gia;</w:t>
            </w:r>
          </w:p>
          <w:p w:rsidR="004F2741" w:rsidRPr="004F2741" w:rsidRDefault="004F2741" w:rsidP="004F2741">
            <w:pPr>
              <w:ind w:firstLine="0"/>
              <w:rPr>
                <w:sz w:val="22"/>
                <w:szCs w:val="22"/>
              </w:rPr>
            </w:pPr>
            <w:r w:rsidRPr="004F2741">
              <w:rPr>
                <w:sz w:val="22"/>
                <w:szCs w:val="22"/>
              </w:rPr>
              <w:t>- Ngân hàng Chính sách xã hội;</w:t>
            </w:r>
          </w:p>
          <w:p w:rsidR="004F2741" w:rsidRPr="004F2741" w:rsidRDefault="004F2741" w:rsidP="004F2741">
            <w:pPr>
              <w:ind w:firstLine="0"/>
              <w:rPr>
                <w:sz w:val="22"/>
                <w:szCs w:val="22"/>
              </w:rPr>
            </w:pPr>
            <w:r w:rsidRPr="004F2741">
              <w:rPr>
                <w:sz w:val="22"/>
                <w:szCs w:val="22"/>
              </w:rPr>
              <w:t>- Ngân hàng Phát triển Việt Nam;</w:t>
            </w:r>
          </w:p>
          <w:p w:rsidR="004F2741" w:rsidRPr="004F2741" w:rsidRDefault="004F2741" w:rsidP="004F2741">
            <w:pPr>
              <w:ind w:firstLine="0"/>
              <w:rPr>
                <w:sz w:val="22"/>
                <w:szCs w:val="22"/>
              </w:rPr>
            </w:pPr>
            <w:r w:rsidRPr="004F2741">
              <w:rPr>
                <w:sz w:val="22"/>
                <w:szCs w:val="22"/>
              </w:rPr>
              <w:t>- UBTW Mặt trận Tổ quốc Việt Nam;</w:t>
            </w:r>
          </w:p>
          <w:p w:rsidR="004F2741" w:rsidRPr="004F2741" w:rsidRDefault="004F2741" w:rsidP="004F2741">
            <w:pPr>
              <w:ind w:firstLine="0"/>
              <w:rPr>
                <w:sz w:val="22"/>
                <w:szCs w:val="22"/>
              </w:rPr>
            </w:pPr>
            <w:r w:rsidRPr="004F2741">
              <w:rPr>
                <w:sz w:val="22"/>
                <w:szCs w:val="22"/>
              </w:rPr>
              <w:t>- Cơ quan Trung ương của các đoàn thể;</w:t>
            </w:r>
          </w:p>
          <w:p w:rsidR="004F2741" w:rsidRPr="004F2741" w:rsidRDefault="004F2741" w:rsidP="004F2741">
            <w:pPr>
              <w:ind w:firstLine="0"/>
              <w:rPr>
                <w:sz w:val="22"/>
                <w:szCs w:val="22"/>
              </w:rPr>
            </w:pPr>
            <w:r w:rsidRPr="004F2741">
              <w:rPr>
                <w:sz w:val="22"/>
                <w:szCs w:val="22"/>
              </w:rPr>
              <w:t>- VPCP: BTCN; các PCN, Trợ lý TTg, TGĐ Cổng TTĐT, các Vụ, Cục, đơn vị trực thuộc, Công báo;</w:t>
            </w:r>
          </w:p>
          <w:p w:rsidR="004F2741" w:rsidRPr="004F2741" w:rsidRDefault="004F2741" w:rsidP="004F2741">
            <w:pPr>
              <w:ind w:firstLine="0"/>
            </w:pPr>
            <w:r w:rsidRPr="004F2741">
              <w:rPr>
                <w:sz w:val="22"/>
                <w:szCs w:val="22"/>
              </w:rPr>
              <w:t>- Lưu: Văn thư, KTTH (3b).KN</w:t>
            </w:r>
          </w:p>
        </w:tc>
        <w:tc>
          <w:tcPr>
            <w:tcW w:w="4820" w:type="dxa"/>
            <w:tcBorders>
              <w:top w:val="nil"/>
              <w:left w:val="nil"/>
              <w:bottom w:val="nil"/>
              <w:right w:val="nil"/>
            </w:tcBorders>
            <w:shd w:val="clear" w:color="auto" w:fill="FFFFFF"/>
            <w:hideMark/>
          </w:tcPr>
          <w:p w:rsidR="004F2741" w:rsidRPr="004F2741" w:rsidRDefault="004F2741" w:rsidP="004F2741">
            <w:pPr>
              <w:ind w:firstLine="0"/>
              <w:jc w:val="center"/>
            </w:pPr>
            <w:r w:rsidRPr="004F2741">
              <w:rPr>
                <w:b/>
                <w:bCs/>
              </w:rPr>
              <w:t>TM. CHÍNH PHỦ</w:t>
            </w:r>
          </w:p>
          <w:p w:rsidR="004F2741" w:rsidRPr="004F2741" w:rsidRDefault="004F2741" w:rsidP="004F2741">
            <w:pPr>
              <w:ind w:firstLine="0"/>
              <w:jc w:val="center"/>
              <w:rPr>
                <w:b/>
                <w:bCs/>
              </w:rPr>
            </w:pPr>
            <w:r w:rsidRPr="004F2741">
              <w:rPr>
                <w:b/>
                <w:bCs/>
              </w:rPr>
              <w:t>THỦ TƯỚNG</w:t>
            </w:r>
          </w:p>
          <w:p w:rsidR="004F2741" w:rsidRPr="004F2741" w:rsidRDefault="004F2741" w:rsidP="004F2741">
            <w:pPr>
              <w:ind w:firstLine="0"/>
              <w:jc w:val="center"/>
            </w:pPr>
          </w:p>
          <w:p w:rsidR="004F2741" w:rsidRPr="004F2741" w:rsidRDefault="004F2741" w:rsidP="004F2741">
            <w:pPr>
              <w:ind w:firstLine="0"/>
            </w:pPr>
          </w:p>
          <w:p w:rsidR="004F2741" w:rsidRPr="004F2741" w:rsidRDefault="004F2741" w:rsidP="004F2741">
            <w:pPr>
              <w:ind w:firstLine="0"/>
              <w:jc w:val="center"/>
            </w:pPr>
          </w:p>
          <w:p w:rsidR="004F2741" w:rsidRPr="004F2741" w:rsidRDefault="004F2741" w:rsidP="004F2741">
            <w:pPr>
              <w:ind w:firstLine="0"/>
              <w:jc w:val="center"/>
            </w:pPr>
          </w:p>
          <w:p w:rsidR="004F2741" w:rsidRPr="004F2741" w:rsidRDefault="004F2741" w:rsidP="004F2741">
            <w:pPr>
              <w:ind w:firstLine="0"/>
              <w:jc w:val="center"/>
            </w:pPr>
            <w:r w:rsidRPr="004F2741">
              <w:rPr>
                <w:b/>
                <w:bCs/>
              </w:rPr>
              <w:t>Nguyễn Xuân Phúc</w:t>
            </w:r>
          </w:p>
          <w:p w:rsidR="004F2741" w:rsidRPr="004F2741" w:rsidRDefault="004F2741" w:rsidP="004F2741">
            <w:pPr>
              <w:ind w:firstLine="0"/>
              <w:rPr>
                <w:b/>
                <w:bCs/>
              </w:rPr>
            </w:pPr>
            <w:r w:rsidRPr="004F2741">
              <w:rPr>
                <w:b/>
                <w:bCs/>
              </w:rPr>
              <w:t> </w:t>
            </w:r>
          </w:p>
        </w:tc>
      </w:tr>
    </w:tbl>
    <w:p w:rsidR="004F2741" w:rsidRPr="004F2741" w:rsidRDefault="004F2741" w:rsidP="004F2741">
      <w:pPr>
        <w:ind w:firstLine="0"/>
      </w:pPr>
      <w:r w:rsidRPr="004F2741">
        <w:t> </w:t>
      </w:r>
    </w:p>
    <w:p w:rsidR="00E0784A" w:rsidRDefault="00E0784A" w:rsidP="004F2741">
      <w:pPr>
        <w:ind w:firstLine="0"/>
      </w:pPr>
    </w:p>
    <w:sectPr w:rsidR="00E0784A" w:rsidSect="000D1BF7">
      <w:type w:val="continuous"/>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VnTimeH">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A361E"/>
    <w:multiLevelType w:val="hybridMultilevel"/>
    <w:tmpl w:val="B1524330"/>
    <w:lvl w:ilvl="0" w:tplc="EA2E9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C4ACE"/>
    <w:multiLevelType w:val="hybridMultilevel"/>
    <w:tmpl w:val="08D42C80"/>
    <w:lvl w:ilvl="0" w:tplc="E09EA12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AB1E7B"/>
    <w:multiLevelType w:val="hybridMultilevel"/>
    <w:tmpl w:val="2F041BFE"/>
    <w:lvl w:ilvl="0" w:tplc="6018D40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85C08"/>
    <w:multiLevelType w:val="hybridMultilevel"/>
    <w:tmpl w:val="F0EE6D70"/>
    <w:lvl w:ilvl="0" w:tplc="40FA4C1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E1553B"/>
    <w:multiLevelType w:val="hybridMultilevel"/>
    <w:tmpl w:val="0A9EC1DC"/>
    <w:lvl w:ilvl="0" w:tplc="38A8F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103CD"/>
    <w:multiLevelType w:val="hybridMultilevel"/>
    <w:tmpl w:val="86CE1330"/>
    <w:lvl w:ilvl="0" w:tplc="37029AD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A630CD"/>
    <w:multiLevelType w:val="hybridMultilevel"/>
    <w:tmpl w:val="DC08D38C"/>
    <w:lvl w:ilvl="0" w:tplc="106C774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81994"/>
    <w:multiLevelType w:val="multilevel"/>
    <w:tmpl w:val="FCCA74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A33DBB"/>
    <w:multiLevelType w:val="hybridMultilevel"/>
    <w:tmpl w:val="E2242F04"/>
    <w:lvl w:ilvl="0" w:tplc="A99A1430">
      <w:start w:val="1"/>
      <w:numFmt w:val="decimal"/>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FE5015"/>
    <w:multiLevelType w:val="multilevel"/>
    <w:tmpl w:val="0DD87272"/>
    <w:lvl w:ilvl="0">
      <w:start w:val="1"/>
      <w:numFmt w:val="decimal"/>
      <w:pStyle w:val="pa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0913DBD"/>
    <w:multiLevelType w:val="hybridMultilevel"/>
    <w:tmpl w:val="179AC916"/>
    <w:lvl w:ilvl="0" w:tplc="F58EF7E6">
      <w:start w:val="2"/>
      <w:numFmt w:val="bullet"/>
      <w:lvlText w:val="-"/>
      <w:lvlJc w:val="left"/>
      <w:pPr>
        <w:ind w:left="1440" w:hanging="360"/>
      </w:pPr>
      <w:rPr>
        <w:rFonts w:ascii="Times New Roman" w:eastAsiaTheme="minorEastAsia"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41576E"/>
    <w:multiLevelType w:val="hybridMultilevel"/>
    <w:tmpl w:val="20106D5C"/>
    <w:lvl w:ilvl="0" w:tplc="EF94B01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0E0EF3"/>
    <w:multiLevelType w:val="hybridMultilevel"/>
    <w:tmpl w:val="4A58A31E"/>
    <w:lvl w:ilvl="0" w:tplc="9DC290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0"/>
  </w:num>
  <w:num w:numId="7">
    <w:abstractNumId w:val="0"/>
  </w:num>
  <w:num w:numId="8">
    <w:abstractNumId w:val="4"/>
  </w:num>
  <w:num w:numId="9">
    <w:abstractNumId w:val="4"/>
  </w:num>
  <w:num w:numId="10">
    <w:abstractNumId w:val="0"/>
  </w:num>
  <w:num w:numId="11">
    <w:abstractNumId w:val="10"/>
  </w:num>
  <w:num w:numId="12">
    <w:abstractNumId w:val="2"/>
  </w:num>
  <w:num w:numId="13">
    <w:abstractNumId w:val="10"/>
  </w:num>
  <w:num w:numId="14">
    <w:abstractNumId w:val="9"/>
  </w:num>
  <w:num w:numId="15">
    <w:abstractNumId w:val="6"/>
  </w:num>
  <w:num w:numId="16">
    <w:abstractNumId w:val="8"/>
  </w:num>
  <w:num w:numId="17">
    <w:abstractNumId w:val="5"/>
  </w:num>
  <w:num w:numId="18">
    <w:abstractNumId w:val="5"/>
  </w:num>
  <w:num w:numId="19">
    <w:abstractNumId w:val="11"/>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41"/>
    <w:rsid w:val="00075BC2"/>
    <w:rsid w:val="000D1BF7"/>
    <w:rsid w:val="00115AD3"/>
    <w:rsid w:val="003C5D19"/>
    <w:rsid w:val="003E1E98"/>
    <w:rsid w:val="004F2741"/>
    <w:rsid w:val="00621E13"/>
    <w:rsid w:val="007E4D23"/>
    <w:rsid w:val="007E690E"/>
    <w:rsid w:val="00881E49"/>
    <w:rsid w:val="00A67486"/>
    <w:rsid w:val="00B11B58"/>
    <w:rsid w:val="00C443A0"/>
    <w:rsid w:val="00C775D6"/>
    <w:rsid w:val="00CE4426"/>
    <w:rsid w:val="00E0784A"/>
    <w:rsid w:val="00FA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B1CF"/>
  <w15:chartTrackingRefBased/>
  <w15:docId w15:val="{4E2A7CA3-C031-49F8-8F96-80761B2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6"/>
        <w:szCs w:val="24"/>
        <w:lang w:val="en-US" w:eastAsia="zh-CN" w:bidi="ar-SA"/>
      </w:rPr>
    </w:rPrDefault>
    <w:pPrDefault>
      <w:pPr>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486"/>
  </w:style>
  <w:style w:type="paragraph" w:styleId="Heading1">
    <w:name w:val="heading 1"/>
    <w:basedOn w:val="Normal"/>
    <w:next w:val="Normal"/>
    <w:link w:val="Heading1Char"/>
    <w:qFormat/>
    <w:rsid w:val="00A67486"/>
    <w:pPr>
      <w:keepNext/>
      <w:spacing w:before="240" w:after="60" w:line="240" w:lineRule="auto"/>
      <w:jc w:val="left"/>
      <w:outlineLvl w:val="0"/>
    </w:pPr>
    <w:rPr>
      <w:rFonts w:ascii="Cambria" w:eastAsiaTheme="majorEastAsia" w:hAnsi="Cambria" w:cstheme="majorBidi"/>
      <w:b/>
      <w:bCs/>
      <w:kern w:val="32"/>
      <w:sz w:val="32"/>
      <w:szCs w:val="32"/>
    </w:rPr>
  </w:style>
  <w:style w:type="paragraph" w:styleId="Heading2">
    <w:name w:val="heading 2"/>
    <w:basedOn w:val="Normal"/>
    <w:next w:val="Normal"/>
    <w:link w:val="Heading2Char"/>
    <w:uiPriority w:val="9"/>
    <w:unhideWhenUsed/>
    <w:qFormat/>
    <w:rsid w:val="00A67486"/>
    <w:pPr>
      <w:keepNext/>
      <w:keepLines/>
      <w:spacing w:before="200"/>
      <w:outlineLvl w:val="1"/>
    </w:pPr>
    <w:rPr>
      <w:rFonts w:asciiTheme="majorHAnsi" w:eastAsiaTheme="majorEastAsia" w:hAnsiTheme="majorHAnsi" w:cstheme="majorBidi"/>
      <w:b/>
      <w:bCs/>
      <w:color w:val="4472C4" w:themeColor="accent1"/>
      <w:szCs w:val="26"/>
    </w:rPr>
  </w:style>
  <w:style w:type="paragraph" w:styleId="Heading30">
    <w:name w:val="heading 3"/>
    <w:basedOn w:val="Normal"/>
    <w:next w:val="Normal"/>
    <w:link w:val="Heading3Char"/>
    <w:qFormat/>
    <w:rsid w:val="00A67486"/>
    <w:pPr>
      <w:keepNext/>
      <w:spacing w:line="240" w:lineRule="auto"/>
      <w:jc w:val="center"/>
      <w:outlineLvl w:val="2"/>
    </w:pPr>
    <w:rPr>
      <w:rFonts w:ascii=".VnTimeH" w:eastAsiaTheme="majorEastAsia" w:hAnsi=".VnTimeH"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486"/>
    <w:rPr>
      <w:rFonts w:ascii="Cambria" w:eastAsiaTheme="majorEastAsia" w:hAnsi="Cambria" w:cstheme="majorBidi"/>
      <w:b/>
      <w:bCs/>
      <w:kern w:val="32"/>
      <w:sz w:val="32"/>
      <w:szCs w:val="32"/>
      <w:lang w:eastAsia="en-US"/>
    </w:rPr>
  </w:style>
  <w:style w:type="character" w:customStyle="1" w:styleId="Heading2Char">
    <w:name w:val="Heading 2 Char"/>
    <w:basedOn w:val="DefaultParagraphFont"/>
    <w:link w:val="Heading2"/>
    <w:uiPriority w:val="9"/>
    <w:rsid w:val="00A67486"/>
    <w:rPr>
      <w:rFonts w:asciiTheme="majorHAnsi" w:eastAsiaTheme="majorEastAsia" w:hAnsiTheme="majorHAnsi" w:cstheme="majorBidi"/>
      <w:b/>
      <w:bCs/>
      <w:color w:val="4472C4" w:themeColor="accent1"/>
      <w:sz w:val="26"/>
      <w:szCs w:val="26"/>
      <w:lang w:eastAsia="en-US"/>
    </w:rPr>
  </w:style>
  <w:style w:type="paragraph" w:styleId="ListParagraph">
    <w:name w:val="List Paragraph"/>
    <w:basedOn w:val="Normal"/>
    <w:link w:val="ListParagraphChar"/>
    <w:uiPriority w:val="34"/>
    <w:qFormat/>
    <w:rsid w:val="00A67486"/>
    <w:pPr>
      <w:ind w:left="720"/>
      <w:contextualSpacing/>
    </w:pPr>
  </w:style>
  <w:style w:type="character" w:customStyle="1" w:styleId="ListParagraphChar">
    <w:name w:val="List Paragraph Char"/>
    <w:basedOn w:val="DefaultParagraphFont"/>
    <w:link w:val="ListParagraph"/>
    <w:uiPriority w:val="34"/>
    <w:rsid w:val="00A67486"/>
    <w:rPr>
      <w:rFonts w:ascii="Times New Roman" w:eastAsia="Calibri" w:hAnsi="Times New Roman"/>
      <w:color w:val="000000"/>
      <w:sz w:val="28"/>
      <w:szCs w:val="24"/>
      <w:lang w:eastAsia="en-US"/>
    </w:rPr>
  </w:style>
  <w:style w:type="paragraph" w:customStyle="1" w:styleId="para">
    <w:name w:val="para"/>
    <w:basedOn w:val="ListParagraph"/>
    <w:link w:val="paraChar"/>
    <w:autoRedefine/>
    <w:qFormat/>
    <w:rsid w:val="00075BC2"/>
    <w:pPr>
      <w:numPr>
        <w:numId w:val="14"/>
      </w:numPr>
      <w:ind w:left="1080"/>
    </w:pPr>
    <w:rPr>
      <w:b/>
      <w:sz w:val="36"/>
    </w:rPr>
  </w:style>
  <w:style w:type="character" w:customStyle="1" w:styleId="paraChar">
    <w:name w:val="para Char"/>
    <w:basedOn w:val="Heading1Char"/>
    <w:link w:val="para"/>
    <w:rsid w:val="00075BC2"/>
    <w:rPr>
      <w:rFonts w:ascii="Cambria" w:eastAsiaTheme="majorEastAsia" w:hAnsi="Cambria" w:cstheme="majorBidi"/>
      <w:b w:val="0"/>
      <w:bCs/>
      <w:caps w:val="0"/>
      <w:kern w:val="32"/>
      <w:sz w:val="36"/>
      <w:szCs w:val="32"/>
      <w:lang w:eastAsia="en-US"/>
    </w:rPr>
  </w:style>
  <w:style w:type="paragraph" w:styleId="NoSpacing">
    <w:name w:val="No Spacing"/>
    <w:uiPriority w:val="1"/>
    <w:qFormat/>
    <w:rsid w:val="00A67486"/>
    <w:pPr>
      <w:spacing w:line="240" w:lineRule="auto"/>
    </w:pPr>
    <w:rPr>
      <w:rFonts w:eastAsia="Calibri"/>
      <w:sz w:val="28"/>
      <w:lang w:eastAsia="en-US"/>
    </w:rPr>
  </w:style>
  <w:style w:type="paragraph" w:customStyle="1" w:styleId="Heading3">
    <w:name w:val="Heading3"/>
    <w:basedOn w:val="Heading2"/>
    <w:link w:val="Heading3Char0"/>
    <w:autoRedefine/>
    <w:qFormat/>
    <w:rsid w:val="003C5D19"/>
    <w:pPr>
      <w:numPr>
        <w:numId w:val="16"/>
      </w:numPr>
    </w:pPr>
    <w:rPr>
      <w:i/>
    </w:rPr>
  </w:style>
  <w:style w:type="character" w:customStyle="1" w:styleId="Heading3Char0">
    <w:name w:val="Heading3 Char"/>
    <w:basedOn w:val="DefaultParagraphFont"/>
    <w:link w:val="Heading3"/>
    <w:rsid w:val="003C5D19"/>
    <w:rPr>
      <w:rFonts w:eastAsiaTheme="majorEastAsia" w:cstheme="majorBidi"/>
      <w:b/>
      <w:i/>
      <w:szCs w:val="26"/>
    </w:rPr>
  </w:style>
  <w:style w:type="character" w:customStyle="1" w:styleId="Heading3Char">
    <w:name w:val="Heading 3 Char"/>
    <w:basedOn w:val="DefaultParagraphFont"/>
    <w:link w:val="Heading30"/>
    <w:rsid w:val="00A67486"/>
    <w:rPr>
      <w:rFonts w:ascii=".VnTimeH" w:eastAsiaTheme="majorEastAsia" w:hAnsi=".VnTimeH" w:cstheme="majorBidi"/>
      <w:b/>
      <w:bCs/>
      <w:sz w:val="28"/>
      <w:szCs w:val="24"/>
      <w:lang w:eastAsia="en-US"/>
    </w:rPr>
  </w:style>
  <w:style w:type="character" w:customStyle="1" w:styleId="hps">
    <w:name w:val="hps"/>
    <w:basedOn w:val="DefaultParagraphFont"/>
    <w:rsid w:val="00A67486"/>
  </w:style>
  <w:style w:type="paragraph" w:customStyle="1" w:styleId="Mainbodytext">
    <w:name w:val="Main body text"/>
    <w:basedOn w:val="Normal"/>
    <w:rsid w:val="00A67486"/>
    <w:pPr>
      <w:tabs>
        <w:tab w:val="left" w:pos="720"/>
      </w:tabs>
    </w:pPr>
    <w:rPr>
      <w:rFonts w:ascii="Arial" w:eastAsia="Times New Roman" w:hAnsi="Arial" w:cs="Angsana New"/>
      <w:sz w:val="24"/>
      <w:lang w:val="en-GB"/>
    </w:rPr>
  </w:style>
  <w:style w:type="paragraph" w:customStyle="1" w:styleId="abc">
    <w:name w:val="abc"/>
    <w:basedOn w:val="Normal"/>
    <w:rsid w:val="00A67486"/>
    <w:pPr>
      <w:autoSpaceDE w:val="0"/>
      <w:autoSpaceDN w:val="0"/>
      <w:spacing w:line="240" w:lineRule="auto"/>
      <w:jc w:val="left"/>
    </w:pPr>
    <w:rPr>
      <w:rFonts w:eastAsia="Times New Roman"/>
      <w:kern w:val="28"/>
      <w:szCs w:val="20"/>
    </w:rPr>
  </w:style>
  <w:style w:type="paragraph" w:customStyle="1" w:styleId="Body">
    <w:name w:val="Body"/>
    <w:rsid w:val="00A67486"/>
    <w:pPr>
      <w:pBdr>
        <w:top w:val="nil"/>
        <w:left w:val="nil"/>
        <w:bottom w:val="nil"/>
        <w:right w:val="nil"/>
        <w:between w:val="nil"/>
        <w:bar w:val="nil"/>
      </w:pBdr>
      <w:spacing w:line="288" w:lineRule="auto"/>
    </w:pPr>
    <w:rPr>
      <w:rFonts w:eastAsia="Arial Unicode MS" w:hAnsi="Arial Unicode MS" w:cs="Arial Unicode MS"/>
      <w:sz w:val="28"/>
      <w:szCs w:val="28"/>
      <w:u w:color="000000"/>
      <w:bdr w:val="nil"/>
      <w:lang w:eastAsia="en-US"/>
    </w:rPr>
  </w:style>
  <w:style w:type="character" w:customStyle="1" w:styleId="apple-converted-space">
    <w:name w:val="apple-converted-space"/>
    <w:basedOn w:val="DefaultParagraphFont"/>
    <w:rsid w:val="00A67486"/>
  </w:style>
  <w:style w:type="character" w:customStyle="1" w:styleId="m-7208330155622005274gmailmsg">
    <w:name w:val="m_-7208330155622005274gmail_msg"/>
    <w:basedOn w:val="DefaultParagraphFont"/>
    <w:rsid w:val="00A67486"/>
  </w:style>
  <w:style w:type="paragraph" w:customStyle="1" w:styleId="vn6">
    <w:name w:val="vn_6"/>
    <w:basedOn w:val="Normal"/>
    <w:rsid w:val="00A67486"/>
    <w:pPr>
      <w:spacing w:before="100" w:beforeAutospacing="1" w:after="100" w:afterAutospacing="1" w:line="240" w:lineRule="auto"/>
      <w:jc w:val="left"/>
    </w:pPr>
    <w:rPr>
      <w:rFonts w:eastAsia="Times New Roman"/>
      <w:sz w:val="24"/>
    </w:rPr>
  </w:style>
  <w:style w:type="character" w:customStyle="1" w:styleId="Bodytext7">
    <w:name w:val="Body text (7)"/>
    <w:basedOn w:val="DefaultParagraphFont"/>
    <w:rsid w:val="00A67486"/>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Heading31">
    <w:name w:val="Heading #3"/>
    <w:basedOn w:val="DefaultParagraphFont"/>
    <w:rsid w:val="00A6748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
    <w:name w:val="Body text (2)"/>
    <w:basedOn w:val="DefaultParagraphFont"/>
    <w:rsid w:val="00A6748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
    <w:name w:val="Body text (6)"/>
    <w:basedOn w:val="DefaultParagraphFont"/>
    <w:rsid w:val="00A6748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Italic">
    <w:name w:val="Body text (2) + Italic"/>
    <w:basedOn w:val="DefaultParagraphFont"/>
    <w:rsid w:val="00A67486"/>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6NotBold">
    <w:name w:val="Body text (6) + Not Bold"/>
    <w:basedOn w:val="DefaultParagraphFont"/>
    <w:rsid w:val="00A6748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demuc4">
    <w:name w:val="demuc4"/>
    <w:basedOn w:val="DefaultParagraphFont"/>
    <w:rsid w:val="00A67486"/>
  </w:style>
  <w:style w:type="paragraph" w:customStyle="1" w:styleId="Style1">
    <w:name w:val="Style1"/>
    <w:basedOn w:val="CommentText"/>
    <w:link w:val="Style1Char"/>
    <w:qFormat/>
    <w:rsid w:val="00A67486"/>
    <w:rPr>
      <w:sz w:val="24"/>
    </w:rPr>
  </w:style>
  <w:style w:type="character" w:customStyle="1" w:styleId="Style1Char">
    <w:name w:val="Style1 Char"/>
    <w:basedOn w:val="CommentTextChar"/>
    <w:link w:val="Style1"/>
    <w:rsid w:val="00A67486"/>
    <w:rPr>
      <w:rFonts w:ascii="Times New Roman" w:eastAsia="Calibri" w:hAnsi="Times New Roman" w:cs="Times New Roman"/>
      <w:color w:val="000000"/>
      <w:sz w:val="24"/>
      <w:szCs w:val="20"/>
      <w:lang w:eastAsia="en-US"/>
    </w:rPr>
  </w:style>
  <w:style w:type="paragraph" w:styleId="CommentText">
    <w:name w:val="annotation text"/>
    <w:basedOn w:val="Normal"/>
    <w:link w:val="CommentTextChar"/>
    <w:autoRedefine/>
    <w:uiPriority w:val="99"/>
    <w:unhideWhenUsed/>
    <w:rsid w:val="00A67486"/>
    <w:pPr>
      <w:spacing w:line="240" w:lineRule="auto"/>
    </w:pPr>
    <w:rPr>
      <w:szCs w:val="20"/>
    </w:rPr>
  </w:style>
  <w:style w:type="character" w:customStyle="1" w:styleId="CommentTextChar">
    <w:name w:val="Comment Text Char"/>
    <w:basedOn w:val="DefaultParagraphFont"/>
    <w:link w:val="CommentText"/>
    <w:uiPriority w:val="99"/>
    <w:rsid w:val="00A67486"/>
    <w:rPr>
      <w:rFonts w:ascii="Times New Roman" w:eastAsia="Calibri" w:hAnsi="Times New Roman" w:cs="Times New Roman"/>
      <w:color w:val="000000"/>
      <w:sz w:val="26"/>
      <w:szCs w:val="20"/>
      <w:lang w:eastAsia="en-US"/>
    </w:rPr>
  </w:style>
  <w:style w:type="paragraph" w:styleId="Footer">
    <w:name w:val="footer"/>
    <w:basedOn w:val="Normal"/>
    <w:link w:val="FooterChar"/>
    <w:uiPriority w:val="99"/>
    <w:unhideWhenUsed/>
    <w:rsid w:val="00A67486"/>
    <w:pPr>
      <w:tabs>
        <w:tab w:val="center" w:pos="4680"/>
        <w:tab w:val="right" w:pos="9360"/>
      </w:tabs>
    </w:pPr>
  </w:style>
  <w:style w:type="character" w:customStyle="1" w:styleId="FooterChar">
    <w:name w:val="Footer Char"/>
    <w:basedOn w:val="DefaultParagraphFont"/>
    <w:link w:val="Footer"/>
    <w:uiPriority w:val="99"/>
    <w:rsid w:val="00A67486"/>
    <w:rPr>
      <w:rFonts w:ascii="Times New Roman" w:eastAsia="Calibri" w:hAnsi="Times New Roman"/>
      <w:sz w:val="28"/>
      <w:szCs w:val="24"/>
      <w:lang w:eastAsia="en-US"/>
    </w:rPr>
  </w:style>
  <w:style w:type="character" w:styleId="CommentReference">
    <w:name w:val="annotation reference"/>
    <w:basedOn w:val="DefaultParagraphFont"/>
    <w:uiPriority w:val="99"/>
    <w:semiHidden/>
    <w:unhideWhenUsed/>
    <w:rsid w:val="00A67486"/>
    <w:rPr>
      <w:sz w:val="16"/>
      <w:szCs w:val="16"/>
    </w:rPr>
  </w:style>
  <w:style w:type="paragraph" w:styleId="BodyText20">
    <w:name w:val="Body Text 2"/>
    <w:basedOn w:val="Normal"/>
    <w:link w:val="BodyText2Char"/>
    <w:rsid w:val="00A67486"/>
    <w:pPr>
      <w:tabs>
        <w:tab w:val="num" w:pos="700"/>
      </w:tabs>
      <w:spacing w:before="120" w:after="120" w:line="240" w:lineRule="auto"/>
    </w:pPr>
    <w:rPr>
      <w:rFonts w:eastAsia="Times New Roman"/>
      <w:szCs w:val="28"/>
      <w:lang w:val="de-DE"/>
    </w:rPr>
  </w:style>
  <w:style w:type="character" w:customStyle="1" w:styleId="BodyText2Char">
    <w:name w:val="Body Text 2 Char"/>
    <w:basedOn w:val="DefaultParagraphFont"/>
    <w:link w:val="BodyText20"/>
    <w:rsid w:val="00A67486"/>
    <w:rPr>
      <w:rFonts w:ascii="Times New Roman" w:eastAsia="Times New Roman" w:hAnsi="Times New Roman"/>
      <w:sz w:val="28"/>
      <w:szCs w:val="28"/>
      <w:lang w:val="de-DE" w:eastAsia="en-US"/>
    </w:rPr>
  </w:style>
  <w:style w:type="paragraph" w:styleId="NormalWeb">
    <w:name w:val="Normal (Web)"/>
    <w:basedOn w:val="Normal"/>
    <w:uiPriority w:val="99"/>
    <w:unhideWhenUsed/>
    <w:rsid w:val="00A67486"/>
    <w:pPr>
      <w:spacing w:before="100" w:beforeAutospacing="1" w:after="100" w:afterAutospacing="1" w:line="240" w:lineRule="auto"/>
      <w:jc w:val="left"/>
    </w:pPr>
    <w:rPr>
      <w:sz w:val="24"/>
    </w:rPr>
  </w:style>
  <w:style w:type="paragraph" w:styleId="CommentSubject">
    <w:name w:val="annotation subject"/>
    <w:basedOn w:val="CommentText"/>
    <w:next w:val="CommentText"/>
    <w:link w:val="CommentSubjectChar"/>
    <w:uiPriority w:val="99"/>
    <w:semiHidden/>
    <w:unhideWhenUsed/>
    <w:rsid w:val="00A67486"/>
    <w:rPr>
      <w:b/>
      <w:bCs/>
    </w:rPr>
  </w:style>
  <w:style w:type="character" w:customStyle="1" w:styleId="CommentSubjectChar">
    <w:name w:val="Comment Subject Char"/>
    <w:basedOn w:val="CommentTextChar"/>
    <w:link w:val="CommentSubject"/>
    <w:uiPriority w:val="99"/>
    <w:semiHidden/>
    <w:rsid w:val="00A67486"/>
    <w:rPr>
      <w:rFonts w:ascii="Times New Roman" w:eastAsia="Calibri" w:hAnsi="Times New Roman" w:cs="Times New Roman"/>
      <w:b/>
      <w:bCs/>
      <w:color w:val="000000"/>
      <w:sz w:val="26"/>
      <w:szCs w:val="20"/>
      <w:lang w:eastAsia="en-US"/>
    </w:rPr>
  </w:style>
  <w:style w:type="paragraph" w:styleId="BalloonText">
    <w:name w:val="Balloon Text"/>
    <w:basedOn w:val="Normal"/>
    <w:link w:val="BalloonTextChar"/>
    <w:uiPriority w:val="99"/>
    <w:semiHidden/>
    <w:unhideWhenUsed/>
    <w:rsid w:val="00A674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86"/>
    <w:rPr>
      <w:rFonts w:ascii="Tahoma" w:eastAsia="Calibri" w:hAnsi="Tahoma" w:cs="Tahoma"/>
      <w:color w:val="000000"/>
      <w:sz w:val="16"/>
      <w:szCs w:val="16"/>
      <w:lang w:eastAsia="en-US"/>
    </w:rPr>
  </w:style>
  <w:style w:type="table" w:styleId="TableGrid">
    <w:name w:val="Table Grid"/>
    <w:basedOn w:val="TableNormal"/>
    <w:uiPriority w:val="59"/>
    <w:rsid w:val="00A67486"/>
    <w:pPr>
      <w:spacing w:line="240" w:lineRule="auto"/>
    </w:pPr>
    <w:rPr>
      <w:rFonts w:eastAsiaTheme="minorHAnsi"/>
      <w:sz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Style2"/>
    <w:basedOn w:val="CommentText"/>
    <w:link w:val="Style2Char"/>
    <w:autoRedefine/>
    <w:qFormat/>
    <w:rsid w:val="00A67486"/>
    <w:rPr>
      <w:sz w:val="24"/>
    </w:rPr>
  </w:style>
  <w:style w:type="character" w:customStyle="1" w:styleId="Style2Char">
    <w:name w:val="Style2 Char"/>
    <w:basedOn w:val="CommentTextChar"/>
    <w:link w:val="Style2"/>
    <w:rsid w:val="00A67486"/>
    <w:rPr>
      <w:rFonts w:ascii="Times New Roman" w:eastAsia="Calibri" w:hAnsi="Times New Roman" w:cs="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9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Hùng Phạm</dc:creator>
  <cp:keywords/>
  <dc:description/>
  <cp:lastModifiedBy>Hùng Phạm</cp:lastModifiedBy>
  <cp:revision>1</cp:revision>
  <dcterms:created xsi:type="dcterms:W3CDTF">2019-12-16T08:10:00Z</dcterms:created>
  <dcterms:modified xsi:type="dcterms:W3CDTF">2019-12-16T08:13:00Z</dcterms:modified>
</cp:coreProperties>
</file>