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6558E0" w14:textId="7D7527C5" w:rsidR="0031596D" w:rsidRDefault="00B01F2F" w:rsidP="006E699C">
      <w:pPr>
        <w:tabs>
          <w:tab w:val="center" w:pos="4536"/>
          <w:tab w:val="left" w:pos="7315"/>
        </w:tabs>
        <w:spacing w:before="360"/>
        <w:jc w:val="center"/>
        <w:rPr>
          <w:b/>
          <w:bCs/>
        </w:rPr>
      </w:pPr>
      <w:r>
        <w:rPr>
          <w:b/>
          <w:bCs/>
        </w:rPr>
        <w:t xml:space="preserve">GÓP Ý DỰ THẢO </w:t>
      </w:r>
      <w:r w:rsidR="0031596D">
        <w:rPr>
          <w:b/>
          <w:bCs/>
        </w:rPr>
        <w:t>3</w:t>
      </w:r>
      <w:r w:rsidR="00C13B3B">
        <w:rPr>
          <w:b/>
          <w:bCs/>
        </w:rPr>
        <w:t>:</w:t>
      </w:r>
      <w:r w:rsidR="0031596D">
        <w:rPr>
          <w:b/>
          <w:bCs/>
        </w:rPr>
        <w:t xml:space="preserve"> </w:t>
      </w:r>
      <w:r w:rsidRPr="0033420C">
        <w:rPr>
          <w:b/>
          <w:bCs/>
        </w:rPr>
        <w:t>LUẬT HÒA GIẢI, ĐỐI THOẠI TẠI TÒA ÁN</w:t>
      </w:r>
      <w:r w:rsidR="000C685D">
        <w:rPr>
          <w:b/>
          <w:bCs/>
        </w:rPr>
        <w:t xml:space="preserve"> </w:t>
      </w:r>
    </w:p>
    <w:p w14:paraId="27437A60" w14:textId="77777777" w:rsidR="004166CE" w:rsidRDefault="004166CE" w:rsidP="00B01F2F">
      <w:pPr>
        <w:pStyle w:val="NormalWeb"/>
        <w:tabs>
          <w:tab w:val="left" w:pos="720"/>
        </w:tabs>
        <w:spacing w:before="120" w:beforeAutospacing="0" w:after="0" w:afterAutospacing="0"/>
        <w:ind w:firstLine="709"/>
        <w:jc w:val="right"/>
        <w:rPr>
          <w:i/>
          <w:sz w:val="28"/>
          <w:szCs w:val="28"/>
        </w:rPr>
      </w:pPr>
    </w:p>
    <w:p w14:paraId="12839F17" w14:textId="146AD1B6" w:rsidR="00C13B3B" w:rsidRDefault="00C13B3B" w:rsidP="00C13B3B">
      <w:pPr>
        <w:pStyle w:val="NormalWeb"/>
        <w:tabs>
          <w:tab w:val="left" w:pos="720"/>
        </w:tabs>
        <w:spacing w:before="120" w:beforeAutospacing="0" w:after="0" w:afterAutospacing="0"/>
        <w:ind w:firstLine="709"/>
        <w:jc w:val="center"/>
        <w:rPr>
          <w:i/>
          <w:sz w:val="28"/>
          <w:szCs w:val="28"/>
        </w:rPr>
      </w:pPr>
      <w:r>
        <w:rPr>
          <w:i/>
          <w:sz w:val="28"/>
          <w:szCs w:val="28"/>
        </w:rPr>
        <w:t>Hội thảo do VCCI tổ chức ngày 01/10/2019</w:t>
      </w:r>
    </w:p>
    <w:p w14:paraId="2935EA50" w14:textId="77777777" w:rsidR="00C13B3B" w:rsidRDefault="00C13B3B" w:rsidP="00C13B3B">
      <w:pPr>
        <w:pStyle w:val="NormalWeb"/>
        <w:tabs>
          <w:tab w:val="left" w:pos="720"/>
        </w:tabs>
        <w:spacing w:before="120" w:beforeAutospacing="0" w:after="0" w:afterAutospacing="0"/>
        <w:ind w:firstLine="709"/>
        <w:jc w:val="center"/>
        <w:rPr>
          <w:i/>
          <w:sz w:val="28"/>
          <w:szCs w:val="28"/>
        </w:rPr>
      </w:pPr>
    </w:p>
    <w:p w14:paraId="62BA7217" w14:textId="63C30F9F" w:rsidR="00B01F2F" w:rsidRDefault="00B01F2F" w:rsidP="00B01F2F">
      <w:pPr>
        <w:pStyle w:val="NormalWeb"/>
        <w:tabs>
          <w:tab w:val="left" w:pos="720"/>
        </w:tabs>
        <w:spacing w:before="120" w:beforeAutospacing="0" w:after="0" w:afterAutospacing="0"/>
        <w:ind w:firstLine="709"/>
        <w:jc w:val="right"/>
        <w:rPr>
          <w:i/>
          <w:sz w:val="28"/>
          <w:szCs w:val="28"/>
        </w:rPr>
      </w:pPr>
      <w:r>
        <w:rPr>
          <w:i/>
          <w:sz w:val="28"/>
          <w:szCs w:val="28"/>
        </w:rPr>
        <w:t>Nguyễn Hưng Quang</w:t>
      </w:r>
      <w:r w:rsidR="00F55758" w:rsidRPr="00F55758">
        <w:rPr>
          <w:b/>
          <w:sz w:val="32"/>
          <w:szCs w:val="20"/>
          <w:vertAlign w:val="superscript"/>
          <w:lang w:val="vi-VN"/>
        </w:rPr>
        <w:t>†</w:t>
      </w:r>
    </w:p>
    <w:p w14:paraId="25B7C58F" w14:textId="77777777" w:rsidR="004166CE" w:rsidRDefault="004166CE" w:rsidP="00B57303">
      <w:pPr>
        <w:pStyle w:val="NormalWeb"/>
        <w:tabs>
          <w:tab w:val="left" w:pos="720"/>
        </w:tabs>
        <w:spacing w:before="120" w:beforeAutospacing="0" w:after="0" w:afterAutospacing="0"/>
        <w:jc w:val="both"/>
        <w:rPr>
          <w:sz w:val="28"/>
          <w:szCs w:val="28"/>
        </w:rPr>
      </w:pPr>
    </w:p>
    <w:p w14:paraId="2305796F" w14:textId="26E026E3" w:rsidR="0072172C" w:rsidRDefault="00332052" w:rsidP="00B57303">
      <w:pPr>
        <w:pStyle w:val="NormalWeb"/>
        <w:tabs>
          <w:tab w:val="left" w:pos="720"/>
        </w:tabs>
        <w:spacing w:before="120" w:beforeAutospacing="0" w:after="0" w:afterAutospacing="0"/>
        <w:jc w:val="both"/>
        <w:rPr>
          <w:sz w:val="28"/>
          <w:szCs w:val="28"/>
        </w:rPr>
      </w:pPr>
      <w:r>
        <w:rPr>
          <w:sz w:val="28"/>
          <w:szCs w:val="28"/>
        </w:rPr>
        <w:t xml:space="preserve">Trong khi đó ở Việt Nam, hoà giải </w:t>
      </w:r>
      <w:r w:rsidR="00571488">
        <w:rPr>
          <w:sz w:val="28"/>
          <w:szCs w:val="28"/>
        </w:rPr>
        <w:t xml:space="preserve">được ghi nhận </w:t>
      </w:r>
      <w:r w:rsidR="009F5BC8">
        <w:rPr>
          <w:sz w:val="28"/>
          <w:szCs w:val="28"/>
        </w:rPr>
        <w:t>trong</w:t>
      </w:r>
      <w:r w:rsidR="00526039">
        <w:rPr>
          <w:sz w:val="28"/>
          <w:szCs w:val="28"/>
        </w:rPr>
        <w:t xml:space="preserve"> lịch sử giải quyết tranh chấp và được quy định tại một số văn bản pháp luật, như Bộ luật </w:t>
      </w:r>
      <w:r w:rsidR="00EF050B">
        <w:rPr>
          <w:sz w:val="28"/>
          <w:szCs w:val="28"/>
          <w:lang w:val="vi-VN"/>
        </w:rPr>
        <w:t>T</w:t>
      </w:r>
      <w:r w:rsidR="009F5BC8">
        <w:rPr>
          <w:sz w:val="28"/>
          <w:szCs w:val="28"/>
        </w:rPr>
        <w:t xml:space="preserve">ố tụng dân sự, </w:t>
      </w:r>
      <w:r w:rsidR="0081495C">
        <w:rPr>
          <w:sz w:val="28"/>
          <w:szCs w:val="28"/>
        </w:rPr>
        <w:t>Luật Hoà giải cơ sở</w:t>
      </w:r>
      <w:r w:rsidR="003731B9">
        <w:rPr>
          <w:sz w:val="28"/>
          <w:szCs w:val="28"/>
        </w:rPr>
        <w:t xml:space="preserve">, </w:t>
      </w:r>
      <w:r w:rsidR="00EF050B">
        <w:rPr>
          <w:sz w:val="28"/>
          <w:szCs w:val="28"/>
          <w:lang w:val="vi-VN"/>
        </w:rPr>
        <w:t>Bộ l</w:t>
      </w:r>
      <w:r w:rsidR="003731B9">
        <w:rPr>
          <w:sz w:val="28"/>
          <w:szCs w:val="28"/>
        </w:rPr>
        <w:t xml:space="preserve">uật Lao </w:t>
      </w:r>
      <w:r w:rsidR="00026D8D">
        <w:rPr>
          <w:sz w:val="28"/>
          <w:szCs w:val="28"/>
        </w:rPr>
        <w:t>động, Luật Đất đai</w:t>
      </w:r>
      <w:r w:rsidR="00E97AFB">
        <w:rPr>
          <w:sz w:val="28"/>
          <w:szCs w:val="28"/>
        </w:rPr>
        <w:t>, Luật Bảo vệ người tiêu dùng</w:t>
      </w:r>
      <w:r w:rsidR="00026D8D">
        <w:rPr>
          <w:sz w:val="28"/>
          <w:szCs w:val="28"/>
        </w:rPr>
        <w:t>…</w:t>
      </w:r>
      <w:r w:rsidR="00BD0C86" w:rsidRPr="000075AE">
        <w:rPr>
          <w:rStyle w:val="FootnoteReference"/>
          <w:sz w:val="28"/>
          <w:szCs w:val="28"/>
        </w:rPr>
        <w:footnoteReference w:id="1"/>
      </w:r>
      <w:r w:rsidR="00717F6E">
        <w:rPr>
          <w:sz w:val="28"/>
          <w:szCs w:val="28"/>
        </w:rPr>
        <w:t xml:space="preserve"> </w:t>
      </w:r>
      <w:r w:rsidR="007E04E3">
        <w:rPr>
          <w:sz w:val="28"/>
          <w:szCs w:val="28"/>
        </w:rPr>
        <w:t xml:space="preserve">Do đó, </w:t>
      </w:r>
      <w:r w:rsidR="0071318B">
        <w:rPr>
          <w:sz w:val="28"/>
          <w:szCs w:val="28"/>
        </w:rPr>
        <w:t xml:space="preserve">chủ trương xây dựng và ban hành một luật về hoà giải </w:t>
      </w:r>
      <w:r w:rsidR="009D2CC6">
        <w:rPr>
          <w:sz w:val="28"/>
          <w:szCs w:val="28"/>
        </w:rPr>
        <w:t>với những hỗ trợ</w:t>
      </w:r>
      <w:r w:rsidR="009D3955">
        <w:rPr>
          <w:sz w:val="28"/>
          <w:szCs w:val="28"/>
        </w:rPr>
        <w:t xml:space="preserve"> của Toà án là một chủ trương đúng đắn và kịp thời </w:t>
      </w:r>
      <w:r w:rsidR="00845D43">
        <w:rPr>
          <w:sz w:val="28"/>
          <w:szCs w:val="28"/>
        </w:rPr>
        <w:t>trong bối cảnh hiện tạ</w:t>
      </w:r>
      <w:r w:rsidR="0052665A">
        <w:rPr>
          <w:sz w:val="28"/>
          <w:szCs w:val="28"/>
        </w:rPr>
        <w:t>i</w:t>
      </w:r>
      <w:r w:rsidR="00F90E1F" w:rsidRPr="000075AE">
        <w:rPr>
          <w:rStyle w:val="FootnoteReference"/>
          <w:sz w:val="28"/>
          <w:szCs w:val="28"/>
        </w:rPr>
        <w:footnoteReference w:id="2"/>
      </w:r>
      <w:r w:rsidR="0052665A">
        <w:rPr>
          <w:sz w:val="28"/>
          <w:szCs w:val="28"/>
        </w:rPr>
        <w:t xml:space="preserve">. </w:t>
      </w:r>
      <w:r w:rsidR="007E04E3">
        <w:rPr>
          <w:sz w:val="28"/>
          <w:szCs w:val="28"/>
        </w:rPr>
        <w:t xml:space="preserve">Tiếp theo các góp ý đối với </w:t>
      </w:r>
      <w:r w:rsidR="00525AD2">
        <w:rPr>
          <w:sz w:val="28"/>
          <w:szCs w:val="28"/>
        </w:rPr>
        <w:t xml:space="preserve">Dự thảo </w:t>
      </w:r>
      <w:r w:rsidR="00D9659C">
        <w:rPr>
          <w:sz w:val="28"/>
          <w:szCs w:val="28"/>
        </w:rPr>
        <w:t xml:space="preserve">1 của </w:t>
      </w:r>
      <w:r w:rsidR="00525AD2">
        <w:rPr>
          <w:sz w:val="28"/>
          <w:szCs w:val="28"/>
        </w:rPr>
        <w:t>Luật Hoà giải, đối thoại tại Toà án</w:t>
      </w:r>
      <w:r w:rsidR="00EF6286">
        <w:rPr>
          <w:sz w:val="28"/>
          <w:szCs w:val="28"/>
        </w:rPr>
        <w:t xml:space="preserve"> vào</w:t>
      </w:r>
      <w:r w:rsidR="00525AD2">
        <w:rPr>
          <w:sz w:val="28"/>
          <w:szCs w:val="28"/>
        </w:rPr>
        <w:t xml:space="preserve"> </w:t>
      </w:r>
      <w:r w:rsidR="00C50B8D">
        <w:rPr>
          <w:sz w:val="28"/>
          <w:szCs w:val="28"/>
        </w:rPr>
        <w:t>ngày 04/04/2019</w:t>
      </w:r>
      <w:r w:rsidR="00D9659C">
        <w:rPr>
          <w:sz w:val="28"/>
          <w:szCs w:val="28"/>
        </w:rPr>
        <w:t>, các góp ý dưới đây sẽ tập trung vào Dự thảo 3 ccủa Luật Hoà giải đối thoại tại Toà án</w:t>
      </w:r>
      <w:r w:rsidR="00C50B8D">
        <w:rPr>
          <w:sz w:val="28"/>
          <w:szCs w:val="28"/>
        </w:rPr>
        <w:t xml:space="preserve"> </w:t>
      </w:r>
      <w:r w:rsidR="006A43A8">
        <w:rPr>
          <w:sz w:val="28"/>
          <w:szCs w:val="28"/>
        </w:rPr>
        <w:t>(“</w:t>
      </w:r>
      <w:r w:rsidR="006A43A8" w:rsidRPr="006A43A8">
        <w:rPr>
          <w:i/>
          <w:sz w:val="28"/>
          <w:szCs w:val="28"/>
        </w:rPr>
        <w:t>Dự thảo</w:t>
      </w:r>
      <w:r w:rsidR="00D9659C">
        <w:rPr>
          <w:i/>
          <w:sz w:val="28"/>
          <w:szCs w:val="28"/>
        </w:rPr>
        <w:t xml:space="preserve"> 3</w:t>
      </w:r>
      <w:r w:rsidR="006A43A8">
        <w:rPr>
          <w:sz w:val="28"/>
          <w:szCs w:val="28"/>
        </w:rPr>
        <w:t xml:space="preserve">”) </w:t>
      </w:r>
      <w:r w:rsidR="00FB19B9">
        <w:rPr>
          <w:sz w:val="28"/>
          <w:szCs w:val="28"/>
        </w:rPr>
        <w:t xml:space="preserve">nhằm đề </w:t>
      </w:r>
      <w:r w:rsidR="00B31557">
        <w:rPr>
          <w:sz w:val="28"/>
          <w:szCs w:val="28"/>
        </w:rPr>
        <w:t>xuất hoàn thiện Dự thảo này</w:t>
      </w:r>
      <w:r w:rsidR="009C2A62">
        <w:rPr>
          <w:sz w:val="28"/>
          <w:szCs w:val="28"/>
        </w:rPr>
        <w:t>.</w:t>
      </w:r>
    </w:p>
    <w:p w14:paraId="441754AC" w14:textId="77777777" w:rsidR="006A43A8" w:rsidRDefault="006A43A8" w:rsidP="00B57303">
      <w:pPr>
        <w:pStyle w:val="NormalWeb"/>
        <w:tabs>
          <w:tab w:val="left" w:pos="720"/>
        </w:tabs>
        <w:spacing w:before="120" w:beforeAutospacing="0" w:after="0" w:afterAutospacing="0"/>
        <w:jc w:val="both"/>
        <w:rPr>
          <w:sz w:val="28"/>
          <w:szCs w:val="28"/>
        </w:rPr>
      </w:pPr>
    </w:p>
    <w:p w14:paraId="232608B6" w14:textId="73591E05" w:rsidR="0072172C" w:rsidRPr="00EE7D27" w:rsidRDefault="009313CB" w:rsidP="00A03C5B">
      <w:pPr>
        <w:pStyle w:val="NormalWeb"/>
        <w:numPr>
          <w:ilvl w:val="0"/>
          <w:numId w:val="3"/>
        </w:numPr>
        <w:tabs>
          <w:tab w:val="left" w:pos="720"/>
        </w:tabs>
        <w:spacing w:before="120" w:beforeAutospacing="0" w:after="0" w:afterAutospacing="0"/>
        <w:ind w:left="709"/>
        <w:jc w:val="both"/>
        <w:rPr>
          <w:b/>
          <w:sz w:val="28"/>
          <w:szCs w:val="28"/>
        </w:rPr>
      </w:pPr>
      <w:r w:rsidRPr="00EE7D27">
        <w:rPr>
          <w:b/>
          <w:sz w:val="28"/>
          <w:szCs w:val="28"/>
        </w:rPr>
        <w:t>MỐI QUAN HỆ</w:t>
      </w:r>
      <w:r w:rsidR="00713471" w:rsidRPr="00EE7D27">
        <w:rPr>
          <w:b/>
          <w:sz w:val="28"/>
          <w:szCs w:val="28"/>
        </w:rPr>
        <w:t xml:space="preserve"> VÀ SỰ PHÙ HỢP</w:t>
      </w:r>
      <w:r w:rsidRPr="00EE7D27">
        <w:rPr>
          <w:b/>
          <w:sz w:val="28"/>
          <w:szCs w:val="28"/>
        </w:rPr>
        <w:t xml:space="preserve"> CỦA LUẬT </w:t>
      </w:r>
      <w:r w:rsidR="00537A6B" w:rsidRPr="00EE7D27">
        <w:rPr>
          <w:b/>
          <w:sz w:val="28"/>
          <w:szCs w:val="28"/>
        </w:rPr>
        <w:t>HOÀ GIẢI, ĐỐI THOẠI VỚI CÁC LUẬT KHÁC</w:t>
      </w:r>
    </w:p>
    <w:p w14:paraId="168B2285" w14:textId="77777777" w:rsidR="006A43A8" w:rsidRDefault="006A43A8" w:rsidP="00177F04">
      <w:pPr>
        <w:pStyle w:val="NormalWeb"/>
        <w:tabs>
          <w:tab w:val="left" w:pos="720"/>
        </w:tabs>
        <w:spacing w:before="120" w:beforeAutospacing="0" w:after="0" w:afterAutospacing="0"/>
        <w:jc w:val="both"/>
        <w:rPr>
          <w:sz w:val="28"/>
          <w:szCs w:val="28"/>
        </w:rPr>
      </w:pPr>
    </w:p>
    <w:p w14:paraId="7489FE0F" w14:textId="02B8B4DA" w:rsidR="008305FA" w:rsidRPr="008305FA" w:rsidRDefault="008305FA" w:rsidP="008305FA">
      <w:pPr>
        <w:pStyle w:val="NormalWeb"/>
        <w:numPr>
          <w:ilvl w:val="0"/>
          <w:numId w:val="4"/>
        </w:numPr>
        <w:tabs>
          <w:tab w:val="left" w:pos="720"/>
        </w:tabs>
        <w:spacing w:before="120" w:beforeAutospacing="0" w:after="0" w:afterAutospacing="0"/>
        <w:jc w:val="both"/>
        <w:rPr>
          <w:b/>
          <w:i/>
          <w:sz w:val="28"/>
          <w:szCs w:val="28"/>
        </w:rPr>
      </w:pPr>
      <w:r w:rsidRPr="008305FA">
        <w:rPr>
          <w:b/>
          <w:i/>
          <w:sz w:val="28"/>
          <w:szCs w:val="28"/>
        </w:rPr>
        <w:t>Phạm vi điều chỉnh</w:t>
      </w:r>
    </w:p>
    <w:p w14:paraId="48FBBEE2" w14:textId="4A8EC3C4" w:rsidR="0088374E" w:rsidRDefault="006A43A8" w:rsidP="00177F04">
      <w:pPr>
        <w:pStyle w:val="NormalWeb"/>
        <w:tabs>
          <w:tab w:val="left" w:pos="720"/>
        </w:tabs>
        <w:spacing w:before="120" w:beforeAutospacing="0" w:after="0" w:afterAutospacing="0"/>
        <w:jc w:val="both"/>
        <w:rPr>
          <w:sz w:val="28"/>
          <w:szCs w:val="28"/>
        </w:rPr>
      </w:pPr>
      <w:r>
        <w:rPr>
          <w:sz w:val="28"/>
          <w:szCs w:val="28"/>
        </w:rPr>
        <w:t xml:space="preserve">Điều 1 của Dự thảo </w:t>
      </w:r>
      <w:r w:rsidR="00447F9B">
        <w:rPr>
          <w:sz w:val="28"/>
          <w:szCs w:val="28"/>
        </w:rPr>
        <w:t xml:space="preserve">quy định: </w:t>
      </w:r>
      <w:r w:rsidR="00447F9B" w:rsidRPr="007B10C9">
        <w:rPr>
          <w:i/>
          <w:sz w:val="28"/>
          <w:szCs w:val="28"/>
        </w:rPr>
        <w:t>“</w:t>
      </w:r>
      <w:r w:rsidR="008B6EE8" w:rsidRPr="007B10C9">
        <w:rPr>
          <w:i/>
          <w:sz w:val="28"/>
          <w:szCs w:val="28"/>
        </w:rPr>
        <w:t>Luật này không điều chỉnh các hoạt động hòa giải, đối thoại đã được luật khác quy định”</w:t>
      </w:r>
      <w:r w:rsidR="008B6EE8">
        <w:rPr>
          <w:sz w:val="28"/>
          <w:szCs w:val="28"/>
        </w:rPr>
        <w:t>.</w:t>
      </w:r>
      <w:r w:rsidR="003821DF">
        <w:rPr>
          <w:sz w:val="28"/>
          <w:szCs w:val="28"/>
        </w:rPr>
        <w:t xml:space="preserve"> </w:t>
      </w:r>
      <w:r w:rsidR="003D78B9">
        <w:rPr>
          <w:sz w:val="28"/>
          <w:szCs w:val="28"/>
        </w:rPr>
        <w:t xml:space="preserve">Nguyên tắc này xuyên suốt </w:t>
      </w:r>
      <w:r w:rsidR="00E73787">
        <w:rPr>
          <w:sz w:val="28"/>
          <w:szCs w:val="28"/>
        </w:rPr>
        <w:t>các chế đị</w:t>
      </w:r>
      <w:r w:rsidR="008B6721">
        <w:rPr>
          <w:sz w:val="28"/>
          <w:szCs w:val="28"/>
        </w:rPr>
        <w:t xml:space="preserve">nh </w:t>
      </w:r>
      <w:r w:rsidR="00E71F09">
        <w:rPr>
          <w:sz w:val="28"/>
          <w:szCs w:val="28"/>
        </w:rPr>
        <w:t xml:space="preserve">đối với </w:t>
      </w:r>
      <w:r w:rsidR="00E73787">
        <w:rPr>
          <w:sz w:val="28"/>
          <w:szCs w:val="28"/>
        </w:rPr>
        <w:t xml:space="preserve">hoà giải viên, </w:t>
      </w:r>
      <w:r w:rsidR="00357D9A">
        <w:rPr>
          <w:sz w:val="28"/>
          <w:szCs w:val="28"/>
        </w:rPr>
        <w:t xml:space="preserve">thủ tục công nhận </w:t>
      </w:r>
      <w:r w:rsidR="008A09A0">
        <w:rPr>
          <w:sz w:val="28"/>
          <w:szCs w:val="28"/>
        </w:rPr>
        <w:t>kết quả hoà giải</w:t>
      </w:r>
      <w:r w:rsidR="00AF6E50">
        <w:rPr>
          <w:sz w:val="28"/>
          <w:szCs w:val="28"/>
        </w:rPr>
        <w:t>, đối thoại</w:t>
      </w:r>
      <w:r w:rsidR="008A09A0">
        <w:rPr>
          <w:sz w:val="28"/>
          <w:szCs w:val="28"/>
        </w:rPr>
        <w:t xml:space="preserve"> thành, </w:t>
      </w:r>
      <w:r w:rsidR="00DF0101">
        <w:rPr>
          <w:sz w:val="28"/>
          <w:szCs w:val="28"/>
        </w:rPr>
        <w:t>kinh phí cho công tác hoà giải, đối thoại tại Toà án</w:t>
      </w:r>
      <w:r w:rsidR="009075B1">
        <w:rPr>
          <w:sz w:val="28"/>
          <w:szCs w:val="28"/>
        </w:rPr>
        <w:t xml:space="preserve">… </w:t>
      </w:r>
      <w:r w:rsidR="007B503F">
        <w:rPr>
          <w:sz w:val="28"/>
          <w:szCs w:val="28"/>
        </w:rPr>
        <w:t xml:space="preserve">Quy định này dường như có mục tiêu không làm thay đổi </w:t>
      </w:r>
      <w:r w:rsidR="00B34FAD">
        <w:rPr>
          <w:sz w:val="28"/>
          <w:szCs w:val="28"/>
        </w:rPr>
        <w:t xml:space="preserve">hay chồng chéo lên </w:t>
      </w:r>
      <w:r w:rsidR="007B503F">
        <w:rPr>
          <w:sz w:val="28"/>
          <w:szCs w:val="28"/>
        </w:rPr>
        <w:t>các quy định pháp luật hiện hành</w:t>
      </w:r>
      <w:r w:rsidR="003B70BC">
        <w:rPr>
          <w:sz w:val="28"/>
          <w:szCs w:val="28"/>
        </w:rPr>
        <w:t xml:space="preserve"> liên quan đến hoạt động hoà giải. </w:t>
      </w:r>
      <w:r w:rsidR="004136F6">
        <w:rPr>
          <w:sz w:val="28"/>
          <w:szCs w:val="28"/>
        </w:rPr>
        <w:t xml:space="preserve">Xét trên bối cảnh </w:t>
      </w:r>
      <w:r w:rsidR="00AE01C9">
        <w:rPr>
          <w:sz w:val="28"/>
          <w:szCs w:val="28"/>
        </w:rPr>
        <w:t xml:space="preserve">hoạt động hoà giải </w:t>
      </w:r>
      <w:r w:rsidR="004552FA">
        <w:rPr>
          <w:sz w:val="28"/>
          <w:szCs w:val="28"/>
        </w:rPr>
        <w:t>có tính chuyên nghiệp (</w:t>
      </w:r>
      <w:r w:rsidR="00837157">
        <w:rPr>
          <w:sz w:val="28"/>
          <w:szCs w:val="28"/>
        </w:rPr>
        <w:t>như hoà giải thương mại</w:t>
      </w:r>
      <w:r w:rsidR="006B73FE">
        <w:rPr>
          <w:sz w:val="28"/>
          <w:szCs w:val="28"/>
        </w:rPr>
        <w:t xml:space="preserve">, hoà giải lao động, </w:t>
      </w:r>
      <w:r w:rsidR="001838EB">
        <w:rPr>
          <w:sz w:val="28"/>
          <w:szCs w:val="28"/>
        </w:rPr>
        <w:t xml:space="preserve">hoà giải trong bảo vệ người tiêu </w:t>
      </w:r>
      <w:r w:rsidR="001838EB">
        <w:rPr>
          <w:sz w:val="28"/>
          <w:szCs w:val="28"/>
        </w:rPr>
        <w:lastRenderedPageBreak/>
        <w:t>dùng…</w:t>
      </w:r>
      <w:r w:rsidR="000A3C53">
        <w:rPr>
          <w:sz w:val="28"/>
          <w:szCs w:val="28"/>
        </w:rPr>
        <w:t xml:space="preserve">) chưa được phát triển </w:t>
      </w:r>
      <w:r w:rsidR="00B970D2">
        <w:rPr>
          <w:sz w:val="28"/>
          <w:szCs w:val="28"/>
        </w:rPr>
        <w:t>do các quy định pháp luật chưa rõ ràng, còn phức tạp</w:t>
      </w:r>
      <w:r w:rsidR="00040CAA" w:rsidRPr="000075AE">
        <w:rPr>
          <w:rStyle w:val="FootnoteReference"/>
          <w:sz w:val="28"/>
          <w:szCs w:val="28"/>
        </w:rPr>
        <w:footnoteReference w:id="3"/>
      </w:r>
      <w:r w:rsidR="00F50B50">
        <w:rPr>
          <w:sz w:val="28"/>
          <w:szCs w:val="28"/>
        </w:rPr>
        <w:t xml:space="preserve"> thì cần thiết có s</w:t>
      </w:r>
      <w:r w:rsidR="009C398B">
        <w:rPr>
          <w:sz w:val="28"/>
          <w:szCs w:val="28"/>
        </w:rPr>
        <w:t xml:space="preserve">ự hỗ trợ của </w:t>
      </w:r>
      <w:r w:rsidR="005F61AB">
        <w:rPr>
          <w:sz w:val="28"/>
          <w:szCs w:val="28"/>
        </w:rPr>
        <w:t xml:space="preserve">hệ thống </w:t>
      </w:r>
      <w:r w:rsidR="009C398B">
        <w:rPr>
          <w:sz w:val="28"/>
          <w:szCs w:val="28"/>
        </w:rPr>
        <w:t>Toà án</w:t>
      </w:r>
      <w:r w:rsidR="008305FA">
        <w:rPr>
          <w:sz w:val="28"/>
          <w:szCs w:val="28"/>
        </w:rPr>
        <w:t xml:space="preserve"> và sự thống nhất của các quy phạm pháp luật liên quan đến hoạt động hoà giả</w:t>
      </w:r>
      <w:r w:rsidR="00933F7E">
        <w:rPr>
          <w:sz w:val="28"/>
          <w:szCs w:val="28"/>
        </w:rPr>
        <w:t>i ngoài T</w:t>
      </w:r>
      <w:r w:rsidR="00A72802">
        <w:rPr>
          <w:sz w:val="28"/>
          <w:szCs w:val="28"/>
        </w:rPr>
        <w:t>oà án.</w:t>
      </w:r>
      <w:r w:rsidR="00771AF4">
        <w:rPr>
          <w:sz w:val="28"/>
          <w:szCs w:val="28"/>
        </w:rPr>
        <w:t xml:space="preserve"> </w:t>
      </w:r>
    </w:p>
    <w:p w14:paraId="5E464D1F" w14:textId="77777777" w:rsidR="0088374E" w:rsidRDefault="0088374E" w:rsidP="00177F04">
      <w:pPr>
        <w:pStyle w:val="NormalWeb"/>
        <w:tabs>
          <w:tab w:val="left" w:pos="720"/>
        </w:tabs>
        <w:spacing w:before="120" w:beforeAutospacing="0" w:after="0" w:afterAutospacing="0"/>
        <w:jc w:val="both"/>
        <w:rPr>
          <w:sz w:val="28"/>
          <w:szCs w:val="28"/>
        </w:rPr>
      </w:pPr>
    </w:p>
    <w:p w14:paraId="3966A80B" w14:textId="7780C0CF" w:rsidR="00A35EC2" w:rsidRPr="008305FA" w:rsidRDefault="00A35EC2" w:rsidP="00A35EC2">
      <w:pPr>
        <w:pStyle w:val="NormalWeb"/>
        <w:numPr>
          <w:ilvl w:val="0"/>
          <w:numId w:val="4"/>
        </w:numPr>
        <w:tabs>
          <w:tab w:val="left" w:pos="720"/>
        </w:tabs>
        <w:spacing w:before="120" w:beforeAutospacing="0" w:after="0" w:afterAutospacing="0"/>
        <w:jc w:val="both"/>
        <w:rPr>
          <w:b/>
          <w:i/>
          <w:sz w:val="28"/>
          <w:szCs w:val="28"/>
        </w:rPr>
      </w:pPr>
      <w:r>
        <w:rPr>
          <w:b/>
          <w:i/>
          <w:sz w:val="28"/>
          <w:szCs w:val="28"/>
        </w:rPr>
        <w:t>Thống nhất về thủ tục công nhận hoà giải thành</w:t>
      </w:r>
    </w:p>
    <w:p w14:paraId="79AB3D96" w14:textId="77777777" w:rsidR="00A35EC2" w:rsidRDefault="00A35EC2" w:rsidP="00177F04">
      <w:pPr>
        <w:pStyle w:val="NormalWeb"/>
        <w:tabs>
          <w:tab w:val="left" w:pos="720"/>
        </w:tabs>
        <w:spacing w:before="120" w:beforeAutospacing="0" w:after="0" w:afterAutospacing="0"/>
        <w:jc w:val="both"/>
        <w:rPr>
          <w:sz w:val="28"/>
          <w:szCs w:val="28"/>
        </w:rPr>
      </w:pPr>
    </w:p>
    <w:p w14:paraId="549B918E" w14:textId="59CCEDDF" w:rsidR="00A35EC2" w:rsidRDefault="00A35EC2" w:rsidP="00A35EC2">
      <w:pPr>
        <w:pStyle w:val="NormalWeb"/>
        <w:tabs>
          <w:tab w:val="left" w:pos="720"/>
        </w:tabs>
        <w:spacing w:before="120" w:beforeAutospacing="0" w:after="0" w:afterAutospacing="0"/>
        <w:jc w:val="both"/>
        <w:rPr>
          <w:sz w:val="28"/>
          <w:szCs w:val="28"/>
        </w:rPr>
      </w:pPr>
      <w:r>
        <w:rPr>
          <w:sz w:val="28"/>
          <w:szCs w:val="28"/>
        </w:rPr>
        <w:t>Ngoài ra, thủ tục công nhận kết quả hoà giải tại Dự thảo cũng khác với thủ tục công nhận hoà giải thành ngoài toà án quy định tại Chương XXXIII của BLTTDS 2015. Do đó, đề nghị thành trước tố tụng nên thống nhất để bảo đảm tính công bằng, dễ áp dụng và dễ nhận biết đối với cơ chế này thay vì có nhiều cơ chế, thủ tục khác nhau được quy định trong các văn bản pháp luật khác nhau.</w:t>
      </w:r>
    </w:p>
    <w:p w14:paraId="6B37FCFE" w14:textId="77777777" w:rsidR="004A44D6" w:rsidRDefault="004A44D6" w:rsidP="00A35EC2">
      <w:pPr>
        <w:pStyle w:val="NormalWeb"/>
        <w:tabs>
          <w:tab w:val="left" w:pos="720"/>
        </w:tabs>
        <w:spacing w:before="120" w:beforeAutospacing="0" w:after="0" w:afterAutospacing="0"/>
        <w:jc w:val="both"/>
        <w:rPr>
          <w:sz w:val="28"/>
          <w:szCs w:val="28"/>
        </w:rPr>
      </w:pPr>
    </w:p>
    <w:p w14:paraId="19322450" w14:textId="3A3F4BF0" w:rsidR="004A44D6" w:rsidRPr="008305FA" w:rsidRDefault="004A44D6" w:rsidP="004A44D6">
      <w:pPr>
        <w:pStyle w:val="NormalWeb"/>
        <w:numPr>
          <w:ilvl w:val="0"/>
          <w:numId w:val="4"/>
        </w:numPr>
        <w:tabs>
          <w:tab w:val="left" w:pos="720"/>
        </w:tabs>
        <w:spacing w:before="120" w:beforeAutospacing="0" w:after="0" w:afterAutospacing="0"/>
        <w:jc w:val="both"/>
        <w:rPr>
          <w:b/>
          <w:i/>
          <w:sz w:val="28"/>
          <w:szCs w:val="28"/>
        </w:rPr>
      </w:pPr>
      <w:r>
        <w:rPr>
          <w:b/>
          <w:i/>
          <w:sz w:val="28"/>
          <w:szCs w:val="28"/>
        </w:rPr>
        <w:t>Thống nhất về chính sách tạo điều kiện của Nhà nước đối với hoạt động hoà giải</w:t>
      </w:r>
    </w:p>
    <w:p w14:paraId="5DF19D73" w14:textId="01281BC8" w:rsidR="004A44D6" w:rsidRDefault="002E12EA" w:rsidP="00A35EC2">
      <w:pPr>
        <w:pStyle w:val="NormalWeb"/>
        <w:tabs>
          <w:tab w:val="left" w:pos="720"/>
        </w:tabs>
        <w:spacing w:before="120" w:beforeAutospacing="0" w:after="0" w:afterAutospacing="0"/>
        <w:jc w:val="both"/>
        <w:rPr>
          <w:sz w:val="28"/>
          <w:szCs w:val="28"/>
        </w:rPr>
      </w:pPr>
      <w:r>
        <w:rPr>
          <w:sz w:val="28"/>
          <w:szCs w:val="28"/>
        </w:rPr>
        <w:t>Điều 5</w:t>
      </w:r>
      <w:r w:rsidR="00862DBF">
        <w:rPr>
          <w:sz w:val="28"/>
          <w:szCs w:val="28"/>
        </w:rPr>
        <w:t xml:space="preserve"> và Điều 6</w:t>
      </w:r>
      <w:r>
        <w:rPr>
          <w:sz w:val="28"/>
          <w:szCs w:val="28"/>
        </w:rPr>
        <w:t xml:space="preserve"> cũng như một số điều khoản của Dự thảo có quy định về chính sách của Nhà nước đối với hoạt động hoà giải, đối thoại tại Toà án. </w:t>
      </w:r>
      <w:r w:rsidR="004D40ED">
        <w:rPr>
          <w:sz w:val="28"/>
          <w:szCs w:val="28"/>
        </w:rPr>
        <w:t>Như đã phân tích, thực tế có nhiều hình thức hoà giải theo quy định của pháp luật</w:t>
      </w:r>
      <w:r w:rsidR="00CD77D1">
        <w:rPr>
          <w:sz w:val="28"/>
          <w:szCs w:val="28"/>
        </w:rPr>
        <w:t xml:space="preserve"> trong khi hiện tại có hình thức hoà giải cơ sở và hình thức hoà giải, đối thoại tại toà án có cơ chế tạo điều kiện hoặc đề xuất được tạo điều kiện trong khi các hình thức khác thì cơ chế lại không rõ </w:t>
      </w:r>
      <w:r w:rsidR="006E7789">
        <w:rPr>
          <w:sz w:val="28"/>
          <w:szCs w:val="28"/>
        </w:rPr>
        <w:t>ràng, ví dụ hoà giải lao động, hoà giải đất đai, hoà giải thương mại.</w:t>
      </w:r>
    </w:p>
    <w:p w14:paraId="30A56835" w14:textId="77777777" w:rsidR="00A35EC2" w:rsidRDefault="00A35EC2" w:rsidP="00177F04">
      <w:pPr>
        <w:pStyle w:val="NormalWeb"/>
        <w:tabs>
          <w:tab w:val="left" w:pos="720"/>
        </w:tabs>
        <w:spacing w:before="120" w:beforeAutospacing="0" w:after="0" w:afterAutospacing="0"/>
        <w:jc w:val="both"/>
        <w:rPr>
          <w:sz w:val="28"/>
          <w:szCs w:val="28"/>
        </w:rPr>
      </w:pPr>
    </w:p>
    <w:tbl>
      <w:tblPr>
        <w:tblStyle w:val="TableGrid"/>
        <w:tblW w:w="0" w:type="auto"/>
        <w:tblLook w:val="04A0" w:firstRow="1" w:lastRow="0" w:firstColumn="1" w:lastColumn="0" w:noHBand="0" w:noVBand="1"/>
      </w:tblPr>
      <w:tblGrid>
        <w:gridCol w:w="8516"/>
      </w:tblGrid>
      <w:tr w:rsidR="0088374E" w14:paraId="25FA3F9B" w14:textId="77777777" w:rsidTr="0088374E">
        <w:tc>
          <w:tcPr>
            <w:tcW w:w="8516" w:type="dxa"/>
          </w:tcPr>
          <w:p w14:paraId="37F1393E" w14:textId="77777777" w:rsidR="0088374E" w:rsidRPr="0088374E" w:rsidRDefault="0088374E" w:rsidP="0088374E">
            <w:pPr>
              <w:pStyle w:val="NormalWeb"/>
              <w:tabs>
                <w:tab w:val="left" w:pos="720"/>
              </w:tabs>
              <w:spacing w:before="120" w:beforeAutospacing="0" w:after="0" w:afterAutospacing="0"/>
              <w:jc w:val="both"/>
              <w:rPr>
                <w:b/>
                <w:i/>
                <w:sz w:val="28"/>
                <w:szCs w:val="28"/>
              </w:rPr>
            </w:pPr>
            <w:r w:rsidRPr="0088374E">
              <w:rPr>
                <w:b/>
                <w:i/>
                <w:sz w:val="28"/>
                <w:szCs w:val="28"/>
              </w:rPr>
              <w:t xml:space="preserve">Đề xuất: </w:t>
            </w:r>
          </w:p>
          <w:p w14:paraId="0C66E2EC" w14:textId="785CC0C0" w:rsidR="0088374E" w:rsidRDefault="0088374E" w:rsidP="0088374E">
            <w:pPr>
              <w:pStyle w:val="NormalWeb"/>
              <w:tabs>
                <w:tab w:val="left" w:pos="720"/>
              </w:tabs>
              <w:spacing w:before="120" w:beforeAutospacing="0" w:after="0" w:afterAutospacing="0"/>
              <w:jc w:val="both"/>
              <w:rPr>
                <w:sz w:val="28"/>
                <w:szCs w:val="28"/>
              </w:rPr>
            </w:pPr>
            <w:r>
              <w:rPr>
                <w:sz w:val="28"/>
                <w:szCs w:val="28"/>
              </w:rPr>
              <w:t xml:space="preserve">Phạm vi điều chỉnh của Dự thảo cần có thêm </w:t>
            </w:r>
            <w:r w:rsidR="008A2081">
              <w:rPr>
                <w:sz w:val="28"/>
                <w:szCs w:val="28"/>
              </w:rPr>
              <w:t>những quy định cụ thể</w:t>
            </w:r>
            <w:r w:rsidR="00711BFD">
              <w:rPr>
                <w:sz w:val="28"/>
                <w:szCs w:val="28"/>
              </w:rPr>
              <w:t xml:space="preserve"> đối với </w:t>
            </w:r>
            <w:r w:rsidR="006541A1">
              <w:rPr>
                <w:sz w:val="28"/>
                <w:szCs w:val="28"/>
              </w:rPr>
              <w:t>các hình thức</w:t>
            </w:r>
            <w:r>
              <w:rPr>
                <w:sz w:val="28"/>
                <w:szCs w:val="28"/>
              </w:rPr>
              <w:t xml:space="preserve"> hoà giải </w:t>
            </w:r>
            <w:r w:rsidR="008B078F">
              <w:rPr>
                <w:sz w:val="28"/>
                <w:szCs w:val="28"/>
              </w:rPr>
              <w:t xml:space="preserve">do các quy định pháp luật </w:t>
            </w:r>
            <w:r>
              <w:rPr>
                <w:sz w:val="28"/>
                <w:szCs w:val="28"/>
              </w:rPr>
              <w:t xml:space="preserve">khác </w:t>
            </w:r>
            <w:r w:rsidR="00C368BC">
              <w:rPr>
                <w:sz w:val="28"/>
                <w:szCs w:val="28"/>
              </w:rPr>
              <w:t>điều chỉnh</w:t>
            </w:r>
            <w:r w:rsidR="00E43843">
              <w:rPr>
                <w:sz w:val="28"/>
                <w:szCs w:val="28"/>
              </w:rPr>
              <w:t>, như hoà giải thương mại</w:t>
            </w:r>
            <w:r w:rsidR="003D03C8">
              <w:rPr>
                <w:sz w:val="28"/>
                <w:szCs w:val="28"/>
              </w:rPr>
              <w:t>, hoà giải lao động</w:t>
            </w:r>
            <w:r w:rsidR="00B251A7">
              <w:rPr>
                <w:sz w:val="28"/>
                <w:szCs w:val="28"/>
              </w:rPr>
              <w:t>…</w:t>
            </w:r>
            <w:r w:rsidR="00C368BC">
              <w:rPr>
                <w:sz w:val="28"/>
                <w:szCs w:val="28"/>
              </w:rPr>
              <w:t xml:space="preserve"> </w:t>
            </w:r>
            <w:r>
              <w:rPr>
                <w:sz w:val="28"/>
                <w:szCs w:val="28"/>
              </w:rPr>
              <w:t>để Toà án thực sự là “môi trườ</w:t>
            </w:r>
            <w:r w:rsidR="00E56A82">
              <w:rPr>
                <w:sz w:val="28"/>
                <w:szCs w:val="28"/>
              </w:rPr>
              <w:t>ng</w:t>
            </w:r>
            <w:r>
              <w:rPr>
                <w:sz w:val="28"/>
                <w:szCs w:val="28"/>
              </w:rPr>
              <w:t xml:space="preserve"> tốt</w:t>
            </w:r>
            <w:r w:rsidR="00E56A82">
              <w:rPr>
                <w:sz w:val="28"/>
                <w:szCs w:val="28"/>
              </w:rPr>
              <w:t>”</w:t>
            </w:r>
            <w:r>
              <w:rPr>
                <w:sz w:val="28"/>
                <w:szCs w:val="28"/>
              </w:rPr>
              <w:t xml:space="preserve"> cho hoạt động hoà giải </w:t>
            </w:r>
            <w:r w:rsidR="00222883">
              <w:rPr>
                <w:sz w:val="28"/>
                <w:szCs w:val="28"/>
              </w:rPr>
              <w:t xml:space="preserve">nói chung ở </w:t>
            </w:r>
            <w:r w:rsidR="003B797B">
              <w:rPr>
                <w:sz w:val="28"/>
                <w:szCs w:val="28"/>
              </w:rPr>
              <w:t>Việt Nam</w:t>
            </w:r>
            <w:r w:rsidR="00222883">
              <w:rPr>
                <w:sz w:val="28"/>
                <w:szCs w:val="28"/>
              </w:rPr>
              <w:t xml:space="preserve"> được phát triển</w:t>
            </w:r>
            <w:r w:rsidR="003B797B">
              <w:rPr>
                <w:sz w:val="28"/>
                <w:szCs w:val="28"/>
              </w:rPr>
              <w:t>.</w:t>
            </w:r>
            <w:r w:rsidR="00DB2CBE">
              <w:rPr>
                <w:sz w:val="28"/>
                <w:szCs w:val="28"/>
              </w:rPr>
              <w:t xml:space="preserve"> Nói cách khác, Luật Hoà giải, Đối thoại tại Toà án cần có biện pháp “hoà giải” với các Luật có quy định về hoà giải ngoài toà án </w:t>
            </w:r>
            <w:r w:rsidR="0087526C">
              <w:rPr>
                <w:sz w:val="28"/>
                <w:szCs w:val="28"/>
              </w:rPr>
              <w:t>khác để bảo đảm khung pháp lý về hoà giải ngoài toà án được thống nhất.</w:t>
            </w:r>
          </w:p>
          <w:p w14:paraId="45F01248" w14:textId="77777777" w:rsidR="0088374E" w:rsidRDefault="0088374E" w:rsidP="00111349">
            <w:pPr>
              <w:pStyle w:val="NormalWeb"/>
              <w:tabs>
                <w:tab w:val="left" w:pos="720"/>
              </w:tabs>
              <w:spacing w:before="120" w:beforeAutospacing="0" w:after="0" w:afterAutospacing="0"/>
              <w:jc w:val="both"/>
              <w:rPr>
                <w:b/>
                <w:i/>
                <w:sz w:val="28"/>
                <w:szCs w:val="28"/>
              </w:rPr>
            </w:pPr>
          </w:p>
        </w:tc>
      </w:tr>
    </w:tbl>
    <w:p w14:paraId="00AD83AA" w14:textId="68377047" w:rsidR="00111349" w:rsidRDefault="00111349" w:rsidP="00111349">
      <w:pPr>
        <w:pStyle w:val="NormalWeb"/>
        <w:tabs>
          <w:tab w:val="left" w:pos="720"/>
        </w:tabs>
        <w:spacing w:before="120" w:beforeAutospacing="0" w:after="0" w:afterAutospacing="0"/>
        <w:jc w:val="both"/>
        <w:rPr>
          <w:b/>
          <w:i/>
          <w:sz w:val="28"/>
          <w:szCs w:val="28"/>
        </w:rPr>
      </w:pPr>
    </w:p>
    <w:p w14:paraId="3123FB5F" w14:textId="03CE30CA" w:rsidR="0057746B" w:rsidRPr="00EE7D27" w:rsidRDefault="0057746B" w:rsidP="0057746B">
      <w:pPr>
        <w:pStyle w:val="NormalWeb"/>
        <w:numPr>
          <w:ilvl w:val="0"/>
          <w:numId w:val="3"/>
        </w:numPr>
        <w:tabs>
          <w:tab w:val="left" w:pos="720"/>
        </w:tabs>
        <w:spacing w:before="120" w:beforeAutospacing="0" w:after="0" w:afterAutospacing="0"/>
        <w:ind w:left="709"/>
        <w:jc w:val="both"/>
        <w:rPr>
          <w:b/>
          <w:sz w:val="28"/>
          <w:szCs w:val="28"/>
        </w:rPr>
      </w:pPr>
      <w:r>
        <w:rPr>
          <w:b/>
          <w:sz w:val="28"/>
          <w:szCs w:val="28"/>
        </w:rPr>
        <w:lastRenderedPageBreak/>
        <w:t>QUYỀN LỰA CHỌN HOÀ GIẢI HOẶC KHÔNG HOÀ GIẢI</w:t>
      </w:r>
    </w:p>
    <w:p w14:paraId="4C6F341E" w14:textId="77777777" w:rsidR="0057746B" w:rsidRDefault="0057746B" w:rsidP="0057746B">
      <w:pPr>
        <w:pStyle w:val="NormalWeb"/>
        <w:tabs>
          <w:tab w:val="left" w:pos="720"/>
        </w:tabs>
        <w:spacing w:before="120" w:beforeAutospacing="0" w:after="0" w:afterAutospacing="0"/>
        <w:jc w:val="both"/>
        <w:rPr>
          <w:sz w:val="28"/>
          <w:szCs w:val="28"/>
        </w:rPr>
      </w:pPr>
    </w:p>
    <w:p w14:paraId="675BCACB" w14:textId="758EF0EA" w:rsidR="00C03C7A" w:rsidRDefault="00C03C7A" w:rsidP="00C03C7A">
      <w:pPr>
        <w:pStyle w:val="NormalWeb"/>
        <w:numPr>
          <w:ilvl w:val="0"/>
          <w:numId w:val="13"/>
        </w:numPr>
        <w:tabs>
          <w:tab w:val="left" w:pos="720"/>
        </w:tabs>
        <w:spacing w:before="120" w:beforeAutospacing="0" w:after="0" w:afterAutospacing="0"/>
        <w:jc w:val="both"/>
        <w:rPr>
          <w:sz w:val="28"/>
          <w:szCs w:val="28"/>
        </w:rPr>
      </w:pPr>
      <w:r>
        <w:rPr>
          <w:sz w:val="28"/>
          <w:szCs w:val="28"/>
        </w:rPr>
        <w:t xml:space="preserve">Cơ chế yêu cầu hoà giải </w:t>
      </w:r>
      <w:r w:rsidR="00E3292F">
        <w:rPr>
          <w:sz w:val="28"/>
          <w:szCs w:val="28"/>
        </w:rPr>
        <w:t xml:space="preserve">theo quy định tại Điều 16 </w:t>
      </w:r>
      <w:r w:rsidR="00802E42">
        <w:rPr>
          <w:sz w:val="28"/>
          <w:szCs w:val="28"/>
        </w:rPr>
        <w:t xml:space="preserve">là dường như bắt buộc phải hoà giải khi đương sự tới Toà án nhờ cậy giải quyết tranh chấp mà không phải </w:t>
      </w:r>
      <w:r w:rsidR="00CE5BCB">
        <w:rPr>
          <w:sz w:val="28"/>
          <w:szCs w:val="28"/>
        </w:rPr>
        <w:t xml:space="preserve">là “tự nguyện” như trong thực tế “thí điểm” hiện nay. Thực tế này có thể ảnh hưởng tới thời gian giải quyết </w:t>
      </w:r>
      <w:r w:rsidR="00C713C6">
        <w:rPr>
          <w:sz w:val="28"/>
          <w:szCs w:val="28"/>
        </w:rPr>
        <w:t>tranh chấp theo chỉ số “Thực thi Hợp đồng” của Ngân hàng Thế giới. Lưu ý rằng trong 10 năm trở lại đây, chỉ số này của Việt Nam không thay đổi về số ngày giải quyết tranh chấp (400 ngày</w:t>
      </w:r>
      <w:r w:rsidR="00A4107B">
        <w:rPr>
          <w:sz w:val="28"/>
          <w:szCs w:val="28"/>
        </w:rPr>
        <w:t>, trong đó thời gian giải quyết tại Toà án là 250 ngày</w:t>
      </w:r>
      <w:r w:rsidR="00C713C6">
        <w:rPr>
          <w:sz w:val="28"/>
          <w:szCs w:val="28"/>
        </w:rPr>
        <w:t>)</w:t>
      </w:r>
      <w:r w:rsidR="003B20FE">
        <w:rPr>
          <w:sz w:val="28"/>
          <w:szCs w:val="28"/>
        </w:rPr>
        <w:t xml:space="preserve"> đối với án kinh doanh thương mại sơ thẩm</w:t>
      </w:r>
      <w:r w:rsidR="00C713C6">
        <w:rPr>
          <w:sz w:val="28"/>
          <w:szCs w:val="28"/>
        </w:rPr>
        <w:t>.</w:t>
      </w:r>
    </w:p>
    <w:p w14:paraId="1C24C92A" w14:textId="77777777" w:rsidR="009D26BB" w:rsidRDefault="009D26BB" w:rsidP="00E54566">
      <w:pPr>
        <w:pStyle w:val="NormalWeb"/>
        <w:tabs>
          <w:tab w:val="left" w:pos="720"/>
        </w:tabs>
        <w:spacing w:before="120" w:beforeAutospacing="0" w:after="0" w:afterAutospacing="0"/>
        <w:ind w:left="720"/>
        <w:jc w:val="both"/>
        <w:rPr>
          <w:sz w:val="28"/>
          <w:szCs w:val="28"/>
        </w:rPr>
      </w:pPr>
    </w:p>
    <w:p w14:paraId="367EB365" w14:textId="77777777" w:rsidR="00E54566" w:rsidRDefault="00E54566" w:rsidP="00E54566">
      <w:pPr>
        <w:pStyle w:val="NormalWeb"/>
        <w:tabs>
          <w:tab w:val="left" w:pos="720"/>
        </w:tabs>
        <w:spacing w:before="120" w:beforeAutospacing="0" w:after="0" w:afterAutospacing="0"/>
        <w:jc w:val="both"/>
        <w:rPr>
          <w:sz w:val="28"/>
          <w:szCs w:val="28"/>
        </w:rPr>
      </w:pPr>
    </w:p>
    <w:tbl>
      <w:tblPr>
        <w:tblStyle w:val="TableGrid"/>
        <w:tblW w:w="0" w:type="auto"/>
        <w:tblLook w:val="04A0" w:firstRow="1" w:lastRow="0" w:firstColumn="1" w:lastColumn="0" w:noHBand="0" w:noVBand="1"/>
      </w:tblPr>
      <w:tblGrid>
        <w:gridCol w:w="8516"/>
      </w:tblGrid>
      <w:tr w:rsidR="00E54566" w14:paraId="612B5241" w14:textId="77777777" w:rsidTr="006E0017">
        <w:tc>
          <w:tcPr>
            <w:tcW w:w="8516" w:type="dxa"/>
          </w:tcPr>
          <w:p w14:paraId="35B4FF69" w14:textId="77777777" w:rsidR="00E54566" w:rsidRPr="0088374E" w:rsidRDefault="00E54566" w:rsidP="006E0017">
            <w:pPr>
              <w:pStyle w:val="NormalWeb"/>
              <w:tabs>
                <w:tab w:val="left" w:pos="720"/>
              </w:tabs>
              <w:spacing w:before="120" w:beforeAutospacing="0" w:after="0" w:afterAutospacing="0"/>
              <w:jc w:val="both"/>
              <w:rPr>
                <w:b/>
                <w:i/>
                <w:sz w:val="28"/>
                <w:szCs w:val="28"/>
              </w:rPr>
            </w:pPr>
            <w:r w:rsidRPr="0088374E">
              <w:rPr>
                <w:b/>
                <w:i/>
                <w:sz w:val="28"/>
                <w:szCs w:val="28"/>
              </w:rPr>
              <w:t xml:space="preserve">Đề xuất: </w:t>
            </w:r>
          </w:p>
          <w:p w14:paraId="7BB73130" w14:textId="3C467752" w:rsidR="00E54566" w:rsidRDefault="00E54566" w:rsidP="006E0017">
            <w:pPr>
              <w:pStyle w:val="NormalWeb"/>
              <w:tabs>
                <w:tab w:val="left" w:pos="720"/>
              </w:tabs>
              <w:spacing w:before="120" w:beforeAutospacing="0" w:after="0" w:afterAutospacing="0"/>
              <w:jc w:val="both"/>
              <w:rPr>
                <w:sz w:val="28"/>
                <w:szCs w:val="28"/>
              </w:rPr>
            </w:pPr>
            <w:r>
              <w:rPr>
                <w:sz w:val="28"/>
                <w:szCs w:val="28"/>
              </w:rPr>
              <w:t xml:space="preserve">Dự thảo nên tạo điều kiện về quyền lựa chọn </w:t>
            </w:r>
            <w:r w:rsidR="00593B65">
              <w:rPr>
                <w:sz w:val="28"/>
                <w:szCs w:val="28"/>
              </w:rPr>
              <w:t xml:space="preserve">hoà giải hoặc không hoà giải cho các bên đương sự. </w:t>
            </w:r>
          </w:p>
          <w:p w14:paraId="3DE6FAAB" w14:textId="77777777" w:rsidR="00E54566" w:rsidRDefault="00E54566" w:rsidP="006E0017">
            <w:pPr>
              <w:pStyle w:val="NormalWeb"/>
              <w:tabs>
                <w:tab w:val="left" w:pos="720"/>
              </w:tabs>
              <w:spacing w:before="120" w:beforeAutospacing="0" w:after="0" w:afterAutospacing="0"/>
              <w:jc w:val="both"/>
              <w:rPr>
                <w:b/>
                <w:i/>
                <w:sz w:val="28"/>
                <w:szCs w:val="28"/>
              </w:rPr>
            </w:pPr>
          </w:p>
        </w:tc>
      </w:tr>
    </w:tbl>
    <w:p w14:paraId="0C469CA1" w14:textId="77777777" w:rsidR="00C03C7A" w:rsidRDefault="00C03C7A" w:rsidP="00D308F9">
      <w:pPr>
        <w:pStyle w:val="NormalWeb"/>
        <w:tabs>
          <w:tab w:val="left" w:pos="720"/>
        </w:tabs>
        <w:spacing w:before="120" w:beforeAutospacing="0" w:after="0" w:afterAutospacing="0"/>
        <w:jc w:val="both"/>
        <w:rPr>
          <w:sz w:val="28"/>
          <w:szCs w:val="28"/>
        </w:rPr>
      </w:pPr>
    </w:p>
    <w:p w14:paraId="0DCA9E34" w14:textId="77777777" w:rsidR="0057746B" w:rsidRDefault="0057746B" w:rsidP="0057746B">
      <w:pPr>
        <w:pStyle w:val="NormalWeb"/>
        <w:tabs>
          <w:tab w:val="left" w:pos="720"/>
        </w:tabs>
        <w:spacing w:before="120" w:beforeAutospacing="0" w:after="0" w:afterAutospacing="0"/>
        <w:ind w:left="709"/>
        <w:jc w:val="both"/>
        <w:rPr>
          <w:b/>
          <w:sz w:val="28"/>
          <w:szCs w:val="28"/>
        </w:rPr>
      </w:pPr>
    </w:p>
    <w:p w14:paraId="7B3E4A2D" w14:textId="3FF3781F" w:rsidR="00E04441" w:rsidRPr="00EE7D27" w:rsidRDefault="00E04441" w:rsidP="00E04441">
      <w:pPr>
        <w:pStyle w:val="NormalWeb"/>
        <w:numPr>
          <w:ilvl w:val="0"/>
          <w:numId w:val="3"/>
        </w:numPr>
        <w:tabs>
          <w:tab w:val="left" w:pos="720"/>
        </w:tabs>
        <w:spacing w:before="120" w:beforeAutospacing="0" w:after="0" w:afterAutospacing="0"/>
        <w:ind w:left="709"/>
        <w:jc w:val="both"/>
        <w:rPr>
          <w:b/>
          <w:sz w:val="28"/>
          <w:szCs w:val="28"/>
        </w:rPr>
      </w:pPr>
      <w:r>
        <w:rPr>
          <w:b/>
          <w:sz w:val="28"/>
          <w:szCs w:val="28"/>
        </w:rPr>
        <w:t>HOÀ GIẢI VIÊN, ĐỐI THOẠI VIÊN VÀ QUYỀN LỰA CHỌN</w:t>
      </w:r>
    </w:p>
    <w:p w14:paraId="4CCF0351" w14:textId="77777777" w:rsidR="00D923EC" w:rsidRPr="003D4A39" w:rsidRDefault="00D923EC" w:rsidP="00985D39">
      <w:pPr>
        <w:pStyle w:val="NormalWeb"/>
        <w:tabs>
          <w:tab w:val="left" w:pos="720"/>
        </w:tabs>
        <w:spacing w:before="120" w:beforeAutospacing="0" w:after="0" w:afterAutospacing="0"/>
        <w:jc w:val="both"/>
        <w:rPr>
          <w:sz w:val="28"/>
          <w:szCs w:val="28"/>
        </w:rPr>
      </w:pPr>
    </w:p>
    <w:p w14:paraId="7ECC238A" w14:textId="492CDF0B" w:rsidR="00111349" w:rsidRPr="00BA02F5" w:rsidRDefault="00985D39" w:rsidP="00E04441">
      <w:pPr>
        <w:pStyle w:val="NormalWeb"/>
        <w:numPr>
          <w:ilvl w:val="0"/>
          <w:numId w:val="12"/>
        </w:numPr>
        <w:tabs>
          <w:tab w:val="left" w:pos="0"/>
        </w:tabs>
        <w:spacing w:before="120" w:beforeAutospacing="0" w:after="0" w:afterAutospacing="0"/>
        <w:jc w:val="both"/>
        <w:rPr>
          <w:b/>
          <w:i/>
          <w:sz w:val="28"/>
          <w:szCs w:val="28"/>
        </w:rPr>
      </w:pPr>
      <w:r>
        <w:rPr>
          <w:b/>
          <w:i/>
          <w:sz w:val="28"/>
          <w:szCs w:val="28"/>
        </w:rPr>
        <w:t>Hoà giải viên</w:t>
      </w:r>
    </w:p>
    <w:p w14:paraId="6313B01E" w14:textId="56DFE23D" w:rsidR="00BB2923" w:rsidRDefault="008173B5" w:rsidP="0023429C">
      <w:pPr>
        <w:pStyle w:val="NormalWeb"/>
        <w:tabs>
          <w:tab w:val="left" w:pos="720"/>
        </w:tabs>
        <w:spacing w:before="120" w:beforeAutospacing="0" w:after="0" w:afterAutospacing="0"/>
        <w:jc w:val="both"/>
        <w:rPr>
          <w:sz w:val="28"/>
          <w:szCs w:val="28"/>
        </w:rPr>
      </w:pPr>
      <w:r>
        <w:rPr>
          <w:sz w:val="28"/>
          <w:szCs w:val="28"/>
        </w:rPr>
        <w:t>Tiêu chuẩn của Hoà giải viên, Đối thoại viên theo</w:t>
      </w:r>
      <w:r w:rsidR="00FA19C8">
        <w:rPr>
          <w:sz w:val="28"/>
          <w:szCs w:val="28"/>
        </w:rPr>
        <w:t xml:space="preserve"> Điề</w:t>
      </w:r>
      <w:r w:rsidR="00E051D2">
        <w:rPr>
          <w:sz w:val="28"/>
          <w:szCs w:val="28"/>
        </w:rPr>
        <w:t>u 10</w:t>
      </w:r>
      <w:r w:rsidR="00FA19C8">
        <w:rPr>
          <w:sz w:val="28"/>
          <w:szCs w:val="28"/>
        </w:rPr>
        <w:t xml:space="preserve"> c</w:t>
      </w:r>
      <w:r w:rsidR="00255D97">
        <w:rPr>
          <w:sz w:val="28"/>
          <w:szCs w:val="28"/>
        </w:rPr>
        <w:t>ủa</w:t>
      </w:r>
      <w:r>
        <w:rPr>
          <w:sz w:val="28"/>
          <w:szCs w:val="28"/>
        </w:rPr>
        <w:t xml:space="preserve"> Dự thảo </w:t>
      </w:r>
      <w:r w:rsidR="00912E20">
        <w:rPr>
          <w:sz w:val="28"/>
          <w:szCs w:val="28"/>
        </w:rPr>
        <w:t>cần được quy định rõ hơn để làm cơ sở cho việc lựa chọ</w:t>
      </w:r>
      <w:r w:rsidR="00AA2F28">
        <w:rPr>
          <w:sz w:val="28"/>
          <w:szCs w:val="28"/>
        </w:rPr>
        <w:t xml:space="preserve">n, bao gồm: </w:t>
      </w:r>
    </w:p>
    <w:p w14:paraId="0279BFDF" w14:textId="2A69AD81" w:rsidR="0062237F" w:rsidRDefault="003D538C" w:rsidP="0062237F">
      <w:pPr>
        <w:pStyle w:val="NormalWeb"/>
        <w:numPr>
          <w:ilvl w:val="0"/>
          <w:numId w:val="5"/>
        </w:numPr>
        <w:tabs>
          <w:tab w:val="left" w:pos="720"/>
        </w:tabs>
        <w:spacing w:before="120" w:beforeAutospacing="0" w:after="0" w:afterAutospacing="0"/>
        <w:jc w:val="both"/>
        <w:rPr>
          <w:sz w:val="28"/>
          <w:szCs w:val="28"/>
        </w:rPr>
      </w:pPr>
      <w:r>
        <w:rPr>
          <w:sz w:val="28"/>
          <w:szCs w:val="28"/>
        </w:rPr>
        <w:t>Tiêu chuẩn về tuổi</w:t>
      </w:r>
      <w:r w:rsidR="00B25398">
        <w:rPr>
          <w:sz w:val="28"/>
          <w:szCs w:val="28"/>
        </w:rPr>
        <w:t xml:space="preserve"> “dưới 70”</w:t>
      </w:r>
      <w:r>
        <w:rPr>
          <w:sz w:val="28"/>
          <w:szCs w:val="28"/>
        </w:rPr>
        <w:t xml:space="preserve">: </w:t>
      </w:r>
      <w:r w:rsidR="007818C9">
        <w:rPr>
          <w:sz w:val="28"/>
          <w:szCs w:val="28"/>
        </w:rPr>
        <w:t xml:space="preserve">cần được cân nhắc </w:t>
      </w:r>
      <w:r w:rsidR="00C250FC">
        <w:rPr>
          <w:sz w:val="28"/>
          <w:szCs w:val="28"/>
        </w:rPr>
        <w:t>lại</w:t>
      </w:r>
      <w:r w:rsidR="00F20AD9">
        <w:rPr>
          <w:sz w:val="28"/>
          <w:szCs w:val="28"/>
        </w:rPr>
        <w:t xml:space="preserve"> khi vì có thể ảnh hưởng tới một số tiêu chuẩn khác như: </w:t>
      </w:r>
    </w:p>
    <w:p w14:paraId="43E7FCF1" w14:textId="77777777" w:rsidR="002856E2" w:rsidRDefault="00B24372" w:rsidP="0062237F">
      <w:pPr>
        <w:pStyle w:val="NormalWeb"/>
        <w:numPr>
          <w:ilvl w:val="1"/>
          <w:numId w:val="5"/>
        </w:numPr>
        <w:tabs>
          <w:tab w:val="left" w:pos="720"/>
        </w:tabs>
        <w:spacing w:before="120" w:beforeAutospacing="0" w:after="0" w:afterAutospacing="0"/>
        <w:jc w:val="both"/>
        <w:rPr>
          <w:sz w:val="28"/>
          <w:szCs w:val="28"/>
        </w:rPr>
      </w:pPr>
      <w:r>
        <w:rPr>
          <w:sz w:val="28"/>
          <w:szCs w:val="28"/>
        </w:rPr>
        <w:t xml:space="preserve">Thời gian tham gia hoà giải của </w:t>
      </w:r>
      <w:r w:rsidR="00B21731">
        <w:rPr>
          <w:sz w:val="28"/>
          <w:szCs w:val="28"/>
        </w:rPr>
        <w:t>“</w:t>
      </w:r>
      <w:r w:rsidR="00F20AD9">
        <w:rPr>
          <w:sz w:val="28"/>
          <w:szCs w:val="28"/>
        </w:rPr>
        <w:t>Thẩm phán, Kiểm sát viên, người giữ chức danh tư pháp khác nghỉ hưu</w:t>
      </w:r>
      <w:r w:rsidR="0062237F">
        <w:rPr>
          <w:sz w:val="28"/>
          <w:szCs w:val="28"/>
        </w:rPr>
        <w:t xml:space="preserve">” </w:t>
      </w:r>
      <w:r w:rsidR="0048643B">
        <w:rPr>
          <w:sz w:val="28"/>
          <w:szCs w:val="28"/>
        </w:rPr>
        <w:t xml:space="preserve">không </w:t>
      </w:r>
      <w:r w:rsidR="00A01599">
        <w:rPr>
          <w:sz w:val="28"/>
          <w:szCs w:val="28"/>
        </w:rPr>
        <w:t xml:space="preserve">còn </w:t>
      </w:r>
      <w:r w:rsidR="0048643B">
        <w:rPr>
          <w:sz w:val="28"/>
          <w:szCs w:val="28"/>
        </w:rPr>
        <w:t>nhiều</w:t>
      </w:r>
      <w:r w:rsidR="00BF57C5">
        <w:rPr>
          <w:sz w:val="28"/>
          <w:szCs w:val="28"/>
        </w:rPr>
        <w:t xml:space="preserve"> thời gian, đặc biệt khi chính sách về tuổi nghỉ hưu của Bộ lao Lao động có thể thay đổi theo hướng “nâng tuổi nghỉ hưu”</w:t>
      </w:r>
      <w:r w:rsidR="00F02FAC">
        <w:rPr>
          <w:sz w:val="28"/>
          <w:szCs w:val="28"/>
        </w:rPr>
        <w:t>.</w:t>
      </w:r>
      <w:r w:rsidR="002856E2">
        <w:rPr>
          <w:sz w:val="28"/>
          <w:szCs w:val="28"/>
        </w:rPr>
        <w:t xml:space="preserve"> </w:t>
      </w:r>
    </w:p>
    <w:p w14:paraId="714EAAC7" w14:textId="2812684B" w:rsidR="003D538C" w:rsidRDefault="002856E2" w:rsidP="0062237F">
      <w:pPr>
        <w:pStyle w:val="NormalWeb"/>
        <w:numPr>
          <w:ilvl w:val="1"/>
          <w:numId w:val="5"/>
        </w:numPr>
        <w:tabs>
          <w:tab w:val="left" w:pos="720"/>
        </w:tabs>
        <w:spacing w:before="120" w:beforeAutospacing="0" w:after="0" w:afterAutospacing="0"/>
        <w:jc w:val="both"/>
        <w:rPr>
          <w:sz w:val="28"/>
          <w:szCs w:val="28"/>
        </w:rPr>
      </w:pPr>
      <w:r>
        <w:rPr>
          <w:sz w:val="28"/>
          <w:szCs w:val="28"/>
        </w:rPr>
        <w:t>“Người có uy tín cao trong xã hội”</w:t>
      </w:r>
      <w:r w:rsidR="00046F28">
        <w:rPr>
          <w:sz w:val="28"/>
          <w:szCs w:val="28"/>
        </w:rPr>
        <w:t xml:space="preserve"> </w:t>
      </w:r>
      <w:r w:rsidR="00EE35A3">
        <w:rPr>
          <w:sz w:val="28"/>
          <w:szCs w:val="28"/>
        </w:rPr>
        <w:t xml:space="preserve">thường là những người có tuổi cao. </w:t>
      </w:r>
      <w:r w:rsidR="00BF57C5">
        <w:rPr>
          <w:sz w:val="28"/>
          <w:szCs w:val="28"/>
        </w:rPr>
        <w:t xml:space="preserve"> </w:t>
      </w:r>
      <w:r w:rsidR="0048643B">
        <w:rPr>
          <w:sz w:val="28"/>
          <w:szCs w:val="28"/>
        </w:rPr>
        <w:t xml:space="preserve"> </w:t>
      </w:r>
      <w:r w:rsidR="00F20AD9">
        <w:rPr>
          <w:sz w:val="28"/>
          <w:szCs w:val="28"/>
        </w:rPr>
        <w:t xml:space="preserve"> </w:t>
      </w:r>
    </w:p>
    <w:p w14:paraId="5AAD638C" w14:textId="51EB4C7A" w:rsidR="00014705" w:rsidRPr="00F0680B" w:rsidRDefault="00E06575" w:rsidP="00014705">
      <w:pPr>
        <w:pStyle w:val="NormalWeb"/>
        <w:numPr>
          <w:ilvl w:val="0"/>
          <w:numId w:val="5"/>
        </w:numPr>
        <w:tabs>
          <w:tab w:val="left" w:pos="720"/>
        </w:tabs>
        <w:spacing w:before="120" w:beforeAutospacing="0" w:after="0" w:afterAutospacing="0"/>
        <w:jc w:val="both"/>
        <w:rPr>
          <w:sz w:val="28"/>
          <w:szCs w:val="28"/>
        </w:rPr>
      </w:pPr>
      <w:r>
        <w:rPr>
          <w:sz w:val="28"/>
          <w:szCs w:val="28"/>
        </w:rPr>
        <w:t>T</w:t>
      </w:r>
      <w:r w:rsidR="00731467">
        <w:rPr>
          <w:sz w:val="28"/>
          <w:szCs w:val="28"/>
        </w:rPr>
        <w:t>iêu chuẩ</w:t>
      </w:r>
      <w:r w:rsidR="00B11131">
        <w:rPr>
          <w:sz w:val="28"/>
          <w:szCs w:val="28"/>
        </w:rPr>
        <w:t>n</w:t>
      </w:r>
      <w:r w:rsidR="001C0F3D" w:rsidRPr="001C0F3D">
        <w:rPr>
          <w:sz w:val="28"/>
          <w:szCs w:val="28"/>
        </w:rPr>
        <w:t xml:space="preserve"> </w:t>
      </w:r>
      <w:r w:rsidR="001C0F3D">
        <w:rPr>
          <w:sz w:val="28"/>
          <w:szCs w:val="28"/>
        </w:rPr>
        <w:t>“Người có uy tín cao trong xã hội” cũng là khó xác định đề nghị cũng cần làm rõ.</w:t>
      </w:r>
    </w:p>
    <w:p w14:paraId="0006CBC5" w14:textId="77777777" w:rsidR="00352357" w:rsidRDefault="00352357" w:rsidP="00352357">
      <w:pPr>
        <w:pStyle w:val="NormalWeb"/>
        <w:tabs>
          <w:tab w:val="left" w:pos="720"/>
        </w:tabs>
        <w:spacing w:before="120" w:beforeAutospacing="0" w:after="0" w:afterAutospacing="0"/>
        <w:ind w:left="360"/>
        <w:jc w:val="both"/>
        <w:rPr>
          <w:sz w:val="28"/>
          <w:szCs w:val="28"/>
        </w:rPr>
      </w:pPr>
    </w:p>
    <w:p w14:paraId="35F54824" w14:textId="0DD6D23F" w:rsidR="007C20AD" w:rsidRPr="00EB2914" w:rsidRDefault="00272799" w:rsidP="00E04441">
      <w:pPr>
        <w:pStyle w:val="NormalWeb"/>
        <w:numPr>
          <w:ilvl w:val="0"/>
          <w:numId w:val="12"/>
        </w:numPr>
        <w:tabs>
          <w:tab w:val="left" w:pos="0"/>
        </w:tabs>
        <w:spacing w:before="120" w:beforeAutospacing="0" w:after="0" w:afterAutospacing="0"/>
        <w:jc w:val="both"/>
        <w:rPr>
          <w:b/>
          <w:i/>
          <w:sz w:val="28"/>
          <w:szCs w:val="28"/>
        </w:rPr>
      </w:pPr>
      <w:r>
        <w:rPr>
          <w:b/>
          <w:i/>
          <w:sz w:val="28"/>
          <w:szCs w:val="28"/>
        </w:rPr>
        <w:lastRenderedPageBreak/>
        <w:t>Q</w:t>
      </w:r>
      <w:r w:rsidR="00F8306A">
        <w:rPr>
          <w:b/>
          <w:i/>
          <w:sz w:val="28"/>
          <w:szCs w:val="28"/>
        </w:rPr>
        <w:t>uyền lựa chọn Hoà giải viên</w:t>
      </w:r>
    </w:p>
    <w:p w14:paraId="6235304A" w14:textId="340BC415" w:rsidR="00236A33" w:rsidRDefault="00236A33" w:rsidP="00236A33">
      <w:pPr>
        <w:pStyle w:val="NormalWeb"/>
        <w:tabs>
          <w:tab w:val="left" w:pos="720"/>
        </w:tabs>
        <w:spacing w:before="120" w:beforeAutospacing="0" w:after="0" w:afterAutospacing="0"/>
        <w:ind w:left="720"/>
        <w:jc w:val="both"/>
        <w:rPr>
          <w:sz w:val="28"/>
          <w:szCs w:val="28"/>
        </w:rPr>
      </w:pPr>
    </w:p>
    <w:p w14:paraId="76E7415E" w14:textId="2D108DD6" w:rsidR="00236A33" w:rsidRPr="00CD000C" w:rsidRDefault="000431C7" w:rsidP="00CD000C">
      <w:pPr>
        <w:pStyle w:val="NormalWeb"/>
        <w:numPr>
          <w:ilvl w:val="0"/>
          <w:numId w:val="7"/>
        </w:numPr>
        <w:tabs>
          <w:tab w:val="left" w:pos="720"/>
        </w:tabs>
        <w:spacing w:before="120" w:beforeAutospacing="0" w:after="0" w:afterAutospacing="0"/>
        <w:jc w:val="both"/>
        <w:rPr>
          <w:sz w:val="28"/>
          <w:szCs w:val="28"/>
        </w:rPr>
      </w:pPr>
      <w:r>
        <w:rPr>
          <w:sz w:val="28"/>
          <w:szCs w:val="28"/>
        </w:rPr>
        <w:t xml:space="preserve">Chương 3 của </w:t>
      </w:r>
      <w:r w:rsidR="001337A3">
        <w:rPr>
          <w:sz w:val="28"/>
          <w:szCs w:val="28"/>
        </w:rPr>
        <w:t xml:space="preserve">Dự thảo hiện tại </w:t>
      </w:r>
      <w:r>
        <w:rPr>
          <w:sz w:val="28"/>
          <w:szCs w:val="28"/>
        </w:rPr>
        <w:t xml:space="preserve">quy định </w:t>
      </w:r>
      <w:r w:rsidR="004275FE" w:rsidRPr="007D1164">
        <w:rPr>
          <w:sz w:val="28"/>
          <w:szCs w:val="28"/>
        </w:rPr>
        <w:t xml:space="preserve">Hòa giải viên, Đối thoại viên được phân công </w:t>
      </w:r>
      <w:r>
        <w:rPr>
          <w:sz w:val="28"/>
          <w:szCs w:val="28"/>
          <w:lang w:val="vi-VN"/>
        </w:rPr>
        <w:t>(Điều 16)</w:t>
      </w:r>
      <w:r>
        <w:rPr>
          <w:i/>
          <w:sz w:val="28"/>
          <w:szCs w:val="28"/>
          <w:lang w:val="vi-VN"/>
        </w:rPr>
        <w:t xml:space="preserve"> </w:t>
      </w:r>
      <w:r w:rsidR="00EC1D6E">
        <w:rPr>
          <w:spacing w:val="-2"/>
          <w:sz w:val="28"/>
          <w:szCs w:val="28"/>
          <w:lang w:val="vi-VN"/>
        </w:rPr>
        <w:t xml:space="preserve"> quy định này cũng sẽ hạn chế các bên </w:t>
      </w:r>
      <w:r>
        <w:rPr>
          <w:spacing w:val="-2"/>
          <w:sz w:val="28"/>
          <w:szCs w:val="28"/>
          <w:lang w:val="vi-VN"/>
        </w:rPr>
        <w:t xml:space="preserve">tranh chấp </w:t>
      </w:r>
      <w:r w:rsidR="00EC1D6E">
        <w:rPr>
          <w:spacing w:val="-2"/>
          <w:sz w:val="28"/>
          <w:szCs w:val="28"/>
          <w:lang w:val="vi-VN"/>
        </w:rPr>
        <w:t xml:space="preserve">được chủ động lựa chọn hoà giải viên </w:t>
      </w:r>
      <w:r w:rsidR="00C918D9">
        <w:rPr>
          <w:spacing w:val="-2"/>
          <w:sz w:val="28"/>
          <w:szCs w:val="28"/>
          <w:lang w:val="vi-VN"/>
        </w:rPr>
        <w:t>để giải quyết tranh chấp, mẫu thuẫn của mình</w:t>
      </w:r>
      <w:r w:rsidR="00AB3623">
        <w:rPr>
          <w:spacing w:val="-2"/>
          <w:sz w:val="28"/>
          <w:szCs w:val="28"/>
          <w:lang w:val="vi-VN"/>
        </w:rPr>
        <w:t xml:space="preserve"> trong khi Điều 9 của Dự thảo lại cho phép các bên có quyền lựa chọn Hoà giải viên, Đối thoại viên. Do đó, đề nghị cần quy định rõ cơ chế các bên có quyền lựa chọn Hoà giải viên, Đối thoại viên theo quy định tại Điều 9.</w:t>
      </w:r>
      <w:r w:rsidR="00AB3623">
        <w:t xml:space="preserve"> </w:t>
      </w:r>
    </w:p>
    <w:p w14:paraId="3B34CF9E" w14:textId="77777777" w:rsidR="00877573" w:rsidRDefault="00877573" w:rsidP="007C20AD">
      <w:pPr>
        <w:pStyle w:val="NormalWeb"/>
        <w:tabs>
          <w:tab w:val="left" w:pos="720"/>
        </w:tabs>
        <w:spacing w:before="120" w:beforeAutospacing="0" w:after="0" w:afterAutospacing="0"/>
        <w:jc w:val="both"/>
        <w:rPr>
          <w:sz w:val="28"/>
          <w:szCs w:val="28"/>
        </w:rPr>
      </w:pPr>
    </w:p>
    <w:tbl>
      <w:tblPr>
        <w:tblStyle w:val="TableGrid"/>
        <w:tblW w:w="0" w:type="auto"/>
        <w:tblLook w:val="04A0" w:firstRow="1" w:lastRow="0" w:firstColumn="1" w:lastColumn="0" w:noHBand="0" w:noVBand="1"/>
      </w:tblPr>
      <w:tblGrid>
        <w:gridCol w:w="8516"/>
      </w:tblGrid>
      <w:tr w:rsidR="00E2093A" w14:paraId="7DE9CCA5" w14:textId="77777777" w:rsidTr="00E2093A">
        <w:tc>
          <w:tcPr>
            <w:tcW w:w="8516" w:type="dxa"/>
          </w:tcPr>
          <w:p w14:paraId="6DB3E9EB" w14:textId="6CAB0CAB" w:rsidR="00E2093A" w:rsidRPr="00E2093A" w:rsidRDefault="00E2093A" w:rsidP="007C20AD">
            <w:pPr>
              <w:pStyle w:val="NormalWeb"/>
              <w:tabs>
                <w:tab w:val="left" w:pos="720"/>
              </w:tabs>
              <w:spacing w:before="120" w:beforeAutospacing="0" w:after="0" w:afterAutospacing="0"/>
              <w:jc w:val="both"/>
              <w:rPr>
                <w:b/>
                <w:i/>
                <w:sz w:val="28"/>
                <w:szCs w:val="28"/>
              </w:rPr>
            </w:pPr>
            <w:r w:rsidRPr="00BE6AF4">
              <w:rPr>
                <w:b/>
                <w:i/>
                <w:sz w:val="28"/>
                <w:szCs w:val="28"/>
              </w:rPr>
              <w:t>Đề xuất:</w:t>
            </w:r>
          </w:p>
          <w:p w14:paraId="46250CAC" w14:textId="77777777" w:rsidR="00E04441" w:rsidRDefault="00E04441" w:rsidP="00E04441">
            <w:pPr>
              <w:pStyle w:val="NormalWeb"/>
              <w:numPr>
                <w:ilvl w:val="0"/>
                <w:numId w:val="5"/>
              </w:numPr>
              <w:tabs>
                <w:tab w:val="left" w:pos="720"/>
              </w:tabs>
              <w:spacing w:before="120" w:beforeAutospacing="0" w:after="0" w:afterAutospacing="0"/>
              <w:jc w:val="both"/>
              <w:rPr>
                <w:sz w:val="28"/>
                <w:szCs w:val="28"/>
              </w:rPr>
            </w:pPr>
            <w:r>
              <w:rPr>
                <w:sz w:val="28"/>
                <w:szCs w:val="28"/>
              </w:rPr>
              <w:t>Cân nhắc về độ tuổi theo hướng Hoà giải viên có độ tuổi cao hơn.</w:t>
            </w:r>
          </w:p>
          <w:p w14:paraId="165ABC3D" w14:textId="77777777" w:rsidR="00E04441" w:rsidRDefault="00E04441" w:rsidP="00E04441">
            <w:pPr>
              <w:pStyle w:val="NormalWeb"/>
              <w:numPr>
                <w:ilvl w:val="0"/>
                <w:numId w:val="5"/>
              </w:numPr>
              <w:tabs>
                <w:tab w:val="left" w:pos="720"/>
              </w:tabs>
              <w:spacing w:before="120" w:beforeAutospacing="0" w:after="0" w:afterAutospacing="0"/>
              <w:jc w:val="both"/>
              <w:rPr>
                <w:sz w:val="28"/>
                <w:szCs w:val="28"/>
              </w:rPr>
            </w:pPr>
            <w:r>
              <w:rPr>
                <w:sz w:val="28"/>
                <w:szCs w:val="28"/>
              </w:rPr>
              <w:t>Cân nhắc về tiêu chuẩn “Người có uy tín cao trong xã hội”.</w:t>
            </w:r>
          </w:p>
          <w:p w14:paraId="3CC09E56" w14:textId="31F4322C" w:rsidR="00E2093A" w:rsidRDefault="00CD000C" w:rsidP="00E04441">
            <w:pPr>
              <w:pStyle w:val="NormalWeb"/>
              <w:numPr>
                <w:ilvl w:val="0"/>
                <w:numId w:val="5"/>
              </w:numPr>
              <w:tabs>
                <w:tab w:val="left" w:pos="720"/>
              </w:tabs>
              <w:spacing w:before="120" w:beforeAutospacing="0" w:after="0" w:afterAutospacing="0"/>
              <w:jc w:val="both"/>
              <w:rPr>
                <w:sz w:val="28"/>
                <w:szCs w:val="28"/>
              </w:rPr>
            </w:pPr>
            <w:r>
              <w:rPr>
                <w:sz w:val="28"/>
                <w:szCs w:val="28"/>
              </w:rPr>
              <w:t xml:space="preserve">Quy định rõ hơn cơ chế lựa chọn Hoà giải viên tại Chương 3 của Dự thảo. </w:t>
            </w:r>
          </w:p>
          <w:p w14:paraId="47F43032" w14:textId="684E02F7" w:rsidR="00854F7A" w:rsidRDefault="00854F7A" w:rsidP="00E47A1F">
            <w:pPr>
              <w:pStyle w:val="NormalWeb"/>
              <w:tabs>
                <w:tab w:val="left" w:pos="720"/>
              </w:tabs>
              <w:spacing w:before="120" w:beforeAutospacing="0" w:after="0" w:afterAutospacing="0"/>
              <w:ind w:left="360"/>
              <w:jc w:val="both"/>
              <w:rPr>
                <w:sz w:val="28"/>
                <w:szCs w:val="28"/>
              </w:rPr>
            </w:pPr>
          </w:p>
        </w:tc>
      </w:tr>
    </w:tbl>
    <w:p w14:paraId="79CF173E" w14:textId="77777777" w:rsidR="00A30DDD" w:rsidRDefault="00A30DDD" w:rsidP="00A30DDD">
      <w:pPr>
        <w:pStyle w:val="NormalWeb"/>
        <w:tabs>
          <w:tab w:val="left" w:pos="720"/>
        </w:tabs>
        <w:spacing w:before="120" w:beforeAutospacing="0" w:after="0" w:afterAutospacing="0"/>
        <w:jc w:val="both"/>
        <w:rPr>
          <w:b/>
          <w:i/>
          <w:sz w:val="28"/>
          <w:szCs w:val="28"/>
        </w:rPr>
      </w:pPr>
    </w:p>
    <w:p w14:paraId="658F30DC" w14:textId="77777777" w:rsidR="00A30DDD" w:rsidRPr="003F7DED" w:rsidRDefault="00A30DDD" w:rsidP="00A30DDD">
      <w:pPr>
        <w:pStyle w:val="NormalWeb"/>
        <w:numPr>
          <w:ilvl w:val="0"/>
          <w:numId w:val="3"/>
        </w:numPr>
        <w:tabs>
          <w:tab w:val="left" w:pos="720"/>
        </w:tabs>
        <w:spacing w:before="120" w:beforeAutospacing="0" w:after="0" w:afterAutospacing="0"/>
        <w:ind w:left="709"/>
        <w:jc w:val="both"/>
        <w:rPr>
          <w:b/>
          <w:sz w:val="28"/>
          <w:szCs w:val="28"/>
        </w:rPr>
      </w:pPr>
      <w:r w:rsidRPr="003F7DED">
        <w:rPr>
          <w:b/>
          <w:sz w:val="28"/>
          <w:szCs w:val="28"/>
        </w:rPr>
        <w:t xml:space="preserve">BẢO ĐẢM NGUYÊN TẮC BẢO MẬT TRONG HOẠT ĐỘNG HOÀ GIẢI </w:t>
      </w:r>
    </w:p>
    <w:p w14:paraId="2B616740" w14:textId="6874F6B0" w:rsidR="00CE2063" w:rsidRDefault="000911D6" w:rsidP="000911D6">
      <w:pPr>
        <w:pStyle w:val="NormalWeb"/>
        <w:tabs>
          <w:tab w:val="left" w:pos="720"/>
        </w:tabs>
        <w:spacing w:before="120" w:beforeAutospacing="0" w:after="0" w:afterAutospacing="0"/>
        <w:jc w:val="both"/>
        <w:rPr>
          <w:sz w:val="28"/>
          <w:szCs w:val="28"/>
        </w:rPr>
      </w:pPr>
      <w:r>
        <w:rPr>
          <w:sz w:val="28"/>
          <w:szCs w:val="28"/>
        </w:rPr>
        <w:t xml:space="preserve">Nguyên tắc bảo mật thông tin là một nguyên tắc then chốt </w:t>
      </w:r>
      <w:r w:rsidR="00747963">
        <w:rPr>
          <w:sz w:val="28"/>
          <w:szCs w:val="28"/>
        </w:rPr>
        <w:t>trong hoạt động hoà giả</w:t>
      </w:r>
      <w:r w:rsidR="00437124">
        <w:rPr>
          <w:sz w:val="28"/>
          <w:szCs w:val="28"/>
        </w:rPr>
        <w:t xml:space="preserve">i </w:t>
      </w:r>
      <w:r w:rsidR="008E6956">
        <w:rPr>
          <w:sz w:val="28"/>
          <w:szCs w:val="28"/>
        </w:rPr>
        <w:t>ngoài</w:t>
      </w:r>
      <w:r w:rsidR="00437124">
        <w:rPr>
          <w:sz w:val="28"/>
          <w:szCs w:val="28"/>
        </w:rPr>
        <w:t xml:space="preserve"> tố tụng tại Toà án</w:t>
      </w:r>
      <w:r w:rsidR="00936658">
        <w:rPr>
          <w:sz w:val="28"/>
          <w:szCs w:val="28"/>
        </w:rPr>
        <w:t xml:space="preserve"> và được quy định tại một số điều khoản của Dự thảo</w:t>
      </w:r>
      <w:r w:rsidR="00437124">
        <w:rPr>
          <w:sz w:val="28"/>
          <w:szCs w:val="28"/>
        </w:rPr>
        <w:t>.</w:t>
      </w:r>
      <w:r w:rsidR="008E6956">
        <w:rPr>
          <w:sz w:val="28"/>
          <w:szCs w:val="28"/>
        </w:rPr>
        <w:t xml:space="preserve"> </w:t>
      </w:r>
      <w:r w:rsidR="00440F34">
        <w:rPr>
          <w:sz w:val="28"/>
          <w:szCs w:val="28"/>
        </w:rPr>
        <w:t xml:space="preserve">Điều 4 và một số </w:t>
      </w:r>
      <w:r w:rsidR="00D13209">
        <w:rPr>
          <w:sz w:val="28"/>
          <w:szCs w:val="28"/>
        </w:rPr>
        <w:t>điều khoản</w:t>
      </w:r>
      <w:r w:rsidR="00440F34">
        <w:rPr>
          <w:sz w:val="28"/>
          <w:szCs w:val="28"/>
        </w:rPr>
        <w:t xml:space="preserve"> khác của Dự thảo</w:t>
      </w:r>
      <w:r w:rsidR="00D13209">
        <w:rPr>
          <w:sz w:val="28"/>
          <w:szCs w:val="28"/>
        </w:rPr>
        <w:t xml:space="preserve"> đã quy định </w:t>
      </w:r>
      <w:r w:rsidR="00663823">
        <w:rPr>
          <w:sz w:val="28"/>
          <w:szCs w:val="28"/>
        </w:rPr>
        <w:t>tương đối cụ thể nguyên tắc này</w:t>
      </w:r>
      <w:r w:rsidR="00885F12">
        <w:rPr>
          <w:sz w:val="28"/>
          <w:szCs w:val="28"/>
        </w:rPr>
        <w:t xml:space="preserve"> và thể hiện sự tiếp nhận những thực tiễn tốt trên thế giới</w:t>
      </w:r>
      <w:r w:rsidR="00663823">
        <w:rPr>
          <w:sz w:val="28"/>
          <w:szCs w:val="28"/>
        </w:rPr>
        <w:t>. Tuy nhiên, Dự thảo cũng cần quy định rõ hơn một số vấn đề sau:</w:t>
      </w:r>
    </w:p>
    <w:p w14:paraId="7C19C4EE" w14:textId="55AC8A39" w:rsidR="00B23121" w:rsidRDefault="00B23121" w:rsidP="00B658AC">
      <w:pPr>
        <w:pStyle w:val="NormalWeb"/>
        <w:numPr>
          <w:ilvl w:val="0"/>
          <w:numId w:val="5"/>
        </w:numPr>
        <w:tabs>
          <w:tab w:val="left" w:pos="720"/>
        </w:tabs>
        <w:spacing w:before="120" w:beforeAutospacing="0" w:after="0" w:afterAutospacing="0"/>
        <w:jc w:val="both"/>
        <w:rPr>
          <w:sz w:val="28"/>
          <w:szCs w:val="28"/>
        </w:rPr>
      </w:pPr>
      <w:r>
        <w:rPr>
          <w:sz w:val="28"/>
          <w:szCs w:val="28"/>
        </w:rPr>
        <w:t xml:space="preserve">Điều 4 cho phép Hoà giải viên, Đối thoại viên được ghi chép diễn biến của quá trình hoà giải, đối thoại. Điều 4 có yêu cầu toàn bộ các thông tin của cuộc hoà giải, đối thoại phải được giữ bí mật trừ một số trường hợp được phép tiết lộ. Tuy nhiên, cơ chế bảo mật thì cũng chưa được rõ ràng, ví dụ Điều 8 thì quy định việc lưu trữ hoạt động hoà giải tại Toà án và Điều .. cho phép một thẩm phán của Toà án được tham gia quá trình hoà giải. Vậy cơ chế bảo mật thông tin của hoà giải này như thế nào? </w:t>
      </w:r>
    </w:p>
    <w:p w14:paraId="7048BC4E" w14:textId="60214BD3" w:rsidR="00CA4D9B" w:rsidRDefault="00B90CAD" w:rsidP="00B658AC">
      <w:pPr>
        <w:pStyle w:val="NormalWeb"/>
        <w:numPr>
          <w:ilvl w:val="0"/>
          <w:numId w:val="5"/>
        </w:numPr>
        <w:tabs>
          <w:tab w:val="left" w:pos="720"/>
        </w:tabs>
        <w:spacing w:before="120" w:beforeAutospacing="0" w:after="0" w:afterAutospacing="0"/>
        <w:jc w:val="both"/>
        <w:rPr>
          <w:sz w:val="28"/>
          <w:szCs w:val="28"/>
        </w:rPr>
      </w:pPr>
      <w:r>
        <w:rPr>
          <w:sz w:val="28"/>
          <w:szCs w:val="28"/>
        </w:rPr>
        <w:t>Cơ chế cho phép mời “</w:t>
      </w:r>
      <w:r w:rsidRPr="0014662B">
        <w:rPr>
          <w:i/>
          <w:sz w:val="28"/>
          <w:szCs w:val="28"/>
        </w:rPr>
        <w:t>những người uy tín có khả năng tác động đến các bên tham gia hòa giải, đối thoại để hỗ trợ cho việc hòa giải, đối thoại khi xét thấy cần thiết</w:t>
      </w:r>
      <w:r w:rsidR="005B2E68">
        <w:rPr>
          <w:sz w:val="28"/>
          <w:szCs w:val="28"/>
        </w:rPr>
        <w:t>”</w:t>
      </w:r>
      <w:r w:rsidR="002A57EC">
        <w:rPr>
          <w:sz w:val="28"/>
          <w:szCs w:val="28"/>
        </w:rPr>
        <w:t xml:space="preserve"> và </w:t>
      </w:r>
      <w:r w:rsidR="002A57EC" w:rsidRPr="002A57EC">
        <w:rPr>
          <w:i/>
          <w:sz w:val="28"/>
          <w:szCs w:val="28"/>
        </w:rPr>
        <w:t>“tham khảo ý kiến cơ quan nhà nước và tổ chức có chuyên môn”</w:t>
      </w:r>
      <w:r w:rsidR="005B2E68">
        <w:rPr>
          <w:sz w:val="28"/>
          <w:szCs w:val="28"/>
        </w:rPr>
        <w:t xml:space="preserve"> (Điề</w:t>
      </w:r>
      <w:r w:rsidR="00E455B0">
        <w:rPr>
          <w:sz w:val="28"/>
          <w:szCs w:val="28"/>
        </w:rPr>
        <w:t>u 18</w:t>
      </w:r>
      <w:r w:rsidR="002D4F0C">
        <w:rPr>
          <w:sz w:val="28"/>
          <w:szCs w:val="28"/>
        </w:rPr>
        <w:t xml:space="preserve"> của Dự thảo</w:t>
      </w:r>
      <w:r w:rsidR="00C17540">
        <w:rPr>
          <w:sz w:val="28"/>
          <w:szCs w:val="28"/>
        </w:rPr>
        <w:t xml:space="preserve">) </w:t>
      </w:r>
      <w:r w:rsidR="0014662B">
        <w:rPr>
          <w:sz w:val="28"/>
          <w:szCs w:val="28"/>
        </w:rPr>
        <w:t xml:space="preserve">cũng cần cân nhắc lại vì có khả năng ảnh hưởng tới nguyên tắc bảo mật trong hoạt động </w:t>
      </w:r>
      <w:r w:rsidR="0014662B">
        <w:rPr>
          <w:sz w:val="28"/>
          <w:szCs w:val="28"/>
        </w:rPr>
        <w:lastRenderedPageBreak/>
        <w:t>hoà giải</w:t>
      </w:r>
      <w:r w:rsidR="00437847">
        <w:rPr>
          <w:sz w:val="28"/>
          <w:szCs w:val="28"/>
        </w:rPr>
        <w:t xml:space="preserve"> </w:t>
      </w:r>
      <w:r w:rsidR="00C87A29">
        <w:rPr>
          <w:sz w:val="28"/>
          <w:szCs w:val="28"/>
        </w:rPr>
        <w:t>(</w:t>
      </w:r>
      <w:r w:rsidR="00437847">
        <w:rPr>
          <w:sz w:val="28"/>
          <w:szCs w:val="28"/>
        </w:rPr>
        <w:t>được quy định tạ</w:t>
      </w:r>
      <w:r w:rsidR="00E578DB">
        <w:rPr>
          <w:sz w:val="28"/>
          <w:szCs w:val="28"/>
        </w:rPr>
        <w:t>i</w:t>
      </w:r>
      <w:r w:rsidR="00437847">
        <w:rPr>
          <w:sz w:val="28"/>
          <w:szCs w:val="28"/>
        </w:rPr>
        <w:t xml:space="preserve"> Điều 4</w:t>
      </w:r>
      <w:r w:rsidR="00C87A29">
        <w:rPr>
          <w:sz w:val="28"/>
          <w:szCs w:val="28"/>
        </w:rPr>
        <w:t xml:space="preserve"> như đã nêu ở trên)</w:t>
      </w:r>
      <w:r w:rsidR="006619B3">
        <w:rPr>
          <w:sz w:val="28"/>
          <w:szCs w:val="28"/>
        </w:rPr>
        <w:t xml:space="preserve">, đặc biệt đối với những </w:t>
      </w:r>
      <w:r w:rsidR="00313C91">
        <w:rPr>
          <w:sz w:val="28"/>
          <w:szCs w:val="28"/>
        </w:rPr>
        <w:t>vụ việc kinh doanh thương mại</w:t>
      </w:r>
      <w:r w:rsidR="00D3530C">
        <w:rPr>
          <w:sz w:val="28"/>
          <w:szCs w:val="28"/>
        </w:rPr>
        <w:t xml:space="preserve"> cũng như ảnh hưởng tới quyền của các bên tham gia hoà giải (Điề</w:t>
      </w:r>
      <w:r w:rsidR="00EA5396">
        <w:rPr>
          <w:sz w:val="28"/>
          <w:szCs w:val="28"/>
        </w:rPr>
        <w:t>u 9</w:t>
      </w:r>
      <w:r w:rsidR="00D3530C">
        <w:rPr>
          <w:sz w:val="28"/>
          <w:szCs w:val="28"/>
        </w:rPr>
        <w:t xml:space="preserve"> của Dự thảo)</w:t>
      </w:r>
      <w:r w:rsidR="000A39A8" w:rsidRPr="000A39A8">
        <w:rPr>
          <w:rStyle w:val="FootnoteReference"/>
          <w:sz w:val="28"/>
          <w:szCs w:val="28"/>
        </w:rPr>
        <w:t xml:space="preserve"> </w:t>
      </w:r>
      <w:r w:rsidR="000A39A8" w:rsidRPr="000075AE">
        <w:rPr>
          <w:rStyle w:val="FootnoteReference"/>
          <w:sz w:val="28"/>
          <w:szCs w:val="28"/>
        </w:rPr>
        <w:footnoteReference w:id="4"/>
      </w:r>
      <w:r w:rsidR="00D3530C">
        <w:rPr>
          <w:sz w:val="28"/>
          <w:szCs w:val="28"/>
        </w:rPr>
        <w:t xml:space="preserve">. </w:t>
      </w:r>
      <w:r w:rsidR="00436F96">
        <w:rPr>
          <w:sz w:val="28"/>
          <w:szCs w:val="28"/>
        </w:rPr>
        <w:t xml:space="preserve">Hoà giải </w:t>
      </w:r>
      <w:r w:rsidR="00A61F0B">
        <w:rPr>
          <w:sz w:val="28"/>
          <w:szCs w:val="28"/>
        </w:rPr>
        <w:t xml:space="preserve">viên chỉ nên thực hiện các công việc này khi có sự đồng ý của </w:t>
      </w:r>
      <w:r w:rsidR="00D3530C">
        <w:rPr>
          <w:sz w:val="28"/>
          <w:szCs w:val="28"/>
        </w:rPr>
        <w:t xml:space="preserve">các bên </w:t>
      </w:r>
      <w:r w:rsidR="006D334E">
        <w:rPr>
          <w:sz w:val="28"/>
          <w:szCs w:val="28"/>
        </w:rPr>
        <w:t>tham gia hoà giải.</w:t>
      </w:r>
    </w:p>
    <w:p w14:paraId="7ECB4B92" w14:textId="77777777" w:rsidR="00C5029D" w:rsidRDefault="00C5029D" w:rsidP="00C5029D">
      <w:pPr>
        <w:pStyle w:val="NormalWeb"/>
        <w:tabs>
          <w:tab w:val="left" w:pos="720"/>
        </w:tabs>
        <w:spacing w:before="120" w:beforeAutospacing="0" w:after="0" w:afterAutospacing="0"/>
        <w:jc w:val="both"/>
        <w:rPr>
          <w:sz w:val="28"/>
          <w:szCs w:val="28"/>
        </w:rPr>
      </w:pPr>
    </w:p>
    <w:tbl>
      <w:tblPr>
        <w:tblStyle w:val="TableGrid"/>
        <w:tblW w:w="0" w:type="auto"/>
        <w:tblLook w:val="04A0" w:firstRow="1" w:lastRow="0" w:firstColumn="1" w:lastColumn="0" w:noHBand="0" w:noVBand="1"/>
      </w:tblPr>
      <w:tblGrid>
        <w:gridCol w:w="8516"/>
      </w:tblGrid>
      <w:tr w:rsidR="00C5029D" w14:paraId="6E08696B" w14:textId="77777777" w:rsidTr="00C5029D">
        <w:tc>
          <w:tcPr>
            <w:tcW w:w="8516" w:type="dxa"/>
          </w:tcPr>
          <w:p w14:paraId="3BD71204" w14:textId="1ACDDF4E" w:rsidR="00C5029D" w:rsidRPr="00C5029D" w:rsidRDefault="00C5029D" w:rsidP="00C5029D">
            <w:pPr>
              <w:pStyle w:val="NormalWeb"/>
              <w:tabs>
                <w:tab w:val="left" w:pos="720"/>
              </w:tabs>
              <w:spacing w:before="120" w:beforeAutospacing="0" w:after="0" w:afterAutospacing="0"/>
              <w:jc w:val="both"/>
              <w:rPr>
                <w:b/>
                <w:i/>
                <w:sz w:val="28"/>
                <w:szCs w:val="28"/>
              </w:rPr>
            </w:pPr>
            <w:r w:rsidRPr="00C5029D">
              <w:rPr>
                <w:b/>
                <w:i/>
                <w:sz w:val="28"/>
                <w:szCs w:val="28"/>
              </w:rPr>
              <w:t>Đề xuất:</w:t>
            </w:r>
          </w:p>
          <w:p w14:paraId="2FE010B9" w14:textId="73A5AA2A" w:rsidR="007C138C" w:rsidRDefault="00AB1025" w:rsidP="00566D1B">
            <w:pPr>
              <w:pStyle w:val="NormalWeb"/>
              <w:numPr>
                <w:ilvl w:val="0"/>
                <w:numId w:val="5"/>
              </w:numPr>
              <w:tabs>
                <w:tab w:val="left" w:pos="720"/>
              </w:tabs>
              <w:spacing w:before="120" w:beforeAutospacing="0" w:after="0" w:afterAutospacing="0"/>
              <w:jc w:val="both"/>
              <w:rPr>
                <w:sz w:val="28"/>
                <w:szCs w:val="28"/>
              </w:rPr>
            </w:pPr>
            <w:r>
              <w:rPr>
                <w:sz w:val="28"/>
                <w:szCs w:val="28"/>
              </w:rPr>
              <w:t xml:space="preserve">Cần quy định rõ hơn cơ chế bảo mật </w:t>
            </w:r>
            <w:r w:rsidR="00AD733D">
              <w:rPr>
                <w:sz w:val="28"/>
                <w:szCs w:val="28"/>
              </w:rPr>
              <w:t>tại Dự thả</w:t>
            </w:r>
            <w:r w:rsidR="0082002A">
              <w:rPr>
                <w:sz w:val="28"/>
                <w:szCs w:val="28"/>
              </w:rPr>
              <w:t>o</w:t>
            </w:r>
          </w:p>
          <w:p w14:paraId="2350CE55" w14:textId="3806EFF4" w:rsidR="003F7DED" w:rsidRDefault="003F7DED" w:rsidP="003F7DED">
            <w:pPr>
              <w:pStyle w:val="NormalWeb"/>
              <w:tabs>
                <w:tab w:val="left" w:pos="720"/>
              </w:tabs>
              <w:spacing w:before="120" w:beforeAutospacing="0" w:after="0" w:afterAutospacing="0"/>
              <w:ind w:left="360"/>
              <w:jc w:val="both"/>
              <w:rPr>
                <w:sz w:val="28"/>
                <w:szCs w:val="28"/>
              </w:rPr>
            </w:pPr>
          </w:p>
        </w:tc>
      </w:tr>
    </w:tbl>
    <w:p w14:paraId="5BE66B1A" w14:textId="77777777" w:rsidR="00C9599E" w:rsidRPr="008173B5" w:rsidRDefault="00C9599E" w:rsidP="007763D7">
      <w:pPr>
        <w:pStyle w:val="NormalWeb"/>
        <w:tabs>
          <w:tab w:val="left" w:pos="720"/>
        </w:tabs>
        <w:spacing w:before="120" w:beforeAutospacing="0" w:after="0" w:afterAutospacing="0"/>
        <w:jc w:val="both"/>
        <w:rPr>
          <w:sz w:val="28"/>
          <w:szCs w:val="28"/>
        </w:rPr>
      </w:pPr>
    </w:p>
    <w:p w14:paraId="06719A43" w14:textId="5BE58194" w:rsidR="00C81C9B" w:rsidRPr="003F7DED" w:rsidRDefault="00C81C9B" w:rsidP="00C81C9B">
      <w:pPr>
        <w:pStyle w:val="NormalWeb"/>
        <w:numPr>
          <w:ilvl w:val="0"/>
          <w:numId w:val="3"/>
        </w:numPr>
        <w:tabs>
          <w:tab w:val="left" w:pos="720"/>
        </w:tabs>
        <w:spacing w:before="120" w:beforeAutospacing="0" w:after="0" w:afterAutospacing="0"/>
        <w:ind w:left="709"/>
        <w:jc w:val="both"/>
        <w:rPr>
          <w:b/>
          <w:sz w:val="28"/>
          <w:szCs w:val="28"/>
        </w:rPr>
      </w:pPr>
      <w:r w:rsidRPr="003F7DED">
        <w:rPr>
          <w:b/>
          <w:sz w:val="28"/>
          <w:szCs w:val="28"/>
        </w:rPr>
        <w:t>BẢ</w:t>
      </w:r>
      <w:r>
        <w:rPr>
          <w:b/>
          <w:sz w:val="28"/>
          <w:szCs w:val="28"/>
        </w:rPr>
        <w:t>O VỆ TÍNH LIÊM CHÍNH</w:t>
      </w:r>
      <w:r w:rsidR="005C4125">
        <w:rPr>
          <w:b/>
          <w:sz w:val="28"/>
          <w:szCs w:val="28"/>
        </w:rPr>
        <w:t xml:space="preserve"> CỦA TOÀ ÁN</w:t>
      </w:r>
      <w:r w:rsidRPr="003F7DED">
        <w:rPr>
          <w:b/>
          <w:sz w:val="28"/>
          <w:szCs w:val="28"/>
        </w:rPr>
        <w:t xml:space="preserve"> </w:t>
      </w:r>
    </w:p>
    <w:p w14:paraId="5831FB0B" w14:textId="77777777" w:rsidR="005C4125" w:rsidRDefault="005C4125" w:rsidP="00C81C9B">
      <w:pPr>
        <w:pStyle w:val="NormalWeb"/>
        <w:tabs>
          <w:tab w:val="left" w:pos="720"/>
        </w:tabs>
        <w:spacing w:before="120" w:beforeAutospacing="0" w:after="0" w:afterAutospacing="0"/>
        <w:jc w:val="both"/>
        <w:rPr>
          <w:sz w:val="28"/>
          <w:szCs w:val="28"/>
        </w:rPr>
      </w:pPr>
    </w:p>
    <w:p w14:paraId="4F37B1D7" w14:textId="5C84E821" w:rsidR="00C81C9B" w:rsidRPr="00B76905" w:rsidRDefault="000072C3" w:rsidP="00C81C9B">
      <w:pPr>
        <w:pStyle w:val="NormalWeb"/>
        <w:tabs>
          <w:tab w:val="left" w:pos="720"/>
        </w:tabs>
        <w:spacing w:before="120" w:beforeAutospacing="0" w:after="0" w:afterAutospacing="0"/>
        <w:jc w:val="both"/>
        <w:rPr>
          <w:sz w:val="28"/>
          <w:szCs w:val="28"/>
        </w:rPr>
      </w:pPr>
      <w:r>
        <w:rPr>
          <w:sz w:val="28"/>
          <w:szCs w:val="28"/>
        </w:rPr>
        <w:t xml:space="preserve">Điều 19 của Dự thảo cho phép </w:t>
      </w:r>
      <w:r w:rsidRPr="000072C3">
        <w:rPr>
          <w:i/>
          <w:sz w:val="28"/>
          <w:szCs w:val="28"/>
        </w:rPr>
        <w:t>“</w:t>
      </w:r>
      <w:r w:rsidRPr="000072C3">
        <w:rPr>
          <w:i/>
          <w:sz w:val="28"/>
          <w:szCs w:val="28"/>
        </w:rPr>
        <w:t>Việc hòa giải, đối thoại có thể được tiến hành tại trụ sở Tòa án hoặc ngoài trụ sở Tòa án. Thời gian, địa điểm tiến hành hòa giải, đối thoại do các bên thống nhất lựa chọn và tự chịu chi phí hoặc do Hòa giải viên, Đối thoại viên ấn định</w:t>
      </w:r>
      <w:r>
        <w:rPr>
          <w:i/>
          <w:sz w:val="28"/>
          <w:szCs w:val="28"/>
        </w:rPr>
        <w:t xml:space="preserve">”. </w:t>
      </w:r>
      <w:r>
        <w:rPr>
          <w:sz w:val="28"/>
          <w:szCs w:val="28"/>
        </w:rPr>
        <w:t>Quy định này tạo điều kiện thuận lợ</w:t>
      </w:r>
      <w:r w:rsidR="00AC0281">
        <w:rPr>
          <w:sz w:val="28"/>
          <w:szCs w:val="28"/>
        </w:rPr>
        <w:t xml:space="preserve">i cho các bên tham gia hoà giải. </w:t>
      </w:r>
      <w:r w:rsidR="005635EC">
        <w:rPr>
          <w:sz w:val="28"/>
          <w:szCs w:val="28"/>
        </w:rPr>
        <w:t>Tuy nhiên, cần làm rõ hơn quy định nếu “</w:t>
      </w:r>
      <w:r w:rsidR="005635EC" w:rsidRPr="005635EC">
        <w:rPr>
          <w:i/>
          <w:sz w:val="28"/>
          <w:szCs w:val="28"/>
        </w:rPr>
        <w:t xml:space="preserve"> </w:t>
      </w:r>
      <w:r w:rsidR="005635EC" w:rsidRPr="000072C3">
        <w:rPr>
          <w:i/>
          <w:sz w:val="28"/>
          <w:szCs w:val="28"/>
        </w:rPr>
        <w:t>Hòa giải viên, Đối thoại viên ấn định</w:t>
      </w:r>
      <w:r w:rsidR="005635EC">
        <w:rPr>
          <w:i/>
          <w:sz w:val="28"/>
          <w:szCs w:val="28"/>
        </w:rPr>
        <w:t xml:space="preserve">” </w:t>
      </w:r>
      <w:r w:rsidR="005635EC">
        <w:rPr>
          <w:sz w:val="28"/>
          <w:szCs w:val="28"/>
        </w:rPr>
        <w:t xml:space="preserve">thì ai chịu kinh phí cho việc thực hiện hoà giải ngoài trụ sở Toà án. Ngoài ra, khi không còn cấu trúc của Trung tâm hoà giải </w:t>
      </w:r>
      <w:r w:rsidR="00ED5578">
        <w:rPr>
          <w:sz w:val="28"/>
          <w:szCs w:val="28"/>
        </w:rPr>
        <w:t xml:space="preserve">trong Dự thảo mà Hoà giải viên, Đối thoại viên lại </w:t>
      </w:r>
      <w:r w:rsidR="00332A97">
        <w:rPr>
          <w:sz w:val="28"/>
          <w:szCs w:val="28"/>
        </w:rPr>
        <w:t xml:space="preserve">do Chánh án Toà án nhân dân tối cao bổ nhiệm, Chánh án Toà án địa phương phân công thì lúc này </w:t>
      </w:r>
      <w:r w:rsidR="00B76905">
        <w:rPr>
          <w:sz w:val="28"/>
          <w:szCs w:val="28"/>
        </w:rPr>
        <w:t>“</w:t>
      </w:r>
      <w:r w:rsidR="00B76905" w:rsidRPr="00B76905">
        <w:rPr>
          <w:i/>
          <w:sz w:val="28"/>
          <w:szCs w:val="28"/>
        </w:rPr>
        <w:t xml:space="preserve"> </w:t>
      </w:r>
      <w:r w:rsidR="00B76905" w:rsidRPr="000072C3">
        <w:rPr>
          <w:i/>
          <w:sz w:val="28"/>
          <w:szCs w:val="28"/>
        </w:rPr>
        <w:t>Hòa giải viên, Đối thoại viên</w:t>
      </w:r>
      <w:r w:rsidR="00B76905">
        <w:rPr>
          <w:i/>
          <w:sz w:val="28"/>
          <w:szCs w:val="28"/>
        </w:rPr>
        <w:t xml:space="preserve">” </w:t>
      </w:r>
      <w:r w:rsidR="00B76905">
        <w:rPr>
          <w:sz w:val="28"/>
          <w:szCs w:val="28"/>
        </w:rPr>
        <w:t xml:space="preserve">sẽ được coi như là “người của Toà án”. </w:t>
      </w:r>
      <w:r w:rsidR="00FD6400">
        <w:rPr>
          <w:sz w:val="28"/>
          <w:szCs w:val="28"/>
        </w:rPr>
        <w:t xml:space="preserve">Nếu có vấn đề liên quan đến tính “liêm chính” của cá nhân HGV, ĐTV thì </w:t>
      </w:r>
      <w:r w:rsidR="00FC197E">
        <w:rPr>
          <w:sz w:val="28"/>
          <w:szCs w:val="28"/>
        </w:rPr>
        <w:t xml:space="preserve">ảnh hưởng lớn đến “tính liêm chính” của Toà án. </w:t>
      </w:r>
      <w:r w:rsidR="00393553">
        <w:rPr>
          <w:sz w:val="28"/>
          <w:szCs w:val="28"/>
        </w:rPr>
        <w:t xml:space="preserve">Trong khi đó, Thẩm phán hoặc các chức danh tư pháp khác có nhiều chế định ràng buộc, như BLTTDS không phép tiếp xúc riêng ngoài trụ sở Toà án, </w:t>
      </w:r>
      <w:r w:rsidR="002E14CF">
        <w:rPr>
          <w:sz w:val="28"/>
          <w:szCs w:val="28"/>
        </w:rPr>
        <w:t>Quy tắc đạo đức và ứng xử của Thẩm phán….</w:t>
      </w:r>
    </w:p>
    <w:p w14:paraId="3124AAFE" w14:textId="77777777" w:rsidR="007A3063" w:rsidRDefault="007A3063" w:rsidP="007A3063">
      <w:pPr>
        <w:pStyle w:val="NormalWeb"/>
        <w:tabs>
          <w:tab w:val="left" w:pos="720"/>
        </w:tabs>
        <w:spacing w:before="120" w:beforeAutospacing="0" w:after="0" w:afterAutospacing="0"/>
        <w:jc w:val="both"/>
        <w:rPr>
          <w:sz w:val="28"/>
          <w:szCs w:val="28"/>
        </w:rPr>
      </w:pPr>
    </w:p>
    <w:tbl>
      <w:tblPr>
        <w:tblStyle w:val="TableGrid"/>
        <w:tblW w:w="0" w:type="auto"/>
        <w:tblLook w:val="04A0" w:firstRow="1" w:lastRow="0" w:firstColumn="1" w:lastColumn="0" w:noHBand="0" w:noVBand="1"/>
      </w:tblPr>
      <w:tblGrid>
        <w:gridCol w:w="8516"/>
      </w:tblGrid>
      <w:tr w:rsidR="007A3063" w14:paraId="5CFC7CE7" w14:textId="77777777" w:rsidTr="006E0017">
        <w:tc>
          <w:tcPr>
            <w:tcW w:w="8516" w:type="dxa"/>
          </w:tcPr>
          <w:p w14:paraId="66C0A4FE" w14:textId="77777777" w:rsidR="007A3063" w:rsidRPr="00C5029D" w:rsidRDefault="007A3063" w:rsidP="006E0017">
            <w:pPr>
              <w:pStyle w:val="NormalWeb"/>
              <w:tabs>
                <w:tab w:val="left" w:pos="720"/>
              </w:tabs>
              <w:spacing w:before="120" w:beforeAutospacing="0" w:after="0" w:afterAutospacing="0"/>
              <w:jc w:val="both"/>
              <w:rPr>
                <w:b/>
                <w:i/>
                <w:sz w:val="28"/>
                <w:szCs w:val="28"/>
              </w:rPr>
            </w:pPr>
            <w:r w:rsidRPr="00C5029D">
              <w:rPr>
                <w:b/>
                <w:i/>
                <w:sz w:val="28"/>
                <w:szCs w:val="28"/>
              </w:rPr>
              <w:t>Đề xuất:</w:t>
            </w:r>
          </w:p>
          <w:p w14:paraId="0786927F" w14:textId="01686CE8" w:rsidR="007A3063" w:rsidRDefault="007A3063" w:rsidP="006E0017">
            <w:pPr>
              <w:pStyle w:val="NormalWeb"/>
              <w:numPr>
                <w:ilvl w:val="0"/>
                <w:numId w:val="5"/>
              </w:numPr>
              <w:tabs>
                <w:tab w:val="left" w:pos="720"/>
              </w:tabs>
              <w:spacing w:before="120" w:beforeAutospacing="0" w:after="0" w:afterAutospacing="0"/>
              <w:jc w:val="both"/>
              <w:rPr>
                <w:sz w:val="28"/>
                <w:szCs w:val="28"/>
              </w:rPr>
            </w:pPr>
            <w:r>
              <w:rPr>
                <w:sz w:val="28"/>
                <w:szCs w:val="28"/>
              </w:rPr>
              <w:t xml:space="preserve">Cần quy định rõ hơn cơ chế </w:t>
            </w:r>
            <w:r>
              <w:rPr>
                <w:sz w:val="28"/>
                <w:szCs w:val="28"/>
              </w:rPr>
              <w:t>bảo đảm tính liêm chính của Toà án trong hoạt động hoà giải, đối thoại tại Toà án.</w:t>
            </w:r>
          </w:p>
          <w:p w14:paraId="50AECD08" w14:textId="77777777" w:rsidR="007A3063" w:rsidRDefault="007A3063" w:rsidP="006E0017">
            <w:pPr>
              <w:pStyle w:val="NormalWeb"/>
              <w:tabs>
                <w:tab w:val="left" w:pos="720"/>
              </w:tabs>
              <w:spacing w:before="120" w:beforeAutospacing="0" w:after="0" w:afterAutospacing="0"/>
              <w:ind w:left="360"/>
              <w:jc w:val="both"/>
              <w:rPr>
                <w:sz w:val="28"/>
                <w:szCs w:val="28"/>
              </w:rPr>
            </w:pPr>
          </w:p>
        </w:tc>
      </w:tr>
    </w:tbl>
    <w:p w14:paraId="23E34AB2" w14:textId="77777777" w:rsidR="00BB2923" w:rsidRDefault="00BB2923" w:rsidP="0023429C">
      <w:pPr>
        <w:pStyle w:val="NormalWeb"/>
        <w:tabs>
          <w:tab w:val="left" w:pos="720"/>
        </w:tabs>
        <w:spacing w:before="120" w:beforeAutospacing="0" w:after="0" w:afterAutospacing="0"/>
        <w:jc w:val="both"/>
        <w:rPr>
          <w:sz w:val="28"/>
          <w:szCs w:val="28"/>
        </w:rPr>
      </w:pPr>
      <w:bookmarkStart w:id="0" w:name="_GoBack"/>
      <w:bookmarkEnd w:id="0"/>
    </w:p>
    <w:sectPr w:rsidR="00BB2923" w:rsidSect="003B2941">
      <w:footerReference w:type="even" r:id="rId8"/>
      <w:footerReference w:type="default" r:id="rId9"/>
      <w:pgSz w:w="11900" w:h="16840"/>
      <w:pgMar w:top="1440" w:right="1800" w:bottom="1440" w:left="180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8C86B75" w15:done="0"/>
  <w15:commentEx w15:paraId="0B095B12" w15:done="0"/>
  <w15:commentEx w15:paraId="732C4ED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8C86B75" w16cid:durableId="20573B51"/>
  <w16cid:commentId w16cid:paraId="0B095B12" w16cid:durableId="20573BB8"/>
  <w16cid:commentId w16cid:paraId="732C4ED6" w16cid:durableId="20573C0F"/>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8CA2CA" w14:textId="77777777" w:rsidR="00C81C9B" w:rsidRDefault="00C81C9B" w:rsidP="00A478C2">
      <w:r>
        <w:separator/>
      </w:r>
    </w:p>
  </w:endnote>
  <w:endnote w:type="continuationSeparator" w:id="0">
    <w:p w14:paraId="739E510B" w14:textId="77777777" w:rsidR="00C81C9B" w:rsidRDefault="00C81C9B" w:rsidP="00A47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MS Mincho">
    <w:altName w:val="ＭＳ 明朝"/>
    <w:charset w:val="80"/>
    <w:family w:val="modern"/>
    <w:pitch w:val="fixed"/>
    <w:sig w:usb0="E00002FF" w:usb1="6AC7FDFB" w:usb2="08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7D11B1" w14:textId="77777777" w:rsidR="00C81C9B" w:rsidRDefault="00C81C9B" w:rsidP="006C0A9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A5676A" w14:textId="77777777" w:rsidR="00C81C9B" w:rsidRDefault="00C81C9B" w:rsidP="000C6BC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90FDBD" w14:textId="77777777" w:rsidR="00C81C9B" w:rsidRDefault="00C81C9B" w:rsidP="006C0A9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A73FD">
      <w:rPr>
        <w:rStyle w:val="PageNumber"/>
        <w:noProof/>
      </w:rPr>
      <w:t>1</w:t>
    </w:r>
    <w:r>
      <w:rPr>
        <w:rStyle w:val="PageNumber"/>
      </w:rPr>
      <w:fldChar w:fldCharType="end"/>
    </w:r>
  </w:p>
  <w:p w14:paraId="780E9C59" w14:textId="77777777" w:rsidR="00C81C9B" w:rsidRDefault="00C81C9B" w:rsidP="000C6BC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E4231D" w14:textId="77777777" w:rsidR="00C81C9B" w:rsidRDefault="00C81C9B" w:rsidP="00A478C2">
      <w:r>
        <w:separator/>
      </w:r>
    </w:p>
  </w:footnote>
  <w:footnote w:type="continuationSeparator" w:id="0">
    <w:p w14:paraId="1B32B43F" w14:textId="77777777" w:rsidR="00C81C9B" w:rsidRDefault="00C81C9B" w:rsidP="00A478C2">
      <w:r>
        <w:continuationSeparator/>
      </w:r>
    </w:p>
  </w:footnote>
  <w:footnote w:id="1">
    <w:p w14:paraId="6310D960" w14:textId="444DA805" w:rsidR="00C81C9B" w:rsidRPr="007210C6" w:rsidRDefault="00C81C9B" w:rsidP="007210C6">
      <w:pPr>
        <w:snapToGrid w:val="0"/>
        <w:spacing w:before="120" w:line="240" w:lineRule="exact"/>
        <w:rPr>
          <w:color w:val="000000" w:themeColor="text1"/>
          <w:sz w:val="20"/>
          <w:szCs w:val="20"/>
          <w:lang w:val="vi-VN"/>
        </w:rPr>
      </w:pPr>
      <w:r w:rsidRPr="00F55758">
        <w:rPr>
          <w:rStyle w:val="FootnoteReference"/>
          <w:sz w:val="20"/>
          <w:szCs w:val="20"/>
        </w:rPr>
        <w:footnoteRef/>
      </w:r>
      <w:r>
        <w:rPr>
          <w:rFonts w:cs="Arial"/>
          <w:sz w:val="20"/>
          <w:lang w:val="vi-VN"/>
        </w:rPr>
        <w:t xml:space="preserve"> Nguyễn Hưng Quang, </w:t>
      </w:r>
      <w:r w:rsidRPr="00047874">
        <w:rPr>
          <w:rFonts w:cs="Arial"/>
          <w:i/>
          <w:sz w:val="20"/>
          <w:lang w:val="vi-VN"/>
        </w:rPr>
        <w:t>Bảo đảm thực thi hợp đồng</w:t>
      </w:r>
      <w:r>
        <w:rPr>
          <w:rFonts w:cs="Arial"/>
          <w:sz w:val="20"/>
          <w:lang w:val="vi-VN"/>
        </w:rPr>
        <w:t xml:space="preserve">, trong Nghiên cứu </w:t>
      </w:r>
      <w:r w:rsidRPr="00516AD9">
        <w:rPr>
          <w:rFonts w:cs="Arial"/>
          <w:i/>
          <w:sz w:val="20"/>
          <w:lang w:val="vi-VN"/>
        </w:rPr>
        <w:t>Chuẩn đoán tăng trưởng kinh tế Việt Nam</w:t>
      </w:r>
      <w:r w:rsidRPr="00516AD9">
        <w:rPr>
          <w:rFonts w:cs="Arial"/>
          <w:sz w:val="20"/>
          <w:lang w:val="vi-VN"/>
        </w:rPr>
        <w:t>, trang 229-230</w:t>
      </w:r>
      <w:r>
        <w:rPr>
          <w:rFonts w:cs="Arial"/>
          <w:sz w:val="20"/>
          <w:lang w:val="vi-VN"/>
        </w:rPr>
        <w:t xml:space="preserve">; Nguyễn Hưng Quang – Toàn Lê, </w:t>
      </w:r>
      <w:r>
        <w:rPr>
          <w:rFonts w:cs="Arial"/>
          <w:i/>
          <w:sz w:val="20"/>
          <w:lang w:val="vi-VN"/>
        </w:rPr>
        <w:t>Khái quát lịch sử và pháp luật và giải quyết tranh chấp đất đai tại Việt Nam (An historical overview of Vietnamese land law and dispute resolution)</w:t>
      </w:r>
      <w:r>
        <w:rPr>
          <w:rFonts w:cs="Arial"/>
          <w:sz w:val="20"/>
          <w:lang w:val="vi-VN"/>
        </w:rPr>
        <w:t xml:space="preserve">, trong sách </w:t>
      </w:r>
      <w:r w:rsidRPr="00A31921">
        <w:rPr>
          <w:rFonts w:cs="Arial"/>
          <w:i/>
          <w:sz w:val="20"/>
          <w:lang w:val="vi-VN"/>
        </w:rPr>
        <w:t>Giải quyết tranh chấp đất đai tại Đông Á</w:t>
      </w:r>
      <w:r>
        <w:rPr>
          <w:rFonts w:cs="Arial"/>
          <w:sz w:val="20"/>
          <w:lang w:val="vi-VN"/>
        </w:rPr>
        <w:t xml:space="preserve"> </w:t>
      </w:r>
      <w:r w:rsidRPr="00161A9D">
        <w:rPr>
          <w:rFonts w:cs="Arial"/>
          <w:i/>
          <w:sz w:val="20"/>
          <w:lang w:val="vi-VN"/>
        </w:rPr>
        <w:t>(Resolving Land Dispute in East Asia – Exploring the limits of laws)</w:t>
      </w:r>
      <w:r w:rsidRPr="00251EAB">
        <w:rPr>
          <w:rFonts w:cs="Arial"/>
          <w:sz w:val="20"/>
          <w:lang w:val="vi-VN"/>
        </w:rPr>
        <w:t>, 2014</w:t>
      </w:r>
      <w:r w:rsidRPr="00161A9D">
        <w:rPr>
          <w:rFonts w:cs="Arial"/>
          <w:i/>
          <w:sz w:val="20"/>
          <w:lang w:val="vi-VN"/>
        </w:rPr>
        <w:t xml:space="preserve">; </w:t>
      </w:r>
      <w:r w:rsidRPr="00251EAB">
        <w:rPr>
          <w:rFonts w:cs="Arial"/>
          <w:sz w:val="20"/>
          <w:lang w:val="vi-VN"/>
        </w:rPr>
        <w:t>John Gillespie,</w:t>
      </w:r>
      <w:r w:rsidRPr="00161A9D">
        <w:rPr>
          <w:rFonts w:cs="Arial"/>
          <w:i/>
          <w:sz w:val="20"/>
          <w:lang w:val="vi-VN"/>
        </w:rPr>
        <w:t xml:space="preserve"> Tường thuật điền dã về tranh chấp đất đai tại ba xã của Việt Nam (Narrating land disputes in three Vietnamese communities),</w:t>
      </w:r>
      <w:r>
        <w:rPr>
          <w:rFonts w:cs="Arial"/>
          <w:sz w:val="20"/>
          <w:lang w:val="vi-VN"/>
        </w:rPr>
        <w:t xml:space="preserve"> trong sách </w:t>
      </w:r>
      <w:r w:rsidRPr="00A31921">
        <w:rPr>
          <w:rFonts w:cs="Arial"/>
          <w:i/>
          <w:sz w:val="20"/>
          <w:lang w:val="vi-VN"/>
        </w:rPr>
        <w:t>Giải quyết tranh chấp đất đai tại Đông Á</w:t>
      </w:r>
      <w:r w:rsidRPr="006E105D">
        <w:rPr>
          <w:rFonts w:cs="Arial"/>
          <w:i/>
          <w:sz w:val="20"/>
          <w:lang w:val="vi-VN"/>
        </w:rPr>
        <w:t xml:space="preserve"> (Resolving Land Dispute in East Asia – Exploring the limits of laws),</w:t>
      </w:r>
      <w:r>
        <w:rPr>
          <w:rFonts w:cs="Arial"/>
          <w:sz w:val="20"/>
          <w:lang w:val="vi-VN"/>
        </w:rPr>
        <w:t xml:space="preserve"> 2014.</w:t>
      </w:r>
    </w:p>
  </w:footnote>
  <w:footnote w:id="2">
    <w:p w14:paraId="6C028617" w14:textId="0C679DC6" w:rsidR="00C81C9B" w:rsidRPr="007210C6" w:rsidRDefault="00C81C9B" w:rsidP="00F90E1F">
      <w:pPr>
        <w:snapToGrid w:val="0"/>
        <w:spacing w:before="120" w:line="240" w:lineRule="exact"/>
        <w:rPr>
          <w:color w:val="000000" w:themeColor="text1"/>
          <w:sz w:val="20"/>
          <w:szCs w:val="20"/>
          <w:lang w:val="vi-VN"/>
        </w:rPr>
      </w:pPr>
      <w:r w:rsidRPr="00F55758">
        <w:rPr>
          <w:rStyle w:val="FootnoteReference"/>
          <w:sz w:val="20"/>
          <w:szCs w:val="20"/>
        </w:rPr>
        <w:footnoteRef/>
      </w:r>
      <w:r>
        <w:rPr>
          <w:rFonts w:cs="Arial"/>
          <w:sz w:val="20"/>
          <w:lang w:val="vi-VN"/>
        </w:rPr>
        <w:t xml:space="preserve"> Chánh án TANDTC Nguyễn Hoà Bình, </w:t>
      </w:r>
      <w:r>
        <w:rPr>
          <w:rFonts w:cs="Arial"/>
          <w:i/>
          <w:sz w:val="20"/>
          <w:lang w:val="vi-VN"/>
        </w:rPr>
        <w:t>Đổi mới, tăng cường hoà giải trong quá trình giải quyết các tranh chấp dân sự, khiếu kiện hành chính đáp ứng yêu cầu cải cách tư pháp</w:t>
      </w:r>
      <w:r w:rsidRPr="00516AD9">
        <w:rPr>
          <w:rFonts w:cs="Arial"/>
          <w:sz w:val="20"/>
          <w:lang w:val="vi-VN"/>
        </w:rPr>
        <w:t xml:space="preserve">, </w:t>
      </w:r>
      <w:r>
        <w:rPr>
          <w:rFonts w:cs="Arial"/>
          <w:sz w:val="20"/>
          <w:lang w:val="vi-VN"/>
        </w:rPr>
        <w:t xml:space="preserve">Tạp chí Toà án nhân dân (số 13), 2018. </w:t>
      </w:r>
    </w:p>
  </w:footnote>
  <w:footnote w:id="3">
    <w:p w14:paraId="493D2133" w14:textId="6A511099" w:rsidR="00C81C9B" w:rsidRPr="007210C6" w:rsidRDefault="00C81C9B" w:rsidP="00040CAA">
      <w:pPr>
        <w:snapToGrid w:val="0"/>
        <w:spacing w:before="120" w:line="240" w:lineRule="exact"/>
        <w:rPr>
          <w:color w:val="000000" w:themeColor="text1"/>
          <w:sz w:val="20"/>
          <w:szCs w:val="20"/>
          <w:lang w:val="vi-VN"/>
        </w:rPr>
      </w:pPr>
      <w:r w:rsidRPr="00F55758">
        <w:rPr>
          <w:rStyle w:val="FootnoteReference"/>
          <w:sz w:val="20"/>
          <w:szCs w:val="20"/>
        </w:rPr>
        <w:footnoteRef/>
      </w:r>
      <w:r>
        <w:rPr>
          <w:rFonts w:cs="Arial"/>
          <w:sz w:val="20"/>
          <w:lang w:val="vi-VN"/>
        </w:rPr>
        <w:t xml:space="preserve"> Nghị định số 22/2017/NĐ-CP của Chính phủ về hoà giải thương mại, Điều 7. Các tiêu chuẩn hoà giải viên thương mại được hướng dẫn cụ thể hơn tại Công văn số 4001/BTP-BTTP của Bộ Tư pháp ngày 18/10/2018; Nghị định số 46/2013/NĐ-CP của Chính phủ quy định chi tiết một số điều của Bộ luật Lao động về tranh chấp lao động, Điều 4. </w:t>
      </w:r>
    </w:p>
  </w:footnote>
  <w:footnote w:id="4">
    <w:p w14:paraId="0C4263CB" w14:textId="336C9DD2" w:rsidR="00C81C9B" w:rsidRPr="007210C6" w:rsidRDefault="00C81C9B" w:rsidP="000A39A8">
      <w:pPr>
        <w:snapToGrid w:val="0"/>
        <w:spacing w:before="120" w:line="240" w:lineRule="exact"/>
        <w:rPr>
          <w:color w:val="000000" w:themeColor="text1"/>
          <w:sz w:val="20"/>
          <w:szCs w:val="20"/>
          <w:lang w:val="vi-VN"/>
        </w:rPr>
      </w:pPr>
      <w:r w:rsidRPr="00F55758">
        <w:rPr>
          <w:rStyle w:val="FootnoteReference"/>
          <w:sz w:val="20"/>
          <w:szCs w:val="20"/>
        </w:rPr>
        <w:footnoteRef/>
      </w:r>
      <w:r>
        <w:rPr>
          <w:rFonts w:cs="Arial"/>
          <w:sz w:val="20"/>
          <w:lang w:val="vi-VN"/>
        </w:rPr>
        <w:t xml:space="preserve"> Thẩm phán Hoa Kỳ Gordon J. Low, </w:t>
      </w:r>
      <w:r>
        <w:rPr>
          <w:rFonts w:cs="Arial"/>
          <w:i/>
          <w:sz w:val="20"/>
          <w:lang w:val="vi-VN"/>
        </w:rPr>
        <w:t>Về dự án triển khai thì điểm về đổi mới, tăng cường hoà giải, đối thoại trong giải quyết các tranh chấp dân sự, khiếu kiện hành chính tại thành phố Hải Phòng</w:t>
      </w:r>
      <w:r w:rsidRPr="00516AD9">
        <w:rPr>
          <w:rFonts w:cs="Arial"/>
          <w:sz w:val="20"/>
          <w:lang w:val="vi-VN"/>
        </w:rPr>
        <w:t xml:space="preserve">, </w:t>
      </w:r>
      <w:r>
        <w:rPr>
          <w:rFonts w:cs="Arial"/>
          <w:sz w:val="20"/>
          <w:lang w:val="vi-VN"/>
        </w:rPr>
        <w:t>Tạp chí Toà án nhân dân (số 13), 2018; Luật mẫu về Hoà giải thương mại quốc tế của UNCITRAL (UNCITRAL Model Law on International Commercial Conciliation).</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E00E4"/>
    <w:multiLevelType w:val="hybridMultilevel"/>
    <w:tmpl w:val="35E88E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A30123"/>
    <w:multiLevelType w:val="hybridMultilevel"/>
    <w:tmpl w:val="C78242E0"/>
    <w:lvl w:ilvl="0" w:tplc="37F2C1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57737"/>
    <w:multiLevelType w:val="hybridMultilevel"/>
    <w:tmpl w:val="FEF2170A"/>
    <w:lvl w:ilvl="0" w:tplc="7FD0DB98">
      <w:start w:val="6"/>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5C6A47"/>
    <w:multiLevelType w:val="hybridMultilevel"/>
    <w:tmpl w:val="A1FE1426"/>
    <w:lvl w:ilvl="0" w:tplc="7186C308">
      <w:start w:val="1"/>
      <w:numFmt w:val="bullet"/>
      <w:lvlText w:val="-"/>
      <w:lvlJc w:val="left"/>
      <w:pPr>
        <w:ind w:left="36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494609"/>
    <w:multiLevelType w:val="hybridMultilevel"/>
    <w:tmpl w:val="C3B0A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31207D"/>
    <w:multiLevelType w:val="hybridMultilevel"/>
    <w:tmpl w:val="84509948"/>
    <w:lvl w:ilvl="0" w:tplc="7186C308">
      <w:start w:val="1"/>
      <w:numFmt w:val="bullet"/>
      <w:lvlText w:val="-"/>
      <w:lvlJc w:val="left"/>
      <w:pPr>
        <w:ind w:left="360" w:hanging="360"/>
      </w:pPr>
      <w:rPr>
        <w:rFonts w:ascii="Times New Roman" w:eastAsia="MS Mincho" w:hAnsi="Times New Roman" w:cs="Times New Roman"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3A74992"/>
    <w:multiLevelType w:val="hybridMultilevel"/>
    <w:tmpl w:val="74D82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B33670"/>
    <w:multiLevelType w:val="singleLevel"/>
    <w:tmpl w:val="7E16998A"/>
    <w:lvl w:ilvl="0">
      <w:start w:val="1"/>
      <w:numFmt w:val="upperRoman"/>
      <w:pStyle w:val="Heading2"/>
      <w:lvlText w:val="%1."/>
      <w:lvlJc w:val="left"/>
      <w:pPr>
        <w:tabs>
          <w:tab w:val="num" w:pos="720"/>
        </w:tabs>
        <w:ind w:left="720" w:hanging="720"/>
      </w:pPr>
      <w:rPr>
        <w:rFonts w:hint="default"/>
      </w:rPr>
    </w:lvl>
  </w:abstractNum>
  <w:abstractNum w:abstractNumId="8">
    <w:nsid w:val="51BE305C"/>
    <w:multiLevelType w:val="singleLevel"/>
    <w:tmpl w:val="EEA035D6"/>
    <w:lvl w:ilvl="0">
      <w:start w:val="1"/>
      <w:numFmt w:val="lowerLetter"/>
      <w:lvlText w:val="%1."/>
      <w:lvlJc w:val="left"/>
      <w:pPr>
        <w:tabs>
          <w:tab w:val="num" w:pos="360"/>
        </w:tabs>
        <w:ind w:left="360" w:hanging="360"/>
      </w:pPr>
      <w:rPr>
        <w:rFonts w:hint="default"/>
      </w:rPr>
    </w:lvl>
  </w:abstractNum>
  <w:abstractNum w:abstractNumId="9">
    <w:nsid w:val="56745AB2"/>
    <w:multiLevelType w:val="hybridMultilevel"/>
    <w:tmpl w:val="C3B0A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F5D4F93"/>
    <w:multiLevelType w:val="hybridMultilevel"/>
    <w:tmpl w:val="F7064AC6"/>
    <w:lvl w:ilvl="0" w:tplc="1E18F400">
      <w:start w:val="1"/>
      <w:numFmt w:val="decimal"/>
      <w:lvlText w:val="%1."/>
      <w:lvlJc w:val="left"/>
      <w:pPr>
        <w:ind w:left="720" w:hanging="360"/>
      </w:pPr>
      <w:rPr>
        <w:rFonts w:ascii="Times New Roman" w:eastAsia="Arial" w:hAnsi="Times New Roman" w:cs="Times New Roman"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1">
    <w:nsid w:val="72D05367"/>
    <w:multiLevelType w:val="hybridMultilevel"/>
    <w:tmpl w:val="63AC4792"/>
    <w:lvl w:ilvl="0" w:tplc="7186C308">
      <w:start w:val="1"/>
      <w:numFmt w:val="bullet"/>
      <w:lvlText w:val="-"/>
      <w:lvlJc w:val="left"/>
      <w:pPr>
        <w:ind w:left="36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A53091D"/>
    <w:multiLevelType w:val="hybridMultilevel"/>
    <w:tmpl w:val="35E88E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0"/>
  </w:num>
  <w:num w:numId="3">
    <w:abstractNumId w:val="1"/>
  </w:num>
  <w:num w:numId="4">
    <w:abstractNumId w:val="0"/>
  </w:num>
  <w:num w:numId="5">
    <w:abstractNumId w:val="5"/>
  </w:num>
  <w:num w:numId="6">
    <w:abstractNumId w:val="9"/>
  </w:num>
  <w:num w:numId="7">
    <w:abstractNumId w:val="3"/>
  </w:num>
  <w:num w:numId="8">
    <w:abstractNumId w:val="11"/>
  </w:num>
  <w:num w:numId="9">
    <w:abstractNumId w:val="8"/>
  </w:num>
  <w:num w:numId="10">
    <w:abstractNumId w:val="4"/>
  </w:num>
  <w:num w:numId="11">
    <w:abstractNumId w:val="6"/>
  </w:num>
  <w:num w:numId="12">
    <w:abstractNumId w:val="12"/>
  </w:num>
  <w:num w:numId="1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huy Duong">
    <w15:presenceInfo w15:providerId="None" w15:userId="Thuy Duo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F2F"/>
    <w:rsid w:val="000072C3"/>
    <w:rsid w:val="000075AE"/>
    <w:rsid w:val="000105BD"/>
    <w:rsid w:val="00011876"/>
    <w:rsid w:val="00014705"/>
    <w:rsid w:val="00017C23"/>
    <w:rsid w:val="00024683"/>
    <w:rsid w:val="00025B6F"/>
    <w:rsid w:val="00025CCC"/>
    <w:rsid w:val="000266FD"/>
    <w:rsid w:val="00026D8D"/>
    <w:rsid w:val="00040CAA"/>
    <w:rsid w:val="000431C7"/>
    <w:rsid w:val="00046F28"/>
    <w:rsid w:val="00047874"/>
    <w:rsid w:val="00050F71"/>
    <w:rsid w:val="00060FC7"/>
    <w:rsid w:val="000618A7"/>
    <w:rsid w:val="0006452D"/>
    <w:rsid w:val="0006576C"/>
    <w:rsid w:val="000700E7"/>
    <w:rsid w:val="00071A0B"/>
    <w:rsid w:val="000723C1"/>
    <w:rsid w:val="00082023"/>
    <w:rsid w:val="0008310E"/>
    <w:rsid w:val="00083680"/>
    <w:rsid w:val="000911D6"/>
    <w:rsid w:val="00093772"/>
    <w:rsid w:val="00095FA7"/>
    <w:rsid w:val="000A1CCA"/>
    <w:rsid w:val="000A39A8"/>
    <w:rsid w:val="000A3C53"/>
    <w:rsid w:val="000A4844"/>
    <w:rsid w:val="000A61A0"/>
    <w:rsid w:val="000A73FD"/>
    <w:rsid w:val="000B3EAD"/>
    <w:rsid w:val="000B5340"/>
    <w:rsid w:val="000B6308"/>
    <w:rsid w:val="000B68C1"/>
    <w:rsid w:val="000C4BAE"/>
    <w:rsid w:val="000C55A7"/>
    <w:rsid w:val="000C577D"/>
    <w:rsid w:val="000C685D"/>
    <w:rsid w:val="000C6BC8"/>
    <w:rsid w:val="000D0FBA"/>
    <w:rsid w:val="000D1744"/>
    <w:rsid w:val="000D2C3D"/>
    <w:rsid w:val="000D4116"/>
    <w:rsid w:val="000D429F"/>
    <w:rsid w:val="000D4BF2"/>
    <w:rsid w:val="000D59C6"/>
    <w:rsid w:val="000D6F40"/>
    <w:rsid w:val="000D71DF"/>
    <w:rsid w:val="000E5386"/>
    <w:rsid w:val="000E6389"/>
    <w:rsid w:val="000F45AC"/>
    <w:rsid w:val="001019C7"/>
    <w:rsid w:val="00101F48"/>
    <w:rsid w:val="00106DB1"/>
    <w:rsid w:val="00110AE7"/>
    <w:rsid w:val="001110FD"/>
    <w:rsid w:val="00111349"/>
    <w:rsid w:val="0011783E"/>
    <w:rsid w:val="0011795D"/>
    <w:rsid w:val="00117B71"/>
    <w:rsid w:val="001204BA"/>
    <w:rsid w:val="001220C4"/>
    <w:rsid w:val="001330A2"/>
    <w:rsid w:val="00133142"/>
    <w:rsid w:val="001337A3"/>
    <w:rsid w:val="00135787"/>
    <w:rsid w:val="00135CC9"/>
    <w:rsid w:val="00135CD9"/>
    <w:rsid w:val="00140349"/>
    <w:rsid w:val="0014662B"/>
    <w:rsid w:val="0015073D"/>
    <w:rsid w:val="00150785"/>
    <w:rsid w:val="00151630"/>
    <w:rsid w:val="00151919"/>
    <w:rsid w:val="00161A9D"/>
    <w:rsid w:val="00162035"/>
    <w:rsid w:val="00162C2D"/>
    <w:rsid w:val="00166AE9"/>
    <w:rsid w:val="001740D8"/>
    <w:rsid w:val="00177525"/>
    <w:rsid w:val="00177F04"/>
    <w:rsid w:val="001811FD"/>
    <w:rsid w:val="001838EB"/>
    <w:rsid w:val="00193B4A"/>
    <w:rsid w:val="0019612D"/>
    <w:rsid w:val="001A0A72"/>
    <w:rsid w:val="001A3391"/>
    <w:rsid w:val="001A5B9B"/>
    <w:rsid w:val="001B0500"/>
    <w:rsid w:val="001B15BE"/>
    <w:rsid w:val="001B28BB"/>
    <w:rsid w:val="001B2FAD"/>
    <w:rsid w:val="001B5BAA"/>
    <w:rsid w:val="001C0F3D"/>
    <w:rsid w:val="001C6F02"/>
    <w:rsid w:val="001C7234"/>
    <w:rsid w:val="001D2BDE"/>
    <w:rsid w:val="001D52BF"/>
    <w:rsid w:val="001E3B96"/>
    <w:rsid w:val="001E41F2"/>
    <w:rsid w:val="001E4203"/>
    <w:rsid w:val="001F14BB"/>
    <w:rsid w:val="001F5316"/>
    <w:rsid w:val="001F567A"/>
    <w:rsid w:val="001F7575"/>
    <w:rsid w:val="001F77F6"/>
    <w:rsid w:val="001F7AA7"/>
    <w:rsid w:val="00202BC8"/>
    <w:rsid w:val="00220037"/>
    <w:rsid w:val="00222883"/>
    <w:rsid w:val="00222CB2"/>
    <w:rsid w:val="00224614"/>
    <w:rsid w:val="0022702B"/>
    <w:rsid w:val="00230E98"/>
    <w:rsid w:val="00232CBB"/>
    <w:rsid w:val="0023429C"/>
    <w:rsid w:val="00236A33"/>
    <w:rsid w:val="00251B3C"/>
    <w:rsid w:val="00251EAB"/>
    <w:rsid w:val="00252CB0"/>
    <w:rsid w:val="00254127"/>
    <w:rsid w:val="002554A5"/>
    <w:rsid w:val="00255D97"/>
    <w:rsid w:val="002573CD"/>
    <w:rsid w:val="00264941"/>
    <w:rsid w:val="00270FF2"/>
    <w:rsid w:val="00272799"/>
    <w:rsid w:val="00274EF7"/>
    <w:rsid w:val="00276122"/>
    <w:rsid w:val="0027767F"/>
    <w:rsid w:val="0028138C"/>
    <w:rsid w:val="00281495"/>
    <w:rsid w:val="002814FD"/>
    <w:rsid w:val="00284665"/>
    <w:rsid w:val="002856E2"/>
    <w:rsid w:val="0029059A"/>
    <w:rsid w:val="00290EAA"/>
    <w:rsid w:val="002917A1"/>
    <w:rsid w:val="00292213"/>
    <w:rsid w:val="002930F9"/>
    <w:rsid w:val="0029333F"/>
    <w:rsid w:val="0029536B"/>
    <w:rsid w:val="00295736"/>
    <w:rsid w:val="002965FE"/>
    <w:rsid w:val="002A1E51"/>
    <w:rsid w:val="002A2C9E"/>
    <w:rsid w:val="002A53E7"/>
    <w:rsid w:val="002A57EC"/>
    <w:rsid w:val="002C1919"/>
    <w:rsid w:val="002C1A6B"/>
    <w:rsid w:val="002D4F0C"/>
    <w:rsid w:val="002E106D"/>
    <w:rsid w:val="002E12EA"/>
    <w:rsid w:val="002E14CF"/>
    <w:rsid w:val="002E341E"/>
    <w:rsid w:val="002E38D5"/>
    <w:rsid w:val="002F1837"/>
    <w:rsid w:val="002F50BA"/>
    <w:rsid w:val="002F635B"/>
    <w:rsid w:val="002F6690"/>
    <w:rsid w:val="003015F9"/>
    <w:rsid w:val="00301AF0"/>
    <w:rsid w:val="00302529"/>
    <w:rsid w:val="00313C91"/>
    <w:rsid w:val="0031596D"/>
    <w:rsid w:val="00325349"/>
    <w:rsid w:val="00330CED"/>
    <w:rsid w:val="00332052"/>
    <w:rsid w:val="00332A97"/>
    <w:rsid w:val="003338DE"/>
    <w:rsid w:val="00333C34"/>
    <w:rsid w:val="003412C8"/>
    <w:rsid w:val="00346BB3"/>
    <w:rsid w:val="00346BD8"/>
    <w:rsid w:val="003470F9"/>
    <w:rsid w:val="00347615"/>
    <w:rsid w:val="003505BE"/>
    <w:rsid w:val="00351D52"/>
    <w:rsid w:val="00352357"/>
    <w:rsid w:val="00357D9A"/>
    <w:rsid w:val="0036255B"/>
    <w:rsid w:val="00362970"/>
    <w:rsid w:val="00363010"/>
    <w:rsid w:val="003634F6"/>
    <w:rsid w:val="00363D93"/>
    <w:rsid w:val="003731B9"/>
    <w:rsid w:val="0037360C"/>
    <w:rsid w:val="00375CAE"/>
    <w:rsid w:val="00376EF0"/>
    <w:rsid w:val="003821DF"/>
    <w:rsid w:val="0038343B"/>
    <w:rsid w:val="003837C8"/>
    <w:rsid w:val="00387295"/>
    <w:rsid w:val="00393553"/>
    <w:rsid w:val="00394A98"/>
    <w:rsid w:val="003975B3"/>
    <w:rsid w:val="003A4BAC"/>
    <w:rsid w:val="003A6671"/>
    <w:rsid w:val="003B20FE"/>
    <w:rsid w:val="003B27A2"/>
    <w:rsid w:val="003B2941"/>
    <w:rsid w:val="003B50B9"/>
    <w:rsid w:val="003B64D7"/>
    <w:rsid w:val="003B70BC"/>
    <w:rsid w:val="003B797B"/>
    <w:rsid w:val="003C4035"/>
    <w:rsid w:val="003D03C8"/>
    <w:rsid w:val="003D4A39"/>
    <w:rsid w:val="003D538C"/>
    <w:rsid w:val="003D78B9"/>
    <w:rsid w:val="003E4466"/>
    <w:rsid w:val="003F19BA"/>
    <w:rsid w:val="003F6613"/>
    <w:rsid w:val="003F7DED"/>
    <w:rsid w:val="00400B0E"/>
    <w:rsid w:val="004074FF"/>
    <w:rsid w:val="00412002"/>
    <w:rsid w:val="00412905"/>
    <w:rsid w:val="004136F6"/>
    <w:rsid w:val="004166CE"/>
    <w:rsid w:val="004202A7"/>
    <w:rsid w:val="0042154F"/>
    <w:rsid w:val="00424940"/>
    <w:rsid w:val="004262C0"/>
    <w:rsid w:val="004275FE"/>
    <w:rsid w:val="00430C98"/>
    <w:rsid w:val="00431F31"/>
    <w:rsid w:val="00436E33"/>
    <w:rsid w:val="00436F96"/>
    <w:rsid w:val="00437124"/>
    <w:rsid w:val="00437847"/>
    <w:rsid w:val="00440F34"/>
    <w:rsid w:val="004420D4"/>
    <w:rsid w:val="0044225A"/>
    <w:rsid w:val="00443006"/>
    <w:rsid w:val="00447F9B"/>
    <w:rsid w:val="00454CD5"/>
    <w:rsid w:val="004552FA"/>
    <w:rsid w:val="00461A53"/>
    <w:rsid w:val="004668BE"/>
    <w:rsid w:val="00472EC1"/>
    <w:rsid w:val="00474C7D"/>
    <w:rsid w:val="00480540"/>
    <w:rsid w:val="00481763"/>
    <w:rsid w:val="0048643B"/>
    <w:rsid w:val="0049587B"/>
    <w:rsid w:val="00495C80"/>
    <w:rsid w:val="004973B5"/>
    <w:rsid w:val="004A44D6"/>
    <w:rsid w:val="004A4AFF"/>
    <w:rsid w:val="004A6064"/>
    <w:rsid w:val="004A60FB"/>
    <w:rsid w:val="004B0041"/>
    <w:rsid w:val="004B0E17"/>
    <w:rsid w:val="004B25BC"/>
    <w:rsid w:val="004B42DF"/>
    <w:rsid w:val="004C3CC1"/>
    <w:rsid w:val="004C7E71"/>
    <w:rsid w:val="004D40ED"/>
    <w:rsid w:val="004E5299"/>
    <w:rsid w:val="004E7E36"/>
    <w:rsid w:val="00501700"/>
    <w:rsid w:val="005024D7"/>
    <w:rsid w:val="00506055"/>
    <w:rsid w:val="0050764B"/>
    <w:rsid w:val="00516AD9"/>
    <w:rsid w:val="00517776"/>
    <w:rsid w:val="00520163"/>
    <w:rsid w:val="005215B7"/>
    <w:rsid w:val="00525AD2"/>
    <w:rsid w:val="00526039"/>
    <w:rsid w:val="0052665A"/>
    <w:rsid w:val="00530C12"/>
    <w:rsid w:val="005331DE"/>
    <w:rsid w:val="00535758"/>
    <w:rsid w:val="00537A6B"/>
    <w:rsid w:val="00537AC6"/>
    <w:rsid w:val="005412F1"/>
    <w:rsid w:val="00546F9E"/>
    <w:rsid w:val="00551F38"/>
    <w:rsid w:val="0055268A"/>
    <w:rsid w:val="00554F6C"/>
    <w:rsid w:val="00561638"/>
    <w:rsid w:val="00562F7E"/>
    <w:rsid w:val="005635EC"/>
    <w:rsid w:val="00566D1B"/>
    <w:rsid w:val="00571488"/>
    <w:rsid w:val="00573820"/>
    <w:rsid w:val="00574CF8"/>
    <w:rsid w:val="0057728F"/>
    <w:rsid w:val="0057746B"/>
    <w:rsid w:val="00582FB6"/>
    <w:rsid w:val="00585187"/>
    <w:rsid w:val="0059004D"/>
    <w:rsid w:val="00591469"/>
    <w:rsid w:val="00591993"/>
    <w:rsid w:val="00593B65"/>
    <w:rsid w:val="005974E1"/>
    <w:rsid w:val="00597F37"/>
    <w:rsid w:val="005A1A52"/>
    <w:rsid w:val="005A2E4B"/>
    <w:rsid w:val="005A3618"/>
    <w:rsid w:val="005A4868"/>
    <w:rsid w:val="005A4BD1"/>
    <w:rsid w:val="005A619C"/>
    <w:rsid w:val="005A7F4B"/>
    <w:rsid w:val="005B0E07"/>
    <w:rsid w:val="005B16B7"/>
    <w:rsid w:val="005B2E68"/>
    <w:rsid w:val="005C1F9E"/>
    <w:rsid w:val="005C4125"/>
    <w:rsid w:val="005C4129"/>
    <w:rsid w:val="005C6858"/>
    <w:rsid w:val="005D464D"/>
    <w:rsid w:val="005E121D"/>
    <w:rsid w:val="005E447F"/>
    <w:rsid w:val="005E7138"/>
    <w:rsid w:val="005F3418"/>
    <w:rsid w:val="005F50CE"/>
    <w:rsid w:val="005F5589"/>
    <w:rsid w:val="005F61AB"/>
    <w:rsid w:val="0060526A"/>
    <w:rsid w:val="00611523"/>
    <w:rsid w:val="00613622"/>
    <w:rsid w:val="006168D4"/>
    <w:rsid w:val="00617230"/>
    <w:rsid w:val="00617426"/>
    <w:rsid w:val="0062237F"/>
    <w:rsid w:val="00624B80"/>
    <w:rsid w:val="00626F22"/>
    <w:rsid w:val="00630D21"/>
    <w:rsid w:val="006459DB"/>
    <w:rsid w:val="006510F4"/>
    <w:rsid w:val="00652021"/>
    <w:rsid w:val="006541A1"/>
    <w:rsid w:val="00655758"/>
    <w:rsid w:val="0066066B"/>
    <w:rsid w:val="006619B3"/>
    <w:rsid w:val="00662271"/>
    <w:rsid w:val="00663823"/>
    <w:rsid w:val="00665E3E"/>
    <w:rsid w:val="006714C1"/>
    <w:rsid w:val="00671C99"/>
    <w:rsid w:val="00673486"/>
    <w:rsid w:val="00674897"/>
    <w:rsid w:val="006750B3"/>
    <w:rsid w:val="00680140"/>
    <w:rsid w:val="00680AA1"/>
    <w:rsid w:val="00681AD0"/>
    <w:rsid w:val="006841DF"/>
    <w:rsid w:val="00686FDD"/>
    <w:rsid w:val="00694F6A"/>
    <w:rsid w:val="006968DF"/>
    <w:rsid w:val="006A3ABC"/>
    <w:rsid w:val="006A43A8"/>
    <w:rsid w:val="006A59D3"/>
    <w:rsid w:val="006A6E73"/>
    <w:rsid w:val="006B2141"/>
    <w:rsid w:val="006B243E"/>
    <w:rsid w:val="006B4991"/>
    <w:rsid w:val="006B6921"/>
    <w:rsid w:val="006B73FE"/>
    <w:rsid w:val="006C0A94"/>
    <w:rsid w:val="006C1A68"/>
    <w:rsid w:val="006D1DF5"/>
    <w:rsid w:val="006D2752"/>
    <w:rsid w:val="006D334E"/>
    <w:rsid w:val="006D7CF1"/>
    <w:rsid w:val="006E105D"/>
    <w:rsid w:val="006E213A"/>
    <w:rsid w:val="006E31FC"/>
    <w:rsid w:val="006E699C"/>
    <w:rsid w:val="006E7789"/>
    <w:rsid w:val="006F1B2E"/>
    <w:rsid w:val="006F2AAC"/>
    <w:rsid w:val="006F3CEE"/>
    <w:rsid w:val="006F5BFE"/>
    <w:rsid w:val="00700D6D"/>
    <w:rsid w:val="00711BFD"/>
    <w:rsid w:val="0071318B"/>
    <w:rsid w:val="00713471"/>
    <w:rsid w:val="00717F6E"/>
    <w:rsid w:val="00720D50"/>
    <w:rsid w:val="007210C6"/>
    <w:rsid w:val="0072172C"/>
    <w:rsid w:val="007254CA"/>
    <w:rsid w:val="00725E09"/>
    <w:rsid w:val="00731467"/>
    <w:rsid w:val="007324EB"/>
    <w:rsid w:val="007337BF"/>
    <w:rsid w:val="00736380"/>
    <w:rsid w:val="00737ADC"/>
    <w:rsid w:val="00747963"/>
    <w:rsid w:val="00747C50"/>
    <w:rsid w:val="00751188"/>
    <w:rsid w:val="00752F36"/>
    <w:rsid w:val="0075668B"/>
    <w:rsid w:val="007571B6"/>
    <w:rsid w:val="00762D45"/>
    <w:rsid w:val="00765F5D"/>
    <w:rsid w:val="00771AF4"/>
    <w:rsid w:val="00772C99"/>
    <w:rsid w:val="007763D7"/>
    <w:rsid w:val="0078049E"/>
    <w:rsid w:val="00780CD5"/>
    <w:rsid w:val="007818C9"/>
    <w:rsid w:val="00785982"/>
    <w:rsid w:val="00786F83"/>
    <w:rsid w:val="0079143B"/>
    <w:rsid w:val="007943A7"/>
    <w:rsid w:val="007A000D"/>
    <w:rsid w:val="007A3063"/>
    <w:rsid w:val="007A579B"/>
    <w:rsid w:val="007A5C32"/>
    <w:rsid w:val="007A5D84"/>
    <w:rsid w:val="007A64BB"/>
    <w:rsid w:val="007A680C"/>
    <w:rsid w:val="007A7D03"/>
    <w:rsid w:val="007B10C9"/>
    <w:rsid w:val="007B18FB"/>
    <w:rsid w:val="007B503F"/>
    <w:rsid w:val="007B5B2A"/>
    <w:rsid w:val="007C138C"/>
    <w:rsid w:val="007C20AD"/>
    <w:rsid w:val="007C47EE"/>
    <w:rsid w:val="007C7629"/>
    <w:rsid w:val="007D1164"/>
    <w:rsid w:val="007D6A78"/>
    <w:rsid w:val="007D7EE2"/>
    <w:rsid w:val="007E04E3"/>
    <w:rsid w:val="007E071C"/>
    <w:rsid w:val="007E4D28"/>
    <w:rsid w:val="007E658A"/>
    <w:rsid w:val="007E725A"/>
    <w:rsid w:val="007F2743"/>
    <w:rsid w:val="00802E42"/>
    <w:rsid w:val="008042EA"/>
    <w:rsid w:val="00805FCB"/>
    <w:rsid w:val="008066E0"/>
    <w:rsid w:val="008069BA"/>
    <w:rsid w:val="00807316"/>
    <w:rsid w:val="00807C56"/>
    <w:rsid w:val="00810B78"/>
    <w:rsid w:val="0081495C"/>
    <w:rsid w:val="008153D7"/>
    <w:rsid w:val="00816ACC"/>
    <w:rsid w:val="008173B5"/>
    <w:rsid w:val="0082002A"/>
    <w:rsid w:val="00824C1E"/>
    <w:rsid w:val="00824C96"/>
    <w:rsid w:val="008259FD"/>
    <w:rsid w:val="008305FA"/>
    <w:rsid w:val="00835F0F"/>
    <w:rsid w:val="00837157"/>
    <w:rsid w:val="008421B1"/>
    <w:rsid w:val="008436BF"/>
    <w:rsid w:val="00843BA1"/>
    <w:rsid w:val="00845D43"/>
    <w:rsid w:val="00854F7A"/>
    <w:rsid w:val="00855947"/>
    <w:rsid w:val="00856D43"/>
    <w:rsid w:val="00862DBF"/>
    <w:rsid w:val="0086301F"/>
    <w:rsid w:val="0086431A"/>
    <w:rsid w:val="008649AF"/>
    <w:rsid w:val="00865460"/>
    <w:rsid w:val="00870DA6"/>
    <w:rsid w:val="00870DE8"/>
    <w:rsid w:val="00872B6C"/>
    <w:rsid w:val="00873539"/>
    <w:rsid w:val="008743EC"/>
    <w:rsid w:val="0087526C"/>
    <w:rsid w:val="0087591B"/>
    <w:rsid w:val="00877573"/>
    <w:rsid w:val="00880F38"/>
    <w:rsid w:val="008828C7"/>
    <w:rsid w:val="0088374E"/>
    <w:rsid w:val="00885F12"/>
    <w:rsid w:val="008878C8"/>
    <w:rsid w:val="0089417A"/>
    <w:rsid w:val="00895299"/>
    <w:rsid w:val="0089723C"/>
    <w:rsid w:val="008973EA"/>
    <w:rsid w:val="008A09A0"/>
    <w:rsid w:val="008A2081"/>
    <w:rsid w:val="008A34A7"/>
    <w:rsid w:val="008A4166"/>
    <w:rsid w:val="008A4B87"/>
    <w:rsid w:val="008A4E64"/>
    <w:rsid w:val="008B0416"/>
    <w:rsid w:val="008B078F"/>
    <w:rsid w:val="008B2F2B"/>
    <w:rsid w:val="008B5227"/>
    <w:rsid w:val="008B6721"/>
    <w:rsid w:val="008B6EE8"/>
    <w:rsid w:val="008C0A5A"/>
    <w:rsid w:val="008C379B"/>
    <w:rsid w:val="008D179C"/>
    <w:rsid w:val="008D316A"/>
    <w:rsid w:val="008D47F0"/>
    <w:rsid w:val="008D4EA9"/>
    <w:rsid w:val="008D502F"/>
    <w:rsid w:val="008E0767"/>
    <w:rsid w:val="008E09FA"/>
    <w:rsid w:val="008E6123"/>
    <w:rsid w:val="008E6956"/>
    <w:rsid w:val="008E6A0E"/>
    <w:rsid w:val="008F254E"/>
    <w:rsid w:val="008F5A34"/>
    <w:rsid w:val="008F5AE8"/>
    <w:rsid w:val="009075B1"/>
    <w:rsid w:val="00912E20"/>
    <w:rsid w:val="0091531A"/>
    <w:rsid w:val="00917D20"/>
    <w:rsid w:val="009303B2"/>
    <w:rsid w:val="009313CB"/>
    <w:rsid w:val="00933486"/>
    <w:rsid w:val="00933F7E"/>
    <w:rsid w:val="00935840"/>
    <w:rsid w:val="009365C4"/>
    <w:rsid w:val="00936658"/>
    <w:rsid w:val="009378AF"/>
    <w:rsid w:val="00944C2C"/>
    <w:rsid w:val="00945F6C"/>
    <w:rsid w:val="00952396"/>
    <w:rsid w:val="00962D41"/>
    <w:rsid w:val="00965AFF"/>
    <w:rsid w:val="009760FD"/>
    <w:rsid w:val="00977016"/>
    <w:rsid w:val="00982666"/>
    <w:rsid w:val="00983A9F"/>
    <w:rsid w:val="009851D9"/>
    <w:rsid w:val="00985D39"/>
    <w:rsid w:val="009877B1"/>
    <w:rsid w:val="009916F8"/>
    <w:rsid w:val="009931E6"/>
    <w:rsid w:val="0099499A"/>
    <w:rsid w:val="00997687"/>
    <w:rsid w:val="009A3DAE"/>
    <w:rsid w:val="009A62D9"/>
    <w:rsid w:val="009A6F6A"/>
    <w:rsid w:val="009A7B73"/>
    <w:rsid w:val="009B5E81"/>
    <w:rsid w:val="009C01F5"/>
    <w:rsid w:val="009C2A62"/>
    <w:rsid w:val="009C398B"/>
    <w:rsid w:val="009C4F2D"/>
    <w:rsid w:val="009C542C"/>
    <w:rsid w:val="009D26BB"/>
    <w:rsid w:val="009D2CC6"/>
    <w:rsid w:val="009D33A3"/>
    <w:rsid w:val="009D3955"/>
    <w:rsid w:val="009E2121"/>
    <w:rsid w:val="009E36AA"/>
    <w:rsid w:val="009E5D5F"/>
    <w:rsid w:val="009E7EF7"/>
    <w:rsid w:val="009F3D33"/>
    <w:rsid w:val="009F5BC8"/>
    <w:rsid w:val="00A01599"/>
    <w:rsid w:val="00A03C5B"/>
    <w:rsid w:val="00A052A1"/>
    <w:rsid w:val="00A07254"/>
    <w:rsid w:val="00A16086"/>
    <w:rsid w:val="00A172F5"/>
    <w:rsid w:val="00A222F8"/>
    <w:rsid w:val="00A23B87"/>
    <w:rsid w:val="00A24CFD"/>
    <w:rsid w:val="00A30569"/>
    <w:rsid w:val="00A30DDD"/>
    <w:rsid w:val="00A31921"/>
    <w:rsid w:val="00A33F35"/>
    <w:rsid w:val="00A34F16"/>
    <w:rsid w:val="00A35EC2"/>
    <w:rsid w:val="00A40C30"/>
    <w:rsid w:val="00A4107B"/>
    <w:rsid w:val="00A423CD"/>
    <w:rsid w:val="00A43C62"/>
    <w:rsid w:val="00A478C2"/>
    <w:rsid w:val="00A47E57"/>
    <w:rsid w:val="00A51407"/>
    <w:rsid w:val="00A54E42"/>
    <w:rsid w:val="00A61306"/>
    <w:rsid w:val="00A61F0B"/>
    <w:rsid w:val="00A6616B"/>
    <w:rsid w:val="00A72802"/>
    <w:rsid w:val="00A72C5C"/>
    <w:rsid w:val="00A74991"/>
    <w:rsid w:val="00A81944"/>
    <w:rsid w:val="00A82B88"/>
    <w:rsid w:val="00A87DFC"/>
    <w:rsid w:val="00A92ABE"/>
    <w:rsid w:val="00A95942"/>
    <w:rsid w:val="00A960DB"/>
    <w:rsid w:val="00A96C5D"/>
    <w:rsid w:val="00A9716D"/>
    <w:rsid w:val="00AA198D"/>
    <w:rsid w:val="00AA2F28"/>
    <w:rsid w:val="00AA3310"/>
    <w:rsid w:val="00AA63CF"/>
    <w:rsid w:val="00AB1025"/>
    <w:rsid w:val="00AB1D6C"/>
    <w:rsid w:val="00AB2995"/>
    <w:rsid w:val="00AB3623"/>
    <w:rsid w:val="00AB6E16"/>
    <w:rsid w:val="00AB7D03"/>
    <w:rsid w:val="00AC0281"/>
    <w:rsid w:val="00AC08ED"/>
    <w:rsid w:val="00AC1857"/>
    <w:rsid w:val="00AC4774"/>
    <w:rsid w:val="00AC4AD8"/>
    <w:rsid w:val="00AC5512"/>
    <w:rsid w:val="00AC6755"/>
    <w:rsid w:val="00AC6CBC"/>
    <w:rsid w:val="00AD353C"/>
    <w:rsid w:val="00AD733D"/>
    <w:rsid w:val="00AD7FD8"/>
    <w:rsid w:val="00AE01C9"/>
    <w:rsid w:val="00AE6166"/>
    <w:rsid w:val="00AE7976"/>
    <w:rsid w:val="00AF0C72"/>
    <w:rsid w:val="00AF0F85"/>
    <w:rsid w:val="00AF14B5"/>
    <w:rsid w:val="00AF6E50"/>
    <w:rsid w:val="00B01E98"/>
    <w:rsid w:val="00B01F2F"/>
    <w:rsid w:val="00B04CB0"/>
    <w:rsid w:val="00B05C79"/>
    <w:rsid w:val="00B11131"/>
    <w:rsid w:val="00B11324"/>
    <w:rsid w:val="00B1220F"/>
    <w:rsid w:val="00B12B7E"/>
    <w:rsid w:val="00B13998"/>
    <w:rsid w:val="00B13E48"/>
    <w:rsid w:val="00B144D0"/>
    <w:rsid w:val="00B144EC"/>
    <w:rsid w:val="00B15745"/>
    <w:rsid w:val="00B21731"/>
    <w:rsid w:val="00B22CE9"/>
    <w:rsid w:val="00B23121"/>
    <w:rsid w:val="00B24372"/>
    <w:rsid w:val="00B251A7"/>
    <w:rsid w:val="00B25398"/>
    <w:rsid w:val="00B31557"/>
    <w:rsid w:val="00B31CDC"/>
    <w:rsid w:val="00B34FAD"/>
    <w:rsid w:val="00B36805"/>
    <w:rsid w:val="00B402D6"/>
    <w:rsid w:val="00B44664"/>
    <w:rsid w:val="00B452E8"/>
    <w:rsid w:val="00B5225C"/>
    <w:rsid w:val="00B5289C"/>
    <w:rsid w:val="00B54405"/>
    <w:rsid w:val="00B57303"/>
    <w:rsid w:val="00B622DC"/>
    <w:rsid w:val="00B658AC"/>
    <w:rsid w:val="00B76905"/>
    <w:rsid w:val="00B7776B"/>
    <w:rsid w:val="00B80DA4"/>
    <w:rsid w:val="00B81814"/>
    <w:rsid w:val="00B903D2"/>
    <w:rsid w:val="00B90CAD"/>
    <w:rsid w:val="00B93BCB"/>
    <w:rsid w:val="00B970D2"/>
    <w:rsid w:val="00BA02F5"/>
    <w:rsid w:val="00BA2C19"/>
    <w:rsid w:val="00BB1C7A"/>
    <w:rsid w:val="00BB22B7"/>
    <w:rsid w:val="00BB2923"/>
    <w:rsid w:val="00BB5EB9"/>
    <w:rsid w:val="00BC3829"/>
    <w:rsid w:val="00BD0C86"/>
    <w:rsid w:val="00BD14C1"/>
    <w:rsid w:val="00BD3B19"/>
    <w:rsid w:val="00BD4EC1"/>
    <w:rsid w:val="00BD5218"/>
    <w:rsid w:val="00BD61C2"/>
    <w:rsid w:val="00BD77A5"/>
    <w:rsid w:val="00BE6AF4"/>
    <w:rsid w:val="00BF1159"/>
    <w:rsid w:val="00BF57C5"/>
    <w:rsid w:val="00BF597B"/>
    <w:rsid w:val="00BF5B33"/>
    <w:rsid w:val="00BF61BB"/>
    <w:rsid w:val="00BF7F73"/>
    <w:rsid w:val="00C02231"/>
    <w:rsid w:val="00C03C7A"/>
    <w:rsid w:val="00C05F71"/>
    <w:rsid w:val="00C102FC"/>
    <w:rsid w:val="00C10635"/>
    <w:rsid w:val="00C11497"/>
    <w:rsid w:val="00C13B3B"/>
    <w:rsid w:val="00C140E3"/>
    <w:rsid w:val="00C17540"/>
    <w:rsid w:val="00C20605"/>
    <w:rsid w:val="00C2060D"/>
    <w:rsid w:val="00C2235D"/>
    <w:rsid w:val="00C250FC"/>
    <w:rsid w:val="00C25FA0"/>
    <w:rsid w:val="00C260F5"/>
    <w:rsid w:val="00C32DC8"/>
    <w:rsid w:val="00C368BC"/>
    <w:rsid w:val="00C403D8"/>
    <w:rsid w:val="00C4419F"/>
    <w:rsid w:val="00C46023"/>
    <w:rsid w:val="00C46A56"/>
    <w:rsid w:val="00C47EB2"/>
    <w:rsid w:val="00C47EC4"/>
    <w:rsid w:val="00C5029D"/>
    <w:rsid w:val="00C50B8D"/>
    <w:rsid w:val="00C53C4A"/>
    <w:rsid w:val="00C542AE"/>
    <w:rsid w:val="00C60AF1"/>
    <w:rsid w:val="00C64B32"/>
    <w:rsid w:val="00C713C6"/>
    <w:rsid w:val="00C81C9B"/>
    <w:rsid w:val="00C85C19"/>
    <w:rsid w:val="00C867CD"/>
    <w:rsid w:val="00C87670"/>
    <w:rsid w:val="00C87A29"/>
    <w:rsid w:val="00C918D9"/>
    <w:rsid w:val="00C9599E"/>
    <w:rsid w:val="00C96BD5"/>
    <w:rsid w:val="00C96D26"/>
    <w:rsid w:val="00CA26A8"/>
    <w:rsid w:val="00CA3953"/>
    <w:rsid w:val="00CA43CD"/>
    <w:rsid w:val="00CA4D9B"/>
    <w:rsid w:val="00CA59DC"/>
    <w:rsid w:val="00CA5A0C"/>
    <w:rsid w:val="00CB31E9"/>
    <w:rsid w:val="00CC4331"/>
    <w:rsid w:val="00CC4952"/>
    <w:rsid w:val="00CC5A66"/>
    <w:rsid w:val="00CD000C"/>
    <w:rsid w:val="00CD77D1"/>
    <w:rsid w:val="00CE0F9B"/>
    <w:rsid w:val="00CE1209"/>
    <w:rsid w:val="00CE2063"/>
    <w:rsid w:val="00CE489E"/>
    <w:rsid w:val="00CE4AF7"/>
    <w:rsid w:val="00CE5252"/>
    <w:rsid w:val="00CE58D0"/>
    <w:rsid w:val="00CE5BCB"/>
    <w:rsid w:val="00CE5F0E"/>
    <w:rsid w:val="00CE6270"/>
    <w:rsid w:val="00CF1AA4"/>
    <w:rsid w:val="00CF26CE"/>
    <w:rsid w:val="00CF330F"/>
    <w:rsid w:val="00CF5129"/>
    <w:rsid w:val="00CF7D4E"/>
    <w:rsid w:val="00D03236"/>
    <w:rsid w:val="00D03270"/>
    <w:rsid w:val="00D03D16"/>
    <w:rsid w:val="00D04D62"/>
    <w:rsid w:val="00D0621E"/>
    <w:rsid w:val="00D100F3"/>
    <w:rsid w:val="00D10FF3"/>
    <w:rsid w:val="00D11508"/>
    <w:rsid w:val="00D13209"/>
    <w:rsid w:val="00D1787E"/>
    <w:rsid w:val="00D20CD2"/>
    <w:rsid w:val="00D22053"/>
    <w:rsid w:val="00D23FC5"/>
    <w:rsid w:val="00D255A8"/>
    <w:rsid w:val="00D308F9"/>
    <w:rsid w:val="00D32D28"/>
    <w:rsid w:val="00D34DC4"/>
    <w:rsid w:val="00D3530C"/>
    <w:rsid w:val="00D3542D"/>
    <w:rsid w:val="00D35D3A"/>
    <w:rsid w:val="00D442A0"/>
    <w:rsid w:val="00D52C0B"/>
    <w:rsid w:val="00D60EBC"/>
    <w:rsid w:val="00D61300"/>
    <w:rsid w:val="00D63AE4"/>
    <w:rsid w:val="00D646E3"/>
    <w:rsid w:val="00D65676"/>
    <w:rsid w:val="00D70187"/>
    <w:rsid w:val="00D77349"/>
    <w:rsid w:val="00D80159"/>
    <w:rsid w:val="00D81F12"/>
    <w:rsid w:val="00D85BE3"/>
    <w:rsid w:val="00D86A2A"/>
    <w:rsid w:val="00D923EC"/>
    <w:rsid w:val="00D9659C"/>
    <w:rsid w:val="00D971C1"/>
    <w:rsid w:val="00DA250F"/>
    <w:rsid w:val="00DA3157"/>
    <w:rsid w:val="00DA350D"/>
    <w:rsid w:val="00DA7F9A"/>
    <w:rsid w:val="00DB2CBE"/>
    <w:rsid w:val="00DB5466"/>
    <w:rsid w:val="00DB651F"/>
    <w:rsid w:val="00DB78CF"/>
    <w:rsid w:val="00DC102A"/>
    <w:rsid w:val="00DC297A"/>
    <w:rsid w:val="00DC3030"/>
    <w:rsid w:val="00DC37FB"/>
    <w:rsid w:val="00DC6D74"/>
    <w:rsid w:val="00DE1964"/>
    <w:rsid w:val="00DE2EB8"/>
    <w:rsid w:val="00DE3462"/>
    <w:rsid w:val="00DE5719"/>
    <w:rsid w:val="00DF0042"/>
    <w:rsid w:val="00DF0101"/>
    <w:rsid w:val="00DF6CA8"/>
    <w:rsid w:val="00DF71AA"/>
    <w:rsid w:val="00E04441"/>
    <w:rsid w:val="00E0506F"/>
    <w:rsid w:val="00E051D2"/>
    <w:rsid w:val="00E061BD"/>
    <w:rsid w:val="00E06575"/>
    <w:rsid w:val="00E10550"/>
    <w:rsid w:val="00E11F72"/>
    <w:rsid w:val="00E159BC"/>
    <w:rsid w:val="00E169B5"/>
    <w:rsid w:val="00E2093A"/>
    <w:rsid w:val="00E271D6"/>
    <w:rsid w:val="00E30C85"/>
    <w:rsid w:val="00E3292F"/>
    <w:rsid w:val="00E4106C"/>
    <w:rsid w:val="00E43843"/>
    <w:rsid w:val="00E455B0"/>
    <w:rsid w:val="00E457CD"/>
    <w:rsid w:val="00E47A1F"/>
    <w:rsid w:val="00E51696"/>
    <w:rsid w:val="00E527EC"/>
    <w:rsid w:val="00E54566"/>
    <w:rsid w:val="00E54C0D"/>
    <w:rsid w:val="00E54E72"/>
    <w:rsid w:val="00E55459"/>
    <w:rsid w:val="00E56A82"/>
    <w:rsid w:val="00E571FE"/>
    <w:rsid w:val="00E578DB"/>
    <w:rsid w:val="00E61948"/>
    <w:rsid w:val="00E668A1"/>
    <w:rsid w:val="00E66C8B"/>
    <w:rsid w:val="00E66FDF"/>
    <w:rsid w:val="00E71302"/>
    <w:rsid w:val="00E717A2"/>
    <w:rsid w:val="00E71F09"/>
    <w:rsid w:val="00E73787"/>
    <w:rsid w:val="00E7480B"/>
    <w:rsid w:val="00E75653"/>
    <w:rsid w:val="00E77048"/>
    <w:rsid w:val="00E81EC7"/>
    <w:rsid w:val="00E87CBE"/>
    <w:rsid w:val="00E91C5B"/>
    <w:rsid w:val="00E93CA2"/>
    <w:rsid w:val="00E97AFB"/>
    <w:rsid w:val="00E97D45"/>
    <w:rsid w:val="00E97FEC"/>
    <w:rsid w:val="00EA5396"/>
    <w:rsid w:val="00EB2914"/>
    <w:rsid w:val="00EC0940"/>
    <w:rsid w:val="00EC1D6E"/>
    <w:rsid w:val="00EC33F3"/>
    <w:rsid w:val="00EC66AA"/>
    <w:rsid w:val="00EC701A"/>
    <w:rsid w:val="00ED19FD"/>
    <w:rsid w:val="00ED5578"/>
    <w:rsid w:val="00ED6BAF"/>
    <w:rsid w:val="00EE1CF8"/>
    <w:rsid w:val="00EE35A3"/>
    <w:rsid w:val="00EE419D"/>
    <w:rsid w:val="00EE7235"/>
    <w:rsid w:val="00EE7D27"/>
    <w:rsid w:val="00EF050B"/>
    <w:rsid w:val="00EF13DA"/>
    <w:rsid w:val="00EF31D3"/>
    <w:rsid w:val="00EF56F3"/>
    <w:rsid w:val="00EF6286"/>
    <w:rsid w:val="00F00CBD"/>
    <w:rsid w:val="00F01564"/>
    <w:rsid w:val="00F02FAC"/>
    <w:rsid w:val="00F0680B"/>
    <w:rsid w:val="00F11E29"/>
    <w:rsid w:val="00F20AD9"/>
    <w:rsid w:val="00F221CE"/>
    <w:rsid w:val="00F27848"/>
    <w:rsid w:val="00F31996"/>
    <w:rsid w:val="00F336ED"/>
    <w:rsid w:val="00F361DF"/>
    <w:rsid w:val="00F40870"/>
    <w:rsid w:val="00F41912"/>
    <w:rsid w:val="00F43344"/>
    <w:rsid w:val="00F47552"/>
    <w:rsid w:val="00F50B50"/>
    <w:rsid w:val="00F50F31"/>
    <w:rsid w:val="00F51A17"/>
    <w:rsid w:val="00F54492"/>
    <w:rsid w:val="00F55758"/>
    <w:rsid w:val="00F601CB"/>
    <w:rsid w:val="00F617EB"/>
    <w:rsid w:val="00F61F1C"/>
    <w:rsid w:val="00F620DD"/>
    <w:rsid w:val="00F636BE"/>
    <w:rsid w:val="00F71456"/>
    <w:rsid w:val="00F80154"/>
    <w:rsid w:val="00F8306A"/>
    <w:rsid w:val="00F84C15"/>
    <w:rsid w:val="00F86D60"/>
    <w:rsid w:val="00F90E1F"/>
    <w:rsid w:val="00F92C93"/>
    <w:rsid w:val="00F956C6"/>
    <w:rsid w:val="00FA19C8"/>
    <w:rsid w:val="00FB19B9"/>
    <w:rsid w:val="00FB1D8D"/>
    <w:rsid w:val="00FB2540"/>
    <w:rsid w:val="00FC197E"/>
    <w:rsid w:val="00FC6713"/>
    <w:rsid w:val="00FD0EB6"/>
    <w:rsid w:val="00FD6400"/>
    <w:rsid w:val="00FD70B6"/>
    <w:rsid w:val="00FE02EC"/>
    <w:rsid w:val="00FE1AC6"/>
    <w:rsid w:val="00FE26B1"/>
    <w:rsid w:val="00FE617B"/>
    <w:rsid w:val="00FF1937"/>
    <w:rsid w:val="00FF1D5B"/>
    <w:rsid w:val="00FF57C8"/>
    <w:rsid w:val="00FF75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F6197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F2F"/>
    <w:rPr>
      <w:rFonts w:ascii="Times New Roman" w:eastAsia="MS Mincho" w:hAnsi="Times New Roman" w:cs="Times New Roman"/>
      <w:sz w:val="28"/>
      <w:szCs w:val="28"/>
    </w:rPr>
  </w:style>
  <w:style w:type="paragraph" w:styleId="Heading1">
    <w:name w:val="heading 1"/>
    <w:basedOn w:val="Normal"/>
    <w:next w:val="Normal"/>
    <w:link w:val="Heading1Char"/>
    <w:qFormat/>
    <w:rsid w:val="00B01F2F"/>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B01F2F"/>
    <w:pPr>
      <w:keepNext/>
      <w:numPr>
        <w:numId w:val="1"/>
      </w:numPr>
      <w:outlineLvl w:val="1"/>
    </w:pPr>
    <w:rPr>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01F2F"/>
    <w:rPr>
      <w:rFonts w:ascii="Cambria" w:eastAsia="Times New Roman" w:hAnsi="Cambria" w:cs="Times New Roman"/>
      <w:b/>
      <w:bCs/>
      <w:kern w:val="32"/>
      <w:sz w:val="32"/>
      <w:szCs w:val="32"/>
      <w:lang w:val="x-none" w:eastAsia="x-none"/>
    </w:rPr>
  </w:style>
  <w:style w:type="character" w:customStyle="1" w:styleId="Heading2Char">
    <w:name w:val="Heading 2 Char"/>
    <w:basedOn w:val="DefaultParagraphFont"/>
    <w:link w:val="Heading2"/>
    <w:rsid w:val="00B01F2F"/>
    <w:rPr>
      <w:rFonts w:ascii="Times New Roman" w:eastAsia="MS Mincho" w:hAnsi="Times New Roman" w:cs="Times New Roman"/>
      <w:b/>
      <w:bCs/>
      <w:sz w:val="28"/>
      <w:szCs w:val="28"/>
      <w:lang w:val="x-none" w:eastAsia="x-none"/>
    </w:rPr>
  </w:style>
  <w:style w:type="paragraph" w:styleId="NormalWeb">
    <w:name w:val="Normal (Web)"/>
    <w:basedOn w:val="Normal"/>
    <w:link w:val="NormalWebChar"/>
    <w:uiPriority w:val="99"/>
    <w:rsid w:val="00B01F2F"/>
    <w:pPr>
      <w:spacing w:before="100" w:beforeAutospacing="1" w:after="100" w:afterAutospacing="1"/>
    </w:pPr>
    <w:rPr>
      <w:sz w:val="24"/>
      <w:szCs w:val="24"/>
      <w:lang w:val="x-none" w:eastAsia="x-none"/>
    </w:rPr>
  </w:style>
  <w:style w:type="paragraph" w:customStyle="1" w:styleId="01Chuong">
    <w:name w:val="01. Chuong"/>
    <w:basedOn w:val="Heading1"/>
    <w:link w:val="01ChuongChar"/>
    <w:qFormat/>
    <w:rsid w:val="00B01F2F"/>
    <w:pPr>
      <w:keepLines/>
      <w:spacing w:before="0" w:after="0"/>
      <w:jc w:val="center"/>
    </w:pPr>
    <w:rPr>
      <w:rFonts w:ascii="Times New Roman" w:eastAsia="Calibri" w:hAnsi="Times New Roman"/>
      <w:bCs w:val="0"/>
      <w:kern w:val="0"/>
      <w:sz w:val="28"/>
      <w:szCs w:val="24"/>
    </w:rPr>
  </w:style>
  <w:style w:type="character" w:customStyle="1" w:styleId="01ChuongChar">
    <w:name w:val="01. Chuong Char"/>
    <w:link w:val="01Chuong"/>
    <w:rsid w:val="00B01F2F"/>
    <w:rPr>
      <w:rFonts w:ascii="Times New Roman" w:eastAsia="Calibri" w:hAnsi="Times New Roman" w:cs="Times New Roman"/>
      <w:b/>
      <w:sz w:val="28"/>
      <w:lang w:val="x-none" w:eastAsia="x-none"/>
    </w:rPr>
  </w:style>
  <w:style w:type="character" w:customStyle="1" w:styleId="NormalWebChar">
    <w:name w:val="Normal (Web) Char"/>
    <w:link w:val="NormalWeb"/>
    <w:uiPriority w:val="99"/>
    <w:locked/>
    <w:rsid w:val="00B01F2F"/>
    <w:rPr>
      <w:rFonts w:ascii="Times New Roman" w:eastAsia="MS Mincho" w:hAnsi="Times New Roman" w:cs="Times New Roman"/>
      <w:lang w:val="x-none" w:eastAsia="x-none"/>
    </w:rPr>
  </w:style>
  <w:style w:type="paragraph" w:styleId="FootnoteText">
    <w:name w:val="footnote text"/>
    <w:basedOn w:val="Normal"/>
    <w:link w:val="FootnoteTextChar"/>
    <w:uiPriority w:val="99"/>
    <w:unhideWhenUsed/>
    <w:rsid w:val="00A478C2"/>
    <w:rPr>
      <w:sz w:val="24"/>
      <w:szCs w:val="24"/>
    </w:rPr>
  </w:style>
  <w:style w:type="character" w:customStyle="1" w:styleId="FootnoteTextChar">
    <w:name w:val="Footnote Text Char"/>
    <w:basedOn w:val="DefaultParagraphFont"/>
    <w:link w:val="FootnoteText"/>
    <w:uiPriority w:val="99"/>
    <w:rsid w:val="00A478C2"/>
    <w:rPr>
      <w:rFonts w:ascii="Times New Roman" w:eastAsia="MS Mincho" w:hAnsi="Times New Roman" w:cs="Times New Roman"/>
    </w:rPr>
  </w:style>
  <w:style w:type="character" w:styleId="FootnoteReference">
    <w:name w:val="footnote reference"/>
    <w:basedOn w:val="DefaultParagraphFont"/>
    <w:uiPriority w:val="99"/>
    <w:unhideWhenUsed/>
    <w:rsid w:val="00A478C2"/>
    <w:rPr>
      <w:vertAlign w:val="superscript"/>
    </w:rPr>
  </w:style>
  <w:style w:type="paragraph" w:styleId="ListParagraph">
    <w:name w:val="List Paragraph"/>
    <w:aliases w:val="bullet 1,bullet,List Paragraph1,List Paragraph11,List Paragraph12,List Paragraph2,Thang2,VNA - List Paragraph,1.,Table Sequence"/>
    <w:basedOn w:val="Normal"/>
    <w:link w:val="ListParagraphChar"/>
    <w:uiPriority w:val="34"/>
    <w:qFormat/>
    <w:rsid w:val="00DB651F"/>
    <w:pPr>
      <w:ind w:left="720"/>
      <w:contextualSpacing/>
    </w:pPr>
    <w:rPr>
      <w:rFonts w:asciiTheme="minorHAnsi" w:eastAsiaTheme="minorEastAsia" w:hAnsiTheme="minorHAnsi" w:cstheme="minorBidi"/>
      <w:sz w:val="24"/>
      <w:szCs w:val="24"/>
    </w:rPr>
  </w:style>
  <w:style w:type="character" w:styleId="Hyperlink">
    <w:name w:val="Hyperlink"/>
    <w:basedOn w:val="DefaultParagraphFont"/>
    <w:uiPriority w:val="99"/>
    <w:unhideWhenUsed/>
    <w:rsid w:val="00DB651F"/>
    <w:rPr>
      <w:color w:val="0000FF" w:themeColor="hyperlink"/>
      <w:u w:val="single"/>
    </w:rPr>
  </w:style>
  <w:style w:type="character" w:customStyle="1" w:styleId="ListParagraphChar">
    <w:name w:val="List Paragraph Char"/>
    <w:aliases w:val="bullet 1 Char,bullet Char,List Paragraph1 Char,List Paragraph11 Char,List Paragraph12 Char,List Paragraph2 Char,Thang2 Char,VNA - List Paragraph Char,1. Char,Table Sequence Char"/>
    <w:basedOn w:val="DefaultParagraphFont"/>
    <w:link w:val="ListParagraph"/>
    <w:uiPriority w:val="34"/>
    <w:rsid w:val="00DB651F"/>
  </w:style>
  <w:style w:type="table" w:styleId="TableGrid">
    <w:name w:val="Table Grid"/>
    <w:basedOn w:val="TableNormal"/>
    <w:uiPriority w:val="59"/>
    <w:rsid w:val="00AC47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semiHidden/>
    <w:rsid w:val="00A61306"/>
    <w:rPr>
      <w:sz w:val="16"/>
      <w:szCs w:val="16"/>
    </w:rPr>
  </w:style>
  <w:style w:type="paragraph" w:styleId="CommentText">
    <w:name w:val="annotation text"/>
    <w:basedOn w:val="Normal"/>
    <w:link w:val="CommentTextChar"/>
    <w:semiHidden/>
    <w:rsid w:val="00A61306"/>
    <w:rPr>
      <w:sz w:val="20"/>
      <w:szCs w:val="20"/>
    </w:rPr>
  </w:style>
  <w:style w:type="character" w:customStyle="1" w:styleId="CommentTextChar">
    <w:name w:val="Comment Text Char"/>
    <w:basedOn w:val="DefaultParagraphFont"/>
    <w:link w:val="CommentText"/>
    <w:semiHidden/>
    <w:rsid w:val="00A61306"/>
    <w:rPr>
      <w:rFonts w:ascii="Times New Roman" w:eastAsia="MS Mincho" w:hAnsi="Times New Roman" w:cs="Times New Roman"/>
      <w:sz w:val="20"/>
      <w:szCs w:val="20"/>
    </w:rPr>
  </w:style>
  <w:style w:type="paragraph" w:styleId="BalloonText">
    <w:name w:val="Balloon Text"/>
    <w:basedOn w:val="Normal"/>
    <w:link w:val="BalloonTextChar"/>
    <w:uiPriority w:val="99"/>
    <w:semiHidden/>
    <w:unhideWhenUsed/>
    <w:rsid w:val="00A6130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61306"/>
    <w:rPr>
      <w:rFonts w:ascii="Lucida Grande" w:eastAsia="MS Mincho" w:hAnsi="Lucida Grande" w:cs="Lucida Grande"/>
      <w:sz w:val="18"/>
      <w:szCs w:val="18"/>
    </w:rPr>
  </w:style>
  <w:style w:type="paragraph" w:styleId="Footer">
    <w:name w:val="footer"/>
    <w:basedOn w:val="Normal"/>
    <w:link w:val="FooterChar"/>
    <w:uiPriority w:val="99"/>
    <w:unhideWhenUsed/>
    <w:rsid w:val="000C6BC8"/>
    <w:pPr>
      <w:tabs>
        <w:tab w:val="center" w:pos="4320"/>
        <w:tab w:val="right" w:pos="8640"/>
      </w:tabs>
    </w:pPr>
  </w:style>
  <w:style w:type="character" w:customStyle="1" w:styleId="FooterChar">
    <w:name w:val="Footer Char"/>
    <w:basedOn w:val="DefaultParagraphFont"/>
    <w:link w:val="Footer"/>
    <w:uiPriority w:val="99"/>
    <w:rsid w:val="000C6BC8"/>
    <w:rPr>
      <w:rFonts w:ascii="Times New Roman" w:eastAsia="MS Mincho" w:hAnsi="Times New Roman" w:cs="Times New Roman"/>
      <w:sz w:val="28"/>
      <w:szCs w:val="28"/>
    </w:rPr>
  </w:style>
  <w:style w:type="character" w:styleId="PageNumber">
    <w:name w:val="page number"/>
    <w:basedOn w:val="DefaultParagraphFont"/>
    <w:uiPriority w:val="99"/>
    <w:semiHidden/>
    <w:unhideWhenUsed/>
    <w:rsid w:val="000C6BC8"/>
  </w:style>
  <w:style w:type="paragraph" w:styleId="Caption">
    <w:name w:val="caption"/>
    <w:basedOn w:val="Normal"/>
    <w:next w:val="Normal"/>
    <w:qFormat/>
    <w:rsid w:val="00786F83"/>
    <w:pPr>
      <w:spacing w:after="120"/>
      <w:ind w:firstLine="567"/>
      <w:jc w:val="both"/>
    </w:pPr>
    <w:rPr>
      <w:color w:val="0000FF"/>
      <w:sz w:val="24"/>
      <w:szCs w:val="24"/>
    </w:rPr>
  </w:style>
  <w:style w:type="paragraph" w:styleId="CommentSubject">
    <w:name w:val="annotation subject"/>
    <w:basedOn w:val="CommentText"/>
    <w:next w:val="CommentText"/>
    <w:link w:val="CommentSubjectChar"/>
    <w:uiPriority w:val="99"/>
    <w:semiHidden/>
    <w:unhideWhenUsed/>
    <w:rsid w:val="00EF050B"/>
    <w:rPr>
      <w:b/>
      <w:bCs/>
    </w:rPr>
  </w:style>
  <w:style w:type="character" w:customStyle="1" w:styleId="CommentSubjectChar">
    <w:name w:val="Comment Subject Char"/>
    <w:basedOn w:val="CommentTextChar"/>
    <w:link w:val="CommentSubject"/>
    <w:uiPriority w:val="99"/>
    <w:semiHidden/>
    <w:rsid w:val="00EF050B"/>
    <w:rPr>
      <w:rFonts w:ascii="Times New Roman" w:eastAsia="MS Mincho" w:hAnsi="Times New Roman" w:cs="Times New Roman"/>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F2F"/>
    <w:rPr>
      <w:rFonts w:ascii="Times New Roman" w:eastAsia="MS Mincho" w:hAnsi="Times New Roman" w:cs="Times New Roman"/>
      <w:sz w:val="28"/>
      <w:szCs w:val="28"/>
    </w:rPr>
  </w:style>
  <w:style w:type="paragraph" w:styleId="Heading1">
    <w:name w:val="heading 1"/>
    <w:basedOn w:val="Normal"/>
    <w:next w:val="Normal"/>
    <w:link w:val="Heading1Char"/>
    <w:qFormat/>
    <w:rsid w:val="00B01F2F"/>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B01F2F"/>
    <w:pPr>
      <w:keepNext/>
      <w:numPr>
        <w:numId w:val="1"/>
      </w:numPr>
      <w:outlineLvl w:val="1"/>
    </w:pPr>
    <w:rPr>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01F2F"/>
    <w:rPr>
      <w:rFonts w:ascii="Cambria" w:eastAsia="Times New Roman" w:hAnsi="Cambria" w:cs="Times New Roman"/>
      <w:b/>
      <w:bCs/>
      <w:kern w:val="32"/>
      <w:sz w:val="32"/>
      <w:szCs w:val="32"/>
      <w:lang w:val="x-none" w:eastAsia="x-none"/>
    </w:rPr>
  </w:style>
  <w:style w:type="character" w:customStyle="1" w:styleId="Heading2Char">
    <w:name w:val="Heading 2 Char"/>
    <w:basedOn w:val="DefaultParagraphFont"/>
    <w:link w:val="Heading2"/>
    <w:rsid w:val="00B01F2F"/>
    <w:rPr>
      <w:rFonts w:ascii="Times New Roman" w:eastAsia="MS Mincho" w:hAnsi="Times New Roman" w:cs="Times New Roman"/>
      <w:b/>
      <w:bCs/>
      <w:sz w:val="28"/>
      <w:szCs w:val="28"/>
      <w:lang w:val="x-none" w:eastAsia="x-none"/>
    </w:rPr>
  </w:style>
  <w:style w:type="paragraph" w:styleId="NormalWeb">
    <w:name w:val="Normal (Web)"/>
    <w:basedOn w:val="Normal"/>
    <w:link w:val="NormalWebChar"/>
    <w:uiPriority w:val="99"/>
    <w:rsid w:val="00B01F2F"/>
    <w:pPr>
      <w:spacing w:before="100" w:beforeAutospacing="1" w:after="100" w:afterAutospacing="1"/>
    </w:pPr>
    <w:rPr>
      <w:sz w:val="24"/>
      <w:szCs w:val="24"/>
      <w:lang w:val="x-none" w:eastAsia="x-none"/>
    </w:rPr>
  </w:style>
  <w:style w:type="paragraph" w:customStyle="1" w:styleId="01Chuong">
    <w:name w:val="01. Chuong"/>
    <w:basedOn w:val="Heading1"/>
    <w:link w:val="01ChuongChar"/>
    <w:qFormat/>
    <w:rsid w:val="00B01F2F"/>
    <w:pPr>
      <w:keepLines/>
      <w:spacing w:before="0" w:after="0"/>
      <w:jc w:val="center"/>
    </w:pPr>
    <w:rPr>
      <w:rFonts w:ascii="Times New Roman" w:eastAsia="Calibri" w:hAnsi="Times New Roman"/>
      <w:bCs w:val="0"/>
      <w:kern w:val="0"/>
      <w:sz w:val="28"/>
      <w:szCs w:val="24"/>
    </w:rPr>
  </w:style>
  <w:style w:type="character" w:customStyle="1" w:styleId="01ChuongChar">
    <w:name w:val="01. Chuong Char"/>
    <w:link w:val="01Chuong"/>
    <w:rsid w:val="00B01F2F"/>
    <w:rPr>
      <w:rFonts w:ascii="Times New Roman" w:eastAsia="Calibri" w:hAnsi="Times New Roman" w:cs="Times New Roman"/>
      <w:b/>
      <w:sz w:val="28"/>
      <w:lang w:val="x-none" w:eastAsia="x-none"/>
    </w:rPr>
  </w:style>
  <w:style w:type="character" w:customStyle="1" w:styleId="NormalWebChar">
    <w:name w:val="Normal (Web) Char"/>
    <w:link w:val="NormalWeb"/>
    <w:uiPriority w:val="99"/>
    <w:locked/>
    <w:rsid w:val="00B01F2F"/>
    <w:rPr>
      <w:rFonts w:ascii="Times New Roman" w:eastAsia="MS Mincho" w:hAnsi="Times New Roman" w:cs="Times New Roman"/>
      <w:lang w:val="x-none" w:eastAsia="x-none"/>
    </w:rPr>
  </w:style>
  <w:style w:type="paragraph" w:styleId="FootnoteText">
    <w:name w:val="footnote text"/>
    <w:basedOn w:val="Normal"/>
    <w:link w:val="FootnoteTextChar"/>
    <w:uiPriority w:val="99"/>
    <w:unhideWhenUsed/>
    <w:rsid w:val="00A478C2"/>
    <w:rPr>
      <w:sz w:val="24"/>
      <w:szCs w:val="24"/>
    </w:rPr>
  </w:style>
  <w:style w:type="character" w:customStyle="1" w:styleId="FootnoteTextChar">
    <w:name w:val="Footnote Text Char"/>
    <w:basedOn w:val="DefaultParagraphFont"/>
    <w:link w:val="FootnoteText"/>
    <w:uiPriority w:val="99"/>
    <w:rsid w:val="00A478C2"/>
    <w:rPr>
      <w:rFonts w:ascii="Times New Roman" w:eastAsia="MS Mincho" w:hAnsi="Times New Roman" w:cs="Times New Roman"/>
    </w:rPr>
  </w:style>
  <w:style w:type="character" w:styleId="FootnoteReference">
    <w:name w:val="footnote reference"/>
    <w:basedOn w:val="DefaultParagraphFont"/>
    <w:uiPriority w:val="99"/>
    <w:unhideWhenUsed/>
    <w:rsid w:val="00A478C2"/>
    <w:rPr>
      <w:vertAlign w:val="superscript"/>
    </w:rPr>
  </w:style>
  <w:style w:type="paragraph" w:styleId="ListParagraph">
    <w:name w:val="List Paragraph"/>
    <w:aliases w:val="bullet 1,bullet,List Paragraph1,List Paragraph11,List Paragraph12,List Paragraph2,Thang2,VNA - List Paragraph,1.,Table Sequence"/>
    <w:basedOn w:val="Normal"/>
    <w:link w:val="ListParagraphChar"/>
    <w:uiPriority w:val="34"/>
    <w:qFormat/>
    <w:rsid w:val="00DB651F"/>
    <w:pPr>
      <w:ind w:left="720"/>
      <w:contextualSpacing/>
    </w:pPr>
    <w:rPr>
      <w:rFonts w:asciiTheme="minorHAnsi" w:eastAsiaTheme="minorEastAsia" w:hAnsiTheme="minorHAnsi" w:cstheme="minorBidi"/>
      <w:sz w:val="24"/>
      <w:szCs w:val="24"/>
    </w:rPr>
  </w:style>
  <w:style w:type="character" w:styleId="Hyperlink">
    <w:name w:val="Hyperlink"/>
    <w:basedOn w:val="DefaultParagraphFont"/>
    <w:uiPriority w:val="99"/>
    <w:unhideWhenUsed/>
    <w:rsid w:val="00DB651F"/>
    <w:rPr>
      <w:color w:val="0000FF" w:themeColor="hyperlink"/>
      <w:u w:val="single"/>
    </w:rPr>
  </w:style>
  <w:style w:type="character" w:customStyle="1" w:styleId="ListParagraphChar">
    <w:name w:val="List Paragraph Char"/>
    <w:aliases w:val="bullet 1 Char,bullet Char,List Paragraph1 Char,List Paragraph11 Char,List Paragraph12 Char,List Paragraph2 Char,Thang2 Char,VNA - List Paragraph Char,1. Char,Table Sequence Char"/>
    <w:basedOn w:val="DefaultParagraphFont"/>
    <w:link w:val="ListParagraph"/>
    <w:uiPriority w:val="34"/>
    <w:rsid w:val="00DB651F"/>
  </w:style>
  <w:style w:type="table" w:styleId="TableGrid">
    <w:name w:val="Table Grid"/>
    <w:basedOn w:val="TableNormal"/>
    <w:uiPriority w:val="59"/>
    <w:rsid w:val="00AC47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semiHidden/>
    <w:rsid w:val="00A61306"/>
    <w:rPr>
      <w:sz w:val="16"/>
      <w:szCs w:val="16"/>
    </w:rPr>
  </w:style>
  <w:style w:type="paragraph" w:styleId="CommentText">
    <w:name w:val="annotation text"/>
    <w:basedOn w:val="Normal"/>
    <w:link w:val="CommentTextChar"/>
    <w:semiHidden/>
    <w:rsid w:val="00A61306"/>
    <w:rPr>
      <w:sz w:val="20"/>
      <w:szCs w:val="20"/>
    </w:rPr>
  </w:style>
  <w:style w:type="character" w:customStyle="1" w:styleId="CommentTextChar">
    <w:name w:val="Comment Text Char"/>
    <w:basedOn w:val="DefaultParagraphFont"/>
    <w:link w:val="CommentText"/>
    <w:semiHidden/>
    <w:rsid w:val="00A61306"/>
    <w:rPr>
      <w:rFonts w:ascii="Times New Roman" w:eastAsia="MS Mincho" w:hAnsi="Times New Roman" w:cs="Times New Roman"/>
      <w:sz w:val="20"/>
      <w:szCs w:val="20"/>
    </w:rPr>
  </w:style>
  <w:style w:type="paragraph" w:styleId="BalloonText">
    <w:name w:val="Balloon Text"/>
    <w:basedOn w:val="Normal"/>
    <w:link w:val="BalloonTextChar"/>
    <w:uiPriority w:val="99"/>
    <w:semiHidden/>
    <w:unhideWhenUsed/>
    <w:rsid w:val="00A6130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61306"/>
    <w:rPr>
      <w:rFonts w:ascii="Lucida Grande" w:eastAsia="MS Mincho" w:hAnsi="Lucida Grande" w:cs="Lucida Grande"/>
      <w:sz w:val="18"/>
      <w:szCs w:val="18"/>
    </w:rPr>
  </w:style>
  <w:style w:type="paragraph" w:styleId="Footer">
    <w:name w:val="footer"/>
    <w:basedOn w:val="Normal"/>
    <w:link w:val="FooterChar"/>
    <w:uiPriority w:val="99"/>
    <w:unhideWhenUsed/>
    <w:rsid w:val="000C6BC8"/>
    <w:pPr>
      <w:tabs>
        <w:tab w:val="center" w:pos="4320"/>
        <w:tab w:val="right" w:pos="8640"/>
      </w:tabs>
    </w:pPr>
  </w:style>
  <w:style w:type="character" w:customStyle="1" w:styleId="FooterChar">
    <w:name w:val="Footer Char"/>
    <w:basedOn w:val="DefaultParagraphFont"/>
    <w:link w:val="Footer"/>
    <w:uiPriority w:val="99"/>
    <w:rsid w:val="000C6BC8"/>
    <w:rPr>
      <w:rFonts w:ascii="Times New Roman" w:eastAsia="MS Mincho" w:hAnsi="Times New Roman" w:cs="Times New Roman"/>
      <w:sz w:val="28"/>
      <w:szCs w:val="28"/>
    </w:rPr>
  </w:style>
  <w:style w:type="character" w:styleId="PageNumber">
    <w:name w:val="page number"/>
    <w:basedOn w:val="DefaultParagraphFont"/>
    <w:uiPriority w:val="99"/>
    <w:semiHidden/>
    <w:unhideWhenUsed/>
    <w:rsid w:val="000C6BC8"/>
  </w:style>
  <w:style w:type="paragraph" w:styleId="Caption">
    <w:name w:val="caption"/>
    <w:basedOn w:val="Normal"/>
    <w:next w:val="Normal"/>
    <w:qFormat/>
    <w:rsid w:val="00786F83"/>
    <w:pPr>
      <w:spacing w:after="120"/>
      <w:ind w:firstLine="567"/>
      <w:jc w:val="both"/>
    </w:pPr>
    <w:rPr>
      <w:color w:val="0000FF"/>
      <w:sz w:val="24"/>
      <w:szCs w:val="24"/>
    </w:rPr>
  </w:style>
  <w:style w:type="paragraph" w:styleId="CommentSubject">
    <w:name w:val="annotation subject"/>
    <w:basedOn w:val="CommentText"/>
    <w:next w:val="CommentText"/>
    <w:link w:val="CommentSubjectChar"/>
    <w:uiPriority w:val="99"/>
    <w:semiHidden/>
    <w:unhideWhenUsed/>
    <w:rsid w:val="00EF050B"/>
    <w:rPr>
      <w:b/>
      <w:bCs/>
    </w:rPr>
  </w:style>
  <w:style w:type="character" w:customStyle="1" w:styleId="CommentSubjectChar">
    <w:name w:val="Comment Subject Char"/>
    <w:basedOn w:val="CommentTextChar"/>
    <w:link w:val="CommentSubject"/>
    <w:uiPriority w:val="99"/>
    <w:semiHidden/>
    <w:rsid w:val="00EF050B"/>
    <w:rPr>
      <w:rFonts w:ascii="Times New Roman" w:eastAsia="MS Mincho"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42583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3" Type="http://schemas.microsoft.com/office/2011/relationships/people" Target="people.xml"/><Relationship Id="rId14" Type="http://schemas.microsoft.com/office/2011/relationships/commentsExtended" Target="commentsExtended.xml"/><Relationship Id="rId15"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5</Pages>
  <Words>1203</Words>
  <Characters>6863</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NHQuang &amp; Associates</Company>
  <LinksUpToDate>false</LinksUpToDate>
  <CharactersWithSpaces>8050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NHQuang</dc:creator>
  <cp:keywords/>
  <dc:description/>
  <cp:lastModifiedBy>NHQuang</cp:lastModifiedBy>
  <cp:revision>76</cp:revision>
  <dcterms:created xsi:type="dcterms:W3CDTF">2019-09-30T17:05:00Z</dcterms:created>
  <dcterms:modified xsi:type="dcterms:W3CDTF">2019-10-01T02:30:00Z</dcterms:modified>
</cp:coreProperties>
</file>