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FB" w:rsidRDefault="00171972" w:rsidP="00BD25AD">
      <w:pPr>
        <w:spacing w:after="0"/>
        <w:jc w:val="center"/>
        <w:rPr>
          <w:b/>
        </w:rPr>
      </w:pPr>
      <w:r>
        <w:rPr>
          <w:b/>
        </w:rPr>
        <w:t>THUYẾT MINH</w:t>
      </w:r>
      <w:r w:rsidR="00CB7902" w:rsidRPr="00A959F3">
        <w:rPr>
          <w:b/>
        </w:rPr>
        <w:t xml:space="preserve"> NỘI DUNG SỬA ĐỔI THÔNG TƯ SỐ 278/2016/TT-BTC</w:t>
      </w:r>
    </w:p>
    <w:p w:rsidR="009A52E7" w:rsidRDefault="009A52E7" w:rsidP="00BD25AD">
      <w:pPr>
        <w:spacing w:after="0"/>
        <w:jc w:val="center"/>
        <w:rPr>
          <w:i/>
        </w:rPr>
      </w:pPr>
      <w:r w:rsidRPr="009A52E7">
        <w:rPr>
          <w:i/>
        </w:rPr>
        <w:t>(</w:t>
      </w:r>
      <w:proofErr w:type="spellStart"/>
      <w:r w:rsidRPr="009A52E7">
        <w:rPr>
          <w:i/>
        </w:rPr>
        <w:t>Kèm</w:t>
      </w:r>
      <w:proofErr w:type="spellEnd"/>
      <w:r w:rsidRPr="009A52E7">
        <w:rPr>
          <w:i/>
        </w:rPr>
        <w:t xml:space="preserve"> </w:t>
      </w:r>
      <w:proofErr w:type="spellStart"/>
      <w:proofErr w:type="gramStart"/>
      <w:r w:rsidRPr="009A52E7">
        <w:rPr>
          <w:i/>
        </w:rPr>
        <w:t>theo</w:t>
      </w:r>
      <w:proofErr w:type="spellEnd"/>
      <w:proofErr w:type="gramEnd"/>
      <w:r w:rsidRPr="009A52E7">
        <w:rPr>
          <w:i/>
        </w:rPr>
        <w:t xml:space="preserve"> </w:t>
      </w:r>
      <w:proofErr w:type="spellStart"/>
      <w:r w:rsidRPr="009A52E7">
        <w:rPr>
          <w:i/>
        </w:rPr>
        <w:t>công</w:t>
      </w:r>
      <w:proofErr w:type="spellEnd"/>
      <w:r w:rsidRPr="009A52E7">
        <w:rPr>
          <w:i/>
        </w:rPr>
        <w:t xml:space="preserve"> </w:t>
      </w:r>
      <w:proofErr w:type="spellStart"/>
      <w:r w:rsidRPr="009A52E7">
        <w:rPr>
          <w:i/>
        </w:rPr>
        <w:t>văn</w:t>
      </w:r>
      <w:proofErr w:type="spellEnd"/>
      <w:r w:rsidRPr="009A52E7">
        <w:rPr>
          <w:i/>
        </w:rPr>
        <w:t xml:space="preserve"> </w:t>
      </w:r>
      <w:proofErr w:type="spellStart"/>
      <w:r w:rsidRPr="009A52E7">
        <w:rPr>
          <w:i/>
        </w:rPr>
        <w:t>số</w:t>
      </w:r>
      <w:proofErr w:type="spellEnd"/>
      <w:r w:rsidRPr="009A52E7">
        <w:rPr>
          <w:i/>
        </w:rPr>
        <w:t xml:space="preserve"> ……../BTC</w:t>
      </w:r>
      <w:r>
        <w:rPr>
          <w:i/>
        </w:rPr>
        <w:t>-</w:t>
      </w:r>
      <w:r w:rsidRPr="009A52E7">
        <w:rPr>
          <w:i/>
        </w:rPr>
        <w:t xml:space="preserve">CST </w:t>
      </w:r>
      <w:proofErr w:type="spellStart"/>
      <w:r w:rsidRPr="009A52E7">
        <w:rPr>
          <w:i/>
        </w:rPr>
        <w:t>ngày</w:t>
      </w:r>
      <w:proofErr w:type="spellEnd"/>
      <w:r w:rsidRPr="009A52E7">
        <w:rPr>
          <w:i/>
        </w:rPr>
        <w:t xml:space="preserve">……./8/2019 </w:t>
      </w:r>
      <w:proofErr w:type="spellStart"/>
      <w:r w:rsidRPr="009A52E7">
        <w:rPr>
          <w:i/>
        </w:rPr>
        <w:t>của</w:t>
      </w:r>
      <w:proofErr w:type="spellEnd"/>
      <w:r w:rsidRPr="009A52E7">
        <w:rPr>
          <w:i/>
        </w:rPr>
        <w:t xml:space="preserve"> </w:t>
      </w:r>
      <w:proofErr w:type="spellStart"/>
      <w:r w:rsidRPr="009A52E7">
        <w:rPr>
          <w:i/>
        </w:rPr>
        <w:t>Bộ</w:t>
      </w:r>
      <w:proofErr w:type="spellEnd"/>
      <w:r w:rsidRPr="009A52E7">
        <w:rPr>
          <w:i/>
        </w:rPr>
        <w:t xml:space="preserve"> </w:t>
      </w:r>
      <w:proofErr w:type="spellStart"/>
      <w:r w:rsidRPr="009A52E7">
        <w:rPr>
          <w:i/>
        </w:rPr>
        <w:t>Tài</w:t>
      </w:r>
      <w:proofErr w:type="spellEnd"/>
      <w:r w:rsidRPr="009A52E7">
        <w:rPr>
          <w:i/>
        </w:rPr>
        <w:t xml:space="preserve"> </w:t>
      </w:r>
      <w:proofErr w:type="spellStart"/>
      <w:r w:rsidRPr="009A52E7">
        <w:rPr>
          <w:i/>
        </w:rPr>
        <w:t>chính</w:t>
      </w:r>
      <w:proofErr w:type="spellEnd"/>
      <w:r w:rsidRPr="009A52E7">
        <w:rPr>
          <w:i/>
        </w:rPr>
        <w:t>)</w:t>
      </w:r>
    </w:p>
    <w:p w:rsidR="009A52E7" w:rsidRPr="009A52E7" w:rsidRDefault="009A52E7" w:rsidP="00BD25AD">
      <w:pPr>
        <w:spacing w:after="0"/>
        <w:jc w:val="center"/>
        <w:rPr>
          <w:rFonts w:ascii=".VnFree" w:hAnsi=".VnFree"/>
        </w:rPr>
      </w:pPr>
      <w:r w:rsidRPr="009A52E7">
        <w:rPr>
          <w:rFonts w:ascii=".VnFree" w:hAnsi=".VnFree"/>
        </w:rPr>
        <w:t>--------------</w:t>
      </w:r>
      <w:r>
        <w:rPr>
          <w:rFonts w:ascii=".VnFree" w:hAnsi=".VnFree"/>
        </w:rPr>
        <w:t>-----------------</w:t>
      </w:r>
      <w:r w:rsidRPr="009A52E7">
        <w:rPr>
          <w:rFonts w:ascii=".VnFree" w:hAnsi=".VnFree"/>
        </w:rPr>
        <w:t>-------------------</w:t>
      </w:r>
    </w:p>
    <w:p w:rsidR="00A959F3" w:rsidRPr="00990634" w:rsidRDefault="00A959F3" w:rsidP="00A959F3">
      <w:pPr>
        <w:spacing w:before="360"/>
        <w:ind w:firstLine="720"/>
        <w:jc w:val="both"/>
        <w:rPr>
          <w:b/>
        </w:rPr>
      </w:pPr>
      <w:proofErr w:type="gramStart"/>
      <w:r w:rsidRPr="00990634">
        <w:rPr>
          <w:b/>
        </w:rPr>
        <w:t xml:space="preserve">1. </w:t>
      </w:r>
      <w:proofErr w:type="spellStart"/>
      <w:r w:rsidRPr="00990634">
        <w:rPr>
          <w:b/>
        </w:rPr>
        <w:t>Về</w:t>
      </w:r>
      <w:proofErr w:type="spellEnd"/>
      <w:r w:rsidRPr="00990634">
        <w:rPr>
          <w:b/>
        </w:rPr>
        <w:t xml:space="preserve"> </w:t>
      </w:r>
      <w:proofErr w:type="spellStart"/>
      <w:r w:rsidR="00BD25AD" w:rsidRPr="00990634">
        <w:rPr>
          <w:b/>
        </w:rPr>
        <w:t>việc</w:t>
      </w:r>
      <w:proofErr w:type="spellEnd"/>
      <w:r w:rsidR="00BD25AD" w:rsidRPr="00990634">
        <w:rPr>
          <w:b/>
        </w:rPr>
        <w:t xml:space="preserve"> </w:t>
      </w:r>
      <w:proofErr w:type="spellStart"/>
      <w:r w:rsidRPr="00990634">
        <w:rPr>
          <w:b/>
        </w:rPr>
        <w:t>điều</w:t>
      </w:r>
      <w:proofErr w:type="spellEnd"/>
      <w:r w:rsidRPr="00990634">
        <w:rPr>
          <w:b/>
        </w:rPr>
        <w:t xml:space="preserve"> </w:t>
      </w:r>
      <w:proofErr w:type="spellStart"/>
      <w:r w:rsidRPr="00990634">
        <w:rPr>
          <w:b/>
        </w:rPr>
        <w:t>chỉnh</w:t>
      </w:r>
      <w:proofErr w:type="spellEnd"/>
      <w:r w:rsidRPr="00990634">
        <w:rPr>
          <w:b/>
        </w:rPr>
        <w:t xml:space="preserve"> </w:t>
      </w:r>
      <w:proofErr w:type="spellStart"/>
      <w:r w:rsidRPr="00990634">
        <w:rPr>
          <w:b/>
        </w:rPr>
        <w:t>giảm</w:t>
      </w:r>
      <w:proofErr w:type="spellEnd"/>
      <w:r w:rsidRPr="00990634">
        <w:rPr>
          <w:b/>
        </w:rPr>
        <w:t xml:space="preserve"> </w:t>
      </w:r>
      <w:proofErr w:type="spellStart"/>
      <w:r w:rsidRPr="00990634">
        <w:rPr>
          <w:b/>
        </w:rPr>
        <w:t>mức</w:t>
      </w:r>
      <w:proofErr w:type="spellEnd"/>
      <w:r w:rsidRPr="00990634">
        <w:rPr>
          <w:b/>
        </w:rPr>
        <w:t xml:space="preserve"> </w:t>
      </w:r>
      <w:proofErr w:type="spellStart"/>
      <w:r w:rsidRPr="00990634">
        <w:rPr>
          <w:b/>
        </w:rPr>
        <w:t>phí</w:t>
      </w:r>
      <w:proofErr w:type="spellEnd"/>
      <w:r w:rsidRPr="00990634">
        <w:rPr>
          <w:b/>
        </w:rPr>
        <w:t xml:space="preserve"> </w:t>
      </w:r>
      <w:proofErr w:type="spellStart"/>
      <w:r w:rsidRPr="00990634">
        <w:rPr>
          <w:b/>
        </w:rPr>
        <w:t>thẩm</w:t>
      </w:r>
      <w:proofErr w:type="spellEnd"/>
      <w:r w:rsidRPr="00990634">
        <w:rPr>
          <w:b/>
        </w:rPr>
        <w:t xml:space="preserve"> </w:t>
      </w:r>
      <w:proofErr w:type="spellStart"/>
      <w:r w:rsidRPr="00990634">
        <w:rPr>
          <w:b/>
        </w:rPr>
        <w:t>định</w:t>
      </w:r>
      <w:proofErr w:type="spellEnd"/>
      <w:r w:rsidRPr="00990634">
        <w:rPr>
          <w:b/>
        </w:rPr>
        <w:t xml:space="preserve"> </w:t>
      </w:r>
      <w:proofErr w:type="spellStart"/>
      <w:r w:rsidRPr="00990634">
        <w:rPr>
          <w:b/>
        </w:rPr>
        <w:t>cấp</w:t>
      </w:r>
      <w:proofErr w:type="spellEnd"/>
      <w:r w:rsidRPr="00990634">
        <w:rPr>
          <w:b/>
        </w:rPr>
        <w:t xml:space="preserve"> </w:t>
      </w:r>
      <w:proofErr w:type="spellStart"/>
      <w:r w:rsidRPr="00990634">
        <w:rPr>
          <w:b/>
        </w:rPr>
        <w:t>giấy</w:t>
      </w:r>
      <w:proofErr w:type="spellEnd"/>
      <w:r w:rsidRPr="00990634">
        <w:rPr>
          <w:b/>
        </w:rPr>
        <w:t xml:space="preserve"> </w:t>
      </w:r>
      <w:proofErr w:type="spellStart"/>
      <w:r w:rsidRPr="00990634">
        <w:rPr>
          <w:b/>
        </w:rPr>
        <w:t>phép</w:t>
      </w:r>
      <w:proofErr w:type="spellEnd"/>
      <w:r w:rsidRPr="00990634">
        <w:rPr>
          <w:b/>
        </w:rPr>
        <w:t xml:space="preserve"> </w:t>
      </w:r>
      <w:proofErr w:type="spellStart"/>
      <w:r w:rsidRPr="00990634">
        <w:rPr>
          <w:b/>
        </w:rPr>
        <w:t>hoạt</w:t>
      </w:r>
      <w:proofErr w:type="spellEnd"/>
      <w:r w:rsidRPr="00990634">
        <w:rPr>
          <w:b/>
        </w:rPr>
        <w:t xml:space="preserve"> </w:t>
      </w:r>
      <w:proofErr w:type="spellStart"/>
      <w:r w:rsidRPr="00990634">
        <w:rPr>
          <w:b/>
        </w:rPr>
        <w:t>động</w:t>
      </w:r>
      <w:proofErr w:type="spellEnd"/>
      <w:r w:rsidRPr="00990634">
        <w:rPr>
          <w:b/>
        </w:rPr>
        <w:t xml:space="preserve"> </w:t>
      </w:r>
      <w:proofErr w:type="spellStart"/>
      <w:r w:rsidRPr="00990634">
        <w:rPr>
          <w:b/>
        </w:rPr>
        <w:t>đối</w:t>
      </w:r>
      <w:proofErr w:type="spellEnd"/>
      <w:r w:rsidRPr="00990634">
        <w:rPr>
          <w:b/>
        </w:rPr>
        <w:t xml:space="preserve"> </w:t>
      </w:r>
      <w:proofErr w:type="spellStart"/>
      <w:r w:rsidRPr="00990634">
        <w:rPr>
          <w:b/>
        </w:rPr>
        <w:t>với</w:t>
      </w:r>
      <w:proofErr w:type="spellEnd"/>
      <w:r w:rsidRPr="00990634">
        <w:rPr>
          <w:b/>
        </w:rPr>
        <w:t xml:space="preserve"> </w:t>
      </w:r>
      <w:proofErr w:type="spellStart"/>
      <w:r w:rsidRPr="00990634">
        <w:rPr>
          <w:b/>
        </w:rPr>
        <w:t>Trạm</w:t>
      </w:r>
      <w:proofErr w:type="spellEnd"/>
      <w:r w:rsidRPr="00990634">
        <w:rPr>
          <w:b/>
        </w:rPr>
        <w:t xml:space="preserve"> y </w:t>
      </w:r>
      <w:proofErr w:type="spellStart"/>
      <w:r w:rsidRPr="00990634">
        <w:rPr>
          <w:b/>
        </w:rPr>
        <w:t>tế</w:t>
      </w:r>
      <w:proofErr w:type="spellEnd"/>
      <w:r w:rsidRPr="00990634">
        <w:rPr>
          <w:b/>
        </w:rPr>
        <w:t xml:space="preserve"> </w:t>
      </w:r>
      <w:proofErr w:type="spellStart"/>
      <w:r w:rsidRPr="00990634">
        <w:rPr>
          <w:b/>
        </w:rPr>
        <w:t>cấp</w:t>
      </w:r>
      <w:proofErr w:type="spellEnd"/>
      <w:r w:rsidRPr="00990634">
        <w:rPr>
          <w:b/>
        </w:rPr>
        <w:t xml:space="preserve"> </w:t>
      </w:r>
      <w:proofErr w:type="spellStart"/>
      <w:r w:rsidRPr="00990634">
        <w:rPr>
          <w:b/>
        </w:rPr>
        <w:t>xã</w:t>
      </w:r>
      <w:proofErr w:type="spellEnd"/>
      <w:r w:rsidRPr="00990634">
        <w:rPr>
          <w:b/>
        </w:rPr>
        <w:t xml:space="preserve">, </w:t>
      </w:r>
      <w:proofErr w:type="spellStart"/>
      <w:r w:rsidRPr="00990634">
        <w:rPr>
          <w:b/>
        </w:rPr>
        <w:t>Trạm</w:t>
      </w:r>
      <w:proofErr w:type="spellEnd"/>
      <w:r w:rsidRPr="00990634">
        <w:rPr>
          <w:b/>
        </w:rPr>
        <w:t xml:space="preserve"> </w:t>
      </w:r>
      <w:proofErr w:type="spellStart"/>
      <w:r w:rsidRPr="00990634">
        <w:rPr>
          <w:b/>
        </w:rPr>
        <w:t>xá</w:t>
      </w:r>
      <w:proofErr w:type="spellEnd"/>
      <w:r w:rsidRPr="00990634">
        <w:rPr>
          <w:b/>
        </w:rPr>
        <w:t xml:space="preserve"> </w:t>
      </w:r>
      <w:proofErr w:type="spellStart"/>
      <w:r w:rsidRPr="00990634">
        <w:rPr>
          <w:b/>
        </w:rPr>
        <w:t>và</w:t>
      </w:r>
      <w:proofErr w:type="spellEnd"/>
      <w:r w:rsidRPr="00990634">
        <w:rPr>
          <w:b/>
        </w:rPr>
        <w:t xml:space="preserve"> </w:t>
      </w:r>
      <w:proofErr w:type="spellStart"/>
      <w:r w:rsidRPr="00990634">
        <w:rPr>
          <w:b/>
        </w:rPr>
        <w:t>tương</w:t>
      </w:r>
      <w:proofErr w:type="spellEnd"/>
      <w:r w:rsidRPr="00990634">
        <w:rPr>
          <w:b/>
        </w:rPr>
        <w:t xml:space="preserve"> </w:t>
      </w:r>
      <w:proofErr w:type="spellStart"/>
      <w:r w:rsidRPr="00990634">
        <w:rPr>
          <w:b/>
        </w:rPr>
        <w:t>đương</w:t>
      </w:r>
      <w:proofErr w:type="spellEnd"/>
      <w:r w:rsidRPr="00990634">
        <w:rPr>
          <w:b/>
        </w:rPr>
        <w:t xml:space="preserve"> </w:t>
      </w:r>
      <w:proofErr w:type="spellStart"/>
      <w:r w:rsidRPr="00990634">
        <w:rPr>
          <w:b/>
        </w:rPr>
        <w:t>khi</w:t>
      </w:r>
      <w:proofErr w:type="spellEnd"/>
      <w:r w:rsidRPr="00990634">
        <w:rPr>
          <w:b/>
        </w:rPr>
        <w:t xml:space="preserve"> </w:t>
      </w:r>
      <w:proofErr w:type="spellStart"/>
      <w:r w:rsidRPr="00990634">
        <w:rPr>
          <w:b/>
        </w:rPr>
        <w:t>thay</w:t>
      </w:r>
      <w:proofErr w:type="spellEnd"/>
      <w:r w:rsidRPr="00990634">
        <w:rPr>
          <w:b/>
        </w:rPr>
        <w:t xml:space="preserve"> </w:t>
      </w:r>
      <w:proofErr w:type="spellStart"/>
      <w:r w:rsidRPr="00990634">
        <w:rPr>
          <w:b/>
        </w:rPr>
        <w:t>đổi</w:t>
      </w:r>
      <w:proofErr w:type="spellEnd"/>
      <w:r w:rsidRPr="00990634">
        <w:rPr>
          <w:b/>
        </w:rPr>
        <w:t xml:space="preserve"> </w:t>
      </w:r>
      <w:proofErr w:type="spellStart"/>
      <w:r w:rsidRPr="00990634">
        <w:rPr>
          <w:b/>
        </w:rPr>
        <w:t>phạm</w:t>
      </w:r>
      <w:proofErr w:type="spellEnd"/>
      <w:r w:rsidRPr="00990634">
        <w:rPr>
          <w:b/>
        </w:rPr>
        <w:t xml:space="preserve"> vi </w:t>
      </w:r>
      <w:proofErr w:type="spellStart"/>
      <w:r w:rsidRPr="00990634">
        <w:rPr>
          <w:b/>
        </w:rPr>
        <w:t>hoạt</w:t>
      </w:r>
      <w:proofErr w:type="spellEnd"/>
      <w:r w:rsidRPr="00990634">
        <w:rPr>
          <w:b/>
        </w:rPr>
        <w:t xml:space="preserve"> </w:t>
      </w:r>
      <w:proofErr w:type="spellStart"/>
      <w:r w:rsidRPr="00990634">
        <w:rPr>
          <w:b/>
        </w:rPr>
        <w:t>động</w:t>
      </w:r>
      <w:proofErr w:type="spellEnd"/>
      <w:r w:rsidRPr="00990634">
        <w:rPr>
          <w:b/>
        </w:rPr>
        <w:t xml:space="preserve"> </w:t>
      </w:r>
      <w:proofErr w:type="spellStart"/>
      <w:r w:rsidRPr="00990634">
        <w:rPr>
          <w:b/>
        </w:rPr>
        <w:t>chuyên</w:t>
      </w:r>
      <w:proofErr w:type="spellEnd"/>
      <w:r w:rsidRPr="00990634">
        <w:rPr>
          <w:b/>
        </w:rPr>
        <w:t xml:space="preserve"> </w:t>
      </w:r>
      <w:proofErr w:type="spellStart"/>
      <w:r w:rsidRPr="00990634">
        <w:rPr>
          <w:b/>
        </w:rPr>
        <w:t>môn</w:t>
      </w:r>
      <w:proofErr w:type="spellEnd"/>
      <w:proofErr w:type="gramEnd"/>
      <w:r w:rsidRPr="00990634">
        <w:rPr>
          <w:b/>
        </w:rPr>
        <w:t xml:space="preserve">, </w:t>
      </w:r>
      <w:proofErr w:type="spellStart"/>
      <w:r w:rsidRPr="00990634">
        <w:rPr>
          <w:b/>
        </w:rPr>
        <w:t>bổ</w:t>
      </w:r>
      <w:proofErr w:type="spellEnd"/>
      <w:r w:rsidRPr="00990634">
        <w:rPr>
          <w:b/>
        </w:rPr>
        <w:t xml:space="preserve"> sung </w:t>
      </w:r>
      <w:proofErr w:type="spellStart"/>
      <w:r w:rsidRPr="00990634">
        <w:rPr>
          <w:b/>
        </w:rPr>
        <w:t>danh</w:t>
      </w:r>
      <w:proofErr w:type="spellEnd"/>
      <w:r w:rsidRPr="00990634">
        <w:rPr>
          <w:b/>
        </w:rPr>
        <w:t xml:space="preserve"> </w:t>
      </w:r>
      <w:proofErr w:type="spellStart"/>
      <w:r w:rsidRPr="00990634">
        <w:rPr>
          <w:b/>
        </w:rPr>
        <w:t>mục</w:t>
      </w:r>
      <w:proofErr w:type="spellEnd"/>
      <w:r w:rsidRPr="00990634">
        <w:rPr>
          <w:b/>
        </w:rPr>
        <w:t xml:space="preserve"> </w:t>
      </w:r>
      <w:proofErr w:type="spellStart"/>
      <w:r w:rsidRPr="00990634">
        <w:rPr>
          <w:b/>
        </w:rPr>
        <w:t>chuyên</w:t>
      </w:r>
      <w:proofErr w:type="spellEnd"/>
      <w:r w:rsidRPr="00990634">
        <w:rPr>
          <w:b/>
        </w:rPr>
        <w:t xml:space="preserve"> </w:t>
      </w:r>
      <w:proofErr w:type="spellStart"/>
      <w:r w:rsidRPr="00990634">
        <w:rPr>
          <w:b/>
        </w:rPr>
        <w:t>môn</w:t>
      </w:r>
      <w:proofErr w:type="spellEnd"/>
      <w:r w:rsidRPr="00990634">
        <w:rPr>
          <w:b/>
        </w:rPr>
        <w:t xml:space="preserve"> </w:t>
      </w:r>
      <w:proofErr w:type="spellStart"/>
      <w:r w:rsidRPr="00990634">
        <w:rPr>
          <w:b/>
        </w:rPr>
        <w:t>kỹ</w:t>
      </w:r>
      <w:proofErr w:type="spellEnd"/>
      <w:r w:rsidRPr="00990634">
        <w:rPr>
          <w:b/>
        </w:rPr>
        <w:t xml:space="preserve"> </w:t>
      </w:r>
      <w:proofErr w:type="spellStart"/>
      <w:r w:rsidRPr="00990634">
        <w:rPr>
          <w:b/>
        </w:rPr>
        <w:t>thuật</w:t>
      </w:r>
      <w:proofErr w:type="spellEnd"/>
      <w:r w:rsidRPr="00990634">
        <w:rPr>
          <w:b/>
        </w:rPr>
        <w:t xml:space="preserve"> </w:t>
      </w:r>
    </w:p>
    <w:p w:rsidR="00D15003" w:rsidRPr="00007592" w:rsidRDefault="00D15003" w:rsidP="00D15003">
      <w:pPr>
        <w:ind w:firstLine="720"/>
        <w:jc w:val="right"/>
        <w:rPr>
          <w:i/>
          <w:szCs w:val="28"/>
        </w:rPr>
      </w:pPr>
      <w:proofErr w:type="spellStart"/>
      <w:r>
        <w:rPr>
          <w:i/>
          <w:szCs w:val="28"/>
        </w:rPr>
        <w:t>Đơn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vị</w:t>
      </w:r>
      <w:proofErr w:type="spellEnd"/>
      <w:r w:rsidRPr="00007592">
        <w:rPr>
          <w:i/>
          <w:szCs w:val="28"/>
        </w:rPr>
        <w:t xml:space="preserve">: </w:t>
      </w:r>
      <w:proofErr w:type="gramStart"/>
      <w:r w:rsidRPr="00007592">
        <w:rPr>
          <w:i/>
          <w:szCs w:val="28"/>
        </w:rPr>
        <w:t xml:space="preserve">1.000 </w:t>
      </w:r>
      <w:proofErr w:type="spellStart"/>
      <w:r w:rsidRPr="00007592">
        <w:rPr>
          <w:i/>
          <w:szCs w:val="28"/>
        </w:rPr>
        <w:t>đồng</w:t>
      </w:r>
      <w:proofErr w:type="spellEnd"/>
      <w:r>
        <w:rPr>
          <w:i/>
          <w:szCs w:val="28"/>
        </w:rPr>
        <w:t>/</w:t>
      </w:r>
      <w:proofErr w:type="spellStart"/>
      <w:r>
        <w:rPr>
          <w:i/>
          <w:szCs w:val="28"/>
        </w:rPr>
        <w:t>lần</w:t>
      </w:r>
      <w:proofErr w:type="spellEnd"/>
      <w:proofErr w:type="gramEnd"/>
    </w:p>
    <w:tbl>
      <w:tblPr>
        <w:tblStyle w:val="TableGrid"/>
        <w:tblW w:w="15300" w:type="dxa"/>
        <w:tblInd w:w="108" w:type="dxa"/>
        <w:tblLayout w:type="fixed"/>
        <w:tblLook w:val="04A0"/>
      </w:tblPr>
      <w:tblGrid>
        <w:gridCol w:w="630"/>
        <w:gridCol w:w="2520"/>
        <w:gridCol w:w="1134"/>
        <w:gridCol w:w="1134"/>
        <w:gridCol w:w="1417"/>
        <w:gridCol w:w="8465"/>
      </w:tblGrid>
      <w:tr w:rsidR="002D5324" w:rsidRPr="00906B92" w:rsidTr="00C851C4">
        <w:tc>
          <w:tcPr>
            <w:tcW w:w="630" w:type="dxa"/>
            <w:vAlign w:val="center"/>
          </w:tcPr>
          <w:p w:rsidR="002D5324" w:rsidRPr="00906B92" w:rsidRDefault="002D5324" w:rsidP="00990634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proofErr w:type="spellStart"/>
            <w:r w:rsidRPr="00906B92">
              <w:rPr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2520" w:type="dxa"/>
            <w:vAlign w:val="center"/>
          </w:tcPr>
          <w:p w:rsidR="002D5324" w:rsidRPr="00906B92" w:rsidRDefault="002D5324" w:rsidP="009906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06B92">
              <w:rPr>
                <w:b/>
                <w:sz w:val="26"/>
                <w:szCs w:val="26"/>
              </w:rPr>
              <w:t>Tên</w:t>
            </w:r>
            <w:proofErr w:type="spellEnd"/>
            <w:r w:rsidRPr="00906B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/>
                <w:sz w:val="26"/>
                <w:szCs w:val="26"/>
              </w:rPr>
              <w:t>khoản</w:t>
            </w:r>
            <w:proofErr w:type="spellEnd"/>
            <w:r w:rsidRPr="00906B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/>
                <w:sz w:val="26"/>
                <w:szCs w:val="26"/>
              </w:rPr>
              <w:t>phí</w:t>
            </w:r>
            <w:proofErr w:type="spellEnd"/>
          </w:p>
        </w:tc>
        <w:tc>
          <w:tcPr>
            <w:tcW w:w="1134" w:type="dxa"/>
            <w:vAlign w:val="center"/>
          </w:tcPr>
          <w:p w:rsidR="002D5324" w:rsidRPr="00906B92" w:rsidRDefault="002D5324" w:rsidP="009906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06B92">
              <w:rPr>
                <w:b/>
                <w:sz w:val="26"/>
                <w:szCs w:val="26"/>
              </w:rPr>
              <w:t>Thông</w:t>
            </w:r>
            <w:proofErr w:type="spellEnd"/>
            <w:r w:rsidRPr="00906B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/>
                <w:sz w:val="26"/>
                <w:szCs w:val="26"/>
              </w:rPr>
              <w:t>tư</w:t>
            </w:r>
            <w:proofErr w:type="spellEnd"/>
            <w:r w:rsidRPr="00906B92">
              <w:rPr>
                <w:b/>
                <w:sz w:val="26"/>
                <w:szCs w:val="26"/>
              </w:rPr>
              <w:t xml:space="preserve"> 278</w:t>
            </w:r>
          </w:p>
        </w:tc>
        <w:tc>
          <w:tcPr>
            <w:tcW w:w="1134" w:type="dxa"/>
            <w:vAlign w:val="center"/>
          </w:tcPr>
          <w:p w:rsidR="002D5324" w:rsidRPr="00906B92" w:rsidRDefault="002D5324" w:rsidP="009906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06B92">
              <w:rPr>
                <w:b/>
                <w:sz w:val="26"/>
                <w:szCs w:val="26"/>
              </w:rPr>
              <w:t>Đề</w:t>
            </w:r>
            <w:proofErr w:type="spellEnd"/>
            <w:r w:rsidRPr="00906B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/>
                <w:sz w:val="26"/>
                <w:szCs w:val="26"/>
              </w:rPr>
              <w:t>xuất</w:t>
            </w:r>
            <w:proofErr w:type="spellEnd"/>
            <w:r w:rsidRPr="00906B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/>
                <w:sz w:val="26"/>
                <w:szCs w:val="26"/>
              </w:rPr>
              <w:t>của</w:t>
            </w:r>
            <w:proofErr w:type="spellEnd"/>
            <w:r w:rsidRPr="00906B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/>
                <w:sz w:val="26"/>
                <w:szCs w:val="26"/>
              </w:rPr>
              <w:t>Bộ</w:t>
            </w:r>
            <w:proofErr w:type="spellEnd"/>
            <w:r w:rsidRPr="00906B92">
              <w:rPr>
                <w:b/>
                <w:sz w:val="26"/>
                <w:szCs w:val="26"/>
              </w:rPr>
              <w:t xml:space="preserve"> Y </w:t>
            </w:r>
            <w:proofErr w:type="spellStart"/>
            <w:r w:rsidRPr="00906B92">
              <w:rPr>
                <w:b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1417" w:type="dxa"/>
            <w:vAlign w:val="center"/>
          </w:tcPr>
          <w:p w:rsidR="002D5324" w:rsidRPr="00906B92" w:rsidRDefault="002D5324" w:rsidP="009906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06B92">
              <w:rPr>
                <w:b/>
                <w:sz w:val="26"/>
                <w:szCs w:val="26"/>
              </w:rPr>
              <w:t>Dự</w:t>
            </w:r>
            <w:proofErr w:type="spellEnd"/>
            <w:r w:rsidRPr="00906B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/>
                <w:sz w:val="26"/>
                <w:szCs w:val="26"/>
              </w:rPr>
              <w:t>thảo</w:t>
            </w:r>
            <w:proofErr w:type="spellEnd"/>
            <w:r w:rsidRPr="00906B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/>
                <w:sz w:val="26"/>
                <w:szCs w:val="26"/>
              </w:rPr>
              <w:t>Thông</w:t>
            </w:r>
            <w:proofErr w:type="spellEnd"/>
            <w:r w:rsidRPr="00906B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/>
                <w:sz w:val="26"/>
                <w:szCs w:val="26"/>
              </w:rPr>
              <w:t>tư</w:t>
            </w:r>
            <w:proofErr w:type="spellEnd"/>
          </w:p>
          <w:p w:rsidR="002D5324" w:rsidRPr="00906B92" w:rsidRDefault="002D5324" w:rsidP="009906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06B92">
              <w:rPr>
                <w:b/>
                <w:sz w:val="26"/>
                <w:szCs w:val="26"/>
              </w:rPr>
              <w:t>sử</w:t>
            </w:r>
            <w:r w:rsidR="00990634">
              <w:rPr>
                <w:b/>
                <w:sz w:val="26"/>
                <w:szCs w:val="26"/>
              </w:rPr>
              <w:t>a</w:t>
            </w:r>
            <w:proofErr w:type="spellEnd"/>
            <w:r w:rsidR="0099063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/>
                <w:sz w:val="26"/>
                <w:szCs w:val="26"/>
              </w:rPr>
              <w:t>Thông</w:t>
            </w:r>
            <w:proofErr w:type="spellEnd"/>
            <w:r w:rsidRPr="00906B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/>
                <w:sz w:val="26"/>
                <w:szCs w:val="26"/>
              </w:rPr>
              <w:t>tư</w:t>
            </w:r>
            <w:proofErr w:type="spellEnd"/>
            <w:r w:rsidRPr="00906B92">
              <w:rPr>
                <w:b/>
                <w:sz w:val="26"/>
                <w:szCs w:val="26"/>
              </w:rPr>
              <w:t xml:space="preserve"> 278</w:t>
            </w:r>
          </w:p>
        </w:tc>
        <w:tc>
          <w:tcPr>
            <w:tcW w:w="8465" w:type="dxa"/>
            <w:vAlign w:val="center"/>
          </w:tcPr>
          <w:p w:rsidR="002D5324" w:rsidRPr="00906B92" w:rsidRDefault="002D5324" w:rsidP="009906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06B92">
              <w:rPr>
                <w:b/>
                <w:sz w:val="26"/>
                <w:szCs w:val="26"/>
              </w:rPr>
              <w:t>Lý</w:t>
            </w:r>
            <w:proofErr w:type="spellEnd"/>
            <w:r w:rsidRPr="00906B92">
              <w:rPr>
                <w:b/>
                <w:sz w:val="26"/>
                <w:szCs w:val="26"/>
              </w:rPr>
              <w:t xml:space="preserve"> do </w:t>
            </w:r>
            <w:proofErr w:type="spellStart"/>
            <w:r w:rsidRPr="00906B92">
              <w:rPr>
                <w:b/>
                <w:sz w:val="26"/>
                <w:szCs w:val="26"/>
              </w:rPr>
              <w:t>sửa</w:t>
            </w:r>
            <w:proofErr w:type="spellEnd"/>
            <w:r w:rsidRPr="00906B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/>
                <w:sz w:val="26"/>
                <w:szCs w:val="26"/>
              </w:rPr>
              <w:t>đổi</w:t>
            </w:r>
            <w:proofErr w:type="spellEnd"/>
          </w:p>
        </w:tc>
      </w:tr>
      <w:tr w:rsidR="002D5324" w:rsidRPr="00906B92" w:rsidTr="00C851C4">
        <w:tc>
          <w:tcPr>
            <w:tcW w:w="630" w:type="dxa"/>
            <w:vAlign w:val="center"/>
          </w:tcPr>
          <w:p w:rsidR="002D5324" w:rsidRPr="00906B92" w:rsidRDefault="002D5324" w:rsidP="00990634">
            <w:pPr>
              <w:jc w:val="center"/>
              <w:rPr>
                <w:sz w:val="26"/>
                <w:szCs w:val="26"/>
              </w:rPr>
            </w:pPr>
            <w:r w:rsidRPr="00906B92">
              <w:rPr>
                <w:sz w:val="26"/>
                <w:szCs w:val="26"/>
              </w:rPr>
              <w:t>1</w:t>
            </w:r>
          </w:p>
        </w:tc>
        <w:tc>
          <w:tcPr>
            <w:tcW w:w="2520" w:type="dxa"/>
            <w:vAlign w:val="center"/>
          </w:tcPr>
          <w:p w:rsidR="002D5324" w:rsidRPr="00906B92" w:rsidRDefault="002D5324" w:rsidP="00990634">
            <w:pPr>
              <w:jc w:val="both"/>
              <w:rPr>
                <w:sz w:val="26"/>
                <w:szCs w:val="26"/>
              </w:rPr>
            </w:pPr>
            <w:proofErr w:type="spellStart"/>
            <w:r w:rsidRPr="00906B92">
              <w:rPr>
                <w:rFonts w:eastAsia="Calibri" w:cs="Times New Roman"/>
                <w:sz w:val="26"/>
                <w:szCs w:val="26"/>
              </w:rPr>
              <w:t>Phí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rFonts w:eastAsia="Calibri" w:cs="Times New Roman"/>
                <w:sz w:val="26"/>
                <w:szCs w:val="26"/>
              </w:rPr>
              <w:t>thẩm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rFonts w:eastAsia="Calibri" w:cs="Times New Roman"/>
                <w:sz w:val="26"/>
                <w:szCs w:val="26"/>
              </w:rPr>
              <w:t>định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rFonts w:eastAsia="Calibri" w:cs="Times New Roman"/>
                <w:sz w:val="26"/>
                <w:szCs w:val="26"/>
              </w:rPr>
              <w:t>cấp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rFonts w:eastAsia="Calibri" w:cs="Times New Roman"/>
                <w:sz w:val="26"/>
                <w:szCs w:val="26"/>
              </w:rPr>
              <w:t>giấy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rFonts w:eastAsia="Calibri" w:cs="Times New Roman"/>
                <w:sz w:val="26"/>
                <w:szCs w:val="26"/>
              </w:rPr>
              <w:t>phép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rFonts w:eastAsia="Calibri" w:cs="Times New Roman"/>
                <w:sz w:val="26"/>
                <w:szCs w:val="26"/>
              </w:rPr>
              <w:t>hoạt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rFonts w:eastAsia="Calibri" w:cs="Times New Roman"/>
                <w:sz w:val="26"/>
                <w:szCs w:val="26"/>
              </w:rPr>
              <w:t>động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rFonts w:eastAsia="Calibri" w:cs="Times New Roman"/>
                <w:sz w:val="26"/>
                <w:szCs w:val="26"/>
              </w:rPr>
              <w:t>đối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rFonts w:eastAsia="Calibri" w:cs="Times New Roman"/>
                <w:sz w:val="26"/>
                <w:szCs w:val="26"/>
              </w:rPr>
              <w:t>với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T</w:t>
            </w:r>
            <w:r w:rsidRPr="00906B92">
              <w:rPr>
                <w:rFonts w:eastAsia="Calibri" w:cs="Times New Roman"/>
                <w:sz w:val="26"/>
                <w:szCs w:val="26"/>
              </w:rPr>
              <w:t>rạm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906B92">
              <w:rPr>
                <w:sz w:val="26"/>
                <w:szCs w:val="26"/>
              </w:rPr>
              <w:t>Y</w:t>
            </w:r>
            <w:r w:rsidRPr="00906B9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rFonts w:eastAsia="Calibri" w:cs="Times New Roman"/>
                <w:sz w:val="26"/>
                <w:szCs w:val="26"/>
              </w:rPr>
              <w:t>tế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rFonts w:eastAsia="Calibri" w:cs="Times New Roman"/>
                <w:sz w:val="26"/>
                <w:szCs w:val="26"/>
              </w:rPr>
              <w:t>cấp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rFonts w:eastAsia="Calibri" w:cs="Times New Roman"/>
                <w:sz w:val="26"/>
                <w:szCs w:val="26"/>
              </w:rPr>
              <w:t>xã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906B92">
              <w:rPr>
                <w:sz w:val="26"/>
                <w:szCs w:val="26"/>
              </w:rPr>
              <w:t>T</w:t>
            </w:r>
            <w:r w:rsidRPr="00906B92">
              <w:rPr>
                <w:rFonts w:eastAsia="Calibri" w:cs="Times New Roman"/>
                <w:sz w:val="26"/>
                <w:szCs w:val="26"/>
              </w:rPr>
              <w:t>rạm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rFonts w:eastAsia="Calibri" w:cs="Times New Roman"/>
                <w:sz w:val="26"/>
                <w:szCs w:val="26"/>
              </w:rPr>
              <w:t>xá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rFonts w:eastAsia="Calibri" w:cs="Times New Roman"/>
                <w:sz w:val="26"/>
                <w:szCs w:val="26"/>
              </w:rPr>
              <w:t>và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rFonts w:eastAsia="Calibri" w:cs="Times New Roman"/>
                <w:sz w:val="26"/>
                <w:szCs w:val="26"/>
              </w:rPr>
              <w:t>tương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rFonts w:eastAsia="Calibri" w:cs="Times New Roman"/>
                <w:sz w:val="26"/>
                <w:szCs w:val="26"/>
              </w:rPr>
              <w:t>đương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rFonts w:eastAsia="Calibri" w:cs="Times New Roman"/>
                <w:sz w:val="26"/>
                <w:szCs w:val="26"/>
              </w:rPr>
              <w:t>khi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rFonts w:eastAsia="Calibri" w:cs="Times New Roman"/>
                <w:sz w:val="26"/>
                <w:szCs w:val="26"/>
              </w:rPr>
              <w:t>thay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rFonts w:eastAsia="Calibri" w:cs="Times New Roman"/>
                <w:sz w:val="26"/>
                <w:szCs w:val="26"/>
              </w:rPr>
              <w:t>đổi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rFonts w:eastAsia="Calibri" w:cs="Times New Roman"/>
                <w:sz w:val="26"/>
                <w:szCs w:val="26"/>
              </w:rPr>
              <w:t>phạm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 vi </w:t>
            </w:r>
            <w:proofErr w:type="spellStart"/>
            <w:r w:rsidRPr="00906B92">
              <w:rPr>
                <w:rFonts w:eastAsia="Calibri" w:cs="Times New Roman"/>
                <w:sz w:val="26"/>
                <w:szCs w:val="26"/>
              </w:rPr>
              <w:t>hoạt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rFonts w:eastAsia="Calibri" w:cs="Times New Roman"/>
                <w:sz w:val="26"/>
                <w:szCs w:val="26"/>
              </w:rPr>
              <w:t>động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rFonts w:eastAsia="Calibri" w:cs="Times New Roman"/>
                <w:sz w:val="26"/>
                <w:szCs w:val="26"/>
              </w:rPr>
              <w:t>chuyên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rFonts w:eastAsia="Calibri" w:cs="Times New Roman"/>
                <w:sz w:val="26"/>
                <w:szCs w:val="26"/>
              </w:rPr>
              <w:t>môn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906B92">
              <w:rPr>
                <w:rFonts w:eastAsia="Calibri" w:cs="Times New Roman"/>
                <w:sz w:val="26"/>
                <w:szCs w:val="26"/>
              </w:rPr>
              <w:t>bổ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 sung </w:t>
            </w:r>
            <w:proofErr w:type="spellStart"/>
            <w:r w:rsidRPr="00906B92">
              <w:rPr>
                <w:rFonts w:eastAsia="Calibri" w:cs="Times New Roman"/>
                <w:sz w:val="26"/>
                <w:szCs w:val="26"/>
              </w:rPr>
              <w:t>danh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rFonts w:eastAsia="Calibri" w:cs="Times New Roman"/>
                <w:sz w:val="26"/>
                <w:szCs w:val="26"/>
              </w:rPr>
              <w:t>mục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rFonts w:eastAsia="Calibri" w:cs="Times New Roman"/>
                <w:sz w:val="26"/>
                <w:szCs w:val="26"/>
              </w:rPr>
              <w:t>chuyên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rFonts w:eastAsia="Calibri" w:cs="Times New Roman"/>
                <w:sz w:val="26"/>
                <w:szCs w:val="26"/>
              </w:rPr>
              <w:t>môn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rFonts w:eastAsia="Calibri" w:cs="Times New Roman"/>
                <w:sz w:val="26"/>
                <w:szCs w:val="26"/>
              </w:rPr>
              <w:t>kỹ</w:t>
            </w:r>
            <w:proofErr w:type="spellEnd"/>
            <w:r w:rsidRPr="00906B92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rFonts w:eastAsia="Calibri" w:cs="Times New Roman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1134" w:type="dxa"/>
            <w:vAlign w:val="center"/>
          </w:tcPr>
          <w:p w:rsidR="002D5324" w:rsidRPr="00906B92" w:rsidRDefault="002D5324" w:rsidP="00990634">
            <w:pPr>
              <w:jc w:val="center"/>
              <w:rPr>
                <w:sz w:val="26"/>
                <w:szCs w:val="26"/>
              </w:rPr>
            </w:pPr>
            <w:r w:rsidRPr="00906B92">
              <w:rPr>
                <w:sz w:val="26"/>
                <w:szCs w:val="26"/>
              </w:rPr>
              <w:t>4.300</w:t>
            </w:r>
          </w:p>
        </w:tc>
        <w:tc>
          <w:tcPr>
            <w:tcW w:w="1134" w:type="dxa"/>
            <w:vAlign w:val="center"/>
          </w:tcPr>
          <w:p w:rsidR="002D5324" w:rsidRPr="00906B92" w:rsidRDefault="002D5324" w:rsidP="00990634">
            <w:pPr>
              <w:jc w:val="center"/>
              <w:rPr>
                <w:sz w:val="26"/>
                <w:szCs w:val="26"/>
              </w:rPr>
            </w:pPr>
            <w:r w:rsidRPr="00906B92">
              <w:rPr>
                <w:sz w:val="26"/>
                <w:szCs w:val="26"/>
              </w:rPr>
              <w:t>3.100</w:t>
            </w:r>
          </w:p>
        </w:tc>
        <w:tc>
          <w:tcPr>
            <w:tcW w:w="1417" w:type="dxa"/>
            <w:vAlign w:val="center"/>
          </w:tcPr>
          <w:p w:rsidR="002D5324" w:rsidRPr="00906B92" w:rsidRDefault="002D5324" w:rsidP="00990634">
            <w:pPr>
              <w:jc w:val="center"/>
              <w:rPr>
                <w:sz w:val="26"/>
                <w:szCs w:val="26"/>
              </w:rPr>
            </w:pPr>
            <w:r w:rsidRPr="00906B92">
              <w:rPr>
                <w:sz w:val="26"/>
                <w:szCs w:val="26"/>
              </w:rPr>
              <w:t>3.100</w:t>
            </w:r>
          </w:p>
        </w:tc>
        <w:tc>
          <w:tcPr>
            <w:tcW w:w="8465" w:type="dxa"/>
          </w:tcPr>
          <w:p w:rsidR="002D5324" w:rsidRPr="00906B92" w:rsidRDefault="002D5324" w:rsidP="00A959F3">
            <w:pPr>
              <w:spacing w:before="120"/>
              <w:jc w:val="both"/>
              <w:rPr>
                <w:bCs/>
                <w:color w:val="000000"/>
                <w:sz w:val="26"/>
                <w:szCs w:val="26"/>
              </w:rPr>
            </w:pPr>
            <w:r w:rsidRPr="00906B92">
              <w:rPr>
                <w:bCs/>
                <w:color w:val="000000"/>
                <w:sz w:val="26"/>
                <w:szCs w:val="26"/>
              </w:rPr>
              <w:t xml:space="preserve">- Theo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quy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Điều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45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Nghị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109/2016/NĐ-CP </w:t>
            </w:r>
            <w:r w:rsidRPr="00906B92">
              <w:rPr>
                <w:bCs/>
                <w:sz w:val="26"/>
                <w:szCs w:val="26"/>
                <w:lang w:val="nl-NL"/>
              </w:rPr>
              <w:t xml:space="preserve">ngày 01/7/2016 của Chính phủ quy định cấp chứng chỉ hành nghề đối với người hành nghề và cấp giấy phép hoạt động đối với cơ sở khám bệnh, chữa bệnh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thì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việ</w:t>
            </w:r>
            <w:r w:rsidR="00990634">
              <w:rPr>
                <w:bCs/>
                <w:color w:val="000000"/>
                <w:sz w:val="26"/>
                <w:szCs w:val="26"/>
              </w:rPr>
              <w:t>c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thẩm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cấp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giấy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phép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hoạt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động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90634">
              <w:rPr>
                <w:bCs/>
                <w:color w:val="000000"/>
                <w:sz w:val="26"/>
                <w:szCs w:val="26"/>
              </w:rPr>
              <w:t>cấp</w:t>
            </w:r>
            <w:proofErr w:type="spellEnd"/>
            <w:r w:rsidR="00990634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90634">
              <w:rPr>
                <w:bCs/>
                <w:color w:val="000000"/>
                <w:sz w:val="26"/>
                <w:szCs w:val="26"/>
              </w:rPr>
              <w:t>giấy</w:t>
            </w:r>
            <w:proofErr w:type="spellEnd"/>
            <w:r w:rsidR="00990634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90634">
              <w:rPr>
                <w:bCs/>
                <w:color w:val="000000"/>
                <w:sz w:val="26"/>
                <w:szCs w:val="26"/>
              </w:rPr>
              <w:t>phép</w:t>
            </w:r>
            <w:proofErr w:type="spellEnd"/>
            <w:r w:rsidR="00990634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khi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thay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đổi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phạm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vi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hoạt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động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bổ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sung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danh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mục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kỹ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thuật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đối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với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Trạm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tế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cấp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xã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Trạm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xá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tương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đương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/>
                <w:bCs/>
                <w:color w:val="000000"/>
                <w:sz w:val="26"/>
                <w:szCs w:val="26"/>
              </w:rPr>
              <w:t>là</w:t>
            </w:r>
            <w:proofErr w:type="spellEnd"/>
            <w:r w:rsidRPr="00906B92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/>
                <w:bCs/>
                <w:color w:val="000000"/>
                <w:sz w:val="26"/>
                <w:szCs w:val="26"/>
              </w:rPr>
              <w:t>như</w:t>
            </w:r>
            <w:proofErr w:type="spellEnd"/>
            <w:r w:rsidRPr="00906B92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/>
                <w:bCs/>
                <w:color w:val="000000"/>
                <w:sz w:val="26"/>
                <w:szCs w:val="26"/>
              </w:rPr>
              <w:t>nhau</w:t>
            </w:r>
            <w:proofErr w:type="spellEnd"/>
            <w:r w:rsidRPr="00906B92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2D5324" w:rsidRPr="00906B92" w:rsidRDefault="002D5324" w:rsidP="00A959F3">
            <w:pPr>
              <w:spacing w:before="120"/>
              <w:jc w:val="both"/>
              <w:rPr>
                <w:bCs/>
                <w:color w:val="000000"/>
                <w:sz w:val="26"/>
                <w:szCs w:val="26"/>
              </w:rPr>
            </w:pPr>
            <w:r w:rsidRPr="00906B92">
              <w:rPr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Tạ</w:t>
            </w:r>
            <w:r w:rsidR="00990634">
              <w:rPr>
                <w:bCs/>
                <w:color w:val="000000"/>
                <w:sz w:val="26"/>
                <w:szCs w:val="26"/>
              </w:rPr>
              <w:t>i</w:t>
            </w:r>
            <w:proofErr w:type="spellEnd"/>
            <w:r w:rsidR="00990634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90634">
              <w:rPr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="00990634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90634">
              <w:rPr>
                <w:bCs/>
                <w:color w:val="000000"/>
                <w:sz w:val="26"/>
                <w:szCs w:val="26"/>
              </w:rPr>
              <w:t>tư</w:t>
            </w:r>
            <w:proofErr w:type="spellEnd"/>
            <w:r w:rsidR="00990634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90634">
              <w:rPr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="00990634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906B92">
              <w:rPr>
                <w:bCs/>
                <w:color w:val="000000"/>
                <w:sz w:val="26"/>
                <w:szCs w:val="26"/>
              </w:rPr>
              <w:t>278</w:t>
            </w:r>
            <w:r w:rsidR="00990634">
              <w:rPr>
                <w:bCs/>
                <w:color w:val="000000"/>
                <w:sz w:val="26"/>
                <w:szCs w:val="26"/>
              </w:rPr>
              <w:t>/2016/TT-BTC</w:t>
            </w:r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quy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mức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thu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phí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thẩm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cấp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giấy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phép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hoạt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động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Trạm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tế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cấp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xã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Trạm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xá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tương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đương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là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3.100.000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đồng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lần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>.</w:t>
            </w:r>
          </w:p>
          <w:p w:rsidR="002D5324" w:rsidRPr="00906B92" w:rsidRDefault="002D5324" w:rsidP="00906B92">
            <w:pPr>
              <w:spacing w:before="120"/>
              <w:jc w:val="both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Để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đảm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bảo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thống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nhất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>,</w:t>
            </w:r>
            <w:r w:rsidR="00990634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90634">
              <w:rPr>
                <w:bCs/>
                <w:color w:val="000000"/>
                <w:sz w:val="26"/>
                <w:szCs w:val="26"/>
              </w:rPr>
              <w:t>căn</w:t>
            </w:r>
            <w:proofErr w:type="spellEnd"/>
            <w:r w:rsidR="00990634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90634">
              <w:rPr>
                <w:bCs/>
                <w:color w:val="000000"/>
                <w:sz w:val="26"/>
                <w:szCs w:val="26"/>
              </w:rPr>
              <w:t>cứ</w:t>
            </w:r>
            <w:proofErr w:type="spellEnd"/>
            <w:r w:rsidR="00990634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90634">
              <w:rPr>
                <w:bCs/>
                <w:color w:val="000000"/>
                <w:sz w:val="26"/>
                <w:szCs w:val="26"/>
              </w:rPr>
              <w:t>Luật</w:t>
            </w:r>
            <w:proofErr w:type="spellEnd"/>
            <w:r w:rsidR="00990634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90634">
              <w:rPr>
                <w:bCs/>
                <w:color w:val="000000"/>
                <w:sz w:val="26"/>
                <w:szCs w:val="26"/>
              </w:rPr>
              <w:t>phí</w:t>
            </w:r>
            <w:proofErr w:type="spellEnd"/>
            <w:r w:rsidR="00990634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90634">
              <w:rPr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="00990634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90634">
              <w:rPr>
                <w:bCs/>
                <w:color w:val="000000"/>
                <w:sz w:val="26"/>
                <w:szCs w:val="26"/>
              </w:rPr>
              <w:t>lệ</w:t>
            </w:r>
            <w:proofErr w:type="spellEnd"/>
            <w:r w:rsidR="00990634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90634">
              <w:rPr>
                <w:bCs/>
                <w:color w:val="000000"/>
                <w:sz w:val="26"/>
                <w:szCs w:val="26"/>
              </w:rPr>
              <w:t>phí</w:t>
            </w:r>
            <w:proofErr w:type="spellEnd"/>
            <w:r w:rsidR="00990634">
              <w:rPr>
                <w:bCs/>
                <w:color w:val="000000"/>
                <w:sz w:val="26"/>
                <w:szCs w:val="26"/>
              </w:rPr>
              <w:t>,</w:t>
            </w:r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tư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điều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chỉnh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giảm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mức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thu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phí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thẩm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Trạm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tế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cấp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xã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Trạm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xá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tương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đương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khi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thay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đổi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phạm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vi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hoạt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động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bổ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sung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danh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mục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kỹ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thuật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4.300.000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đồng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lần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xuống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3.100.000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đồng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lần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mức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thu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phí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thẩm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khi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cấp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giấy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phép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hoạt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động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Trạm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tế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cấp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xã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Trạm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xá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tương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đương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quy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906B9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90634">
              <w:rPr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="00990634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90634">
              <w:rPr>
                <w:bCs/>
                <w:color w:val="000000"/>
                <w:sz w:val="26"/>
                <w:szCs w:val="26"/>
              </w:rPr>
              <w:t>tư</w:t>
            </w:r>
            <w:proofErr w:type="spellEnd"/>
            <w:r w:rsidR="00990634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90634">
              <w:rPr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="00990634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990634" w:rsidRPr="00906B92">
              <w:rPr>
                <w:bCs/>
                <w:color w:val="000000"/>
                <w:sz w:val="26"/>
                <w:szCs w:val="26"/>
              </w:rPr>
              <w:t>278</w:t>
            </w:r>
            <w:r w:rsidR="00990634">
              <w:rPr>
                <w:bCs/>
                <w:color w:val="000000"/>
                <w:sz w:val="26"/>
                <w:szCs w:val="26"/>
              </w:rPr>
              <w:t>/2016/TT-BTC</w:t>
            </w:r>
            <w:r w:rsidRPr="00906B92">
              <w:rPr>
                <w:bCs/>
                <w:color w:val="000000"/>
                <w:sz w:val="26"/>
                <w:szCs w:val="26"/>
              </w:rPr>
              <w:t xml:space="preserve">).  </w:t>
            </w:r>
          </w:p>
        </w:tc>
      </w:tr>
    </w:tbl>
    <w:p w:rsidR="00906B92" w:rsidRDefault="00906B92" w:rsidP="00A959F3">
      <w:pPr>
        <w:spacing w:before="120"/>
        <w:ind w:firstLine="720"/>
        <w:jc w:val="both"/>
      </w:pPr>
    </w:p>
    <w:p w:rsidR="00906B92" w:rsidRDefault="00906B92" w:rsidP="00A959F3">
      <w:pPr>
        <w:spacing w:before="120"/>
        <w:ind w:firstLine="720"/>
        <w:jc w:val="both"/>
      </w:pPr>
    </w:p>
    <w:p w:rsidR="00990634" w:rsidRDefault="00990634" w:rsidP="00A959F3">
      <w:pPr>
        <w:spacing w:before="120"/>
        <w:ind w:firstLine="720"/>
        <w:jc w:val="both"/>
      </w:pPr>
    </w:p>
    <w:p w:rsidR="00990634" w:rsidRPr="00990634" w:rsidRDefault="00A959F3" w:rsidP="00990634">
      <w:pPr>
        <w:spacing w:before="120"/>
        <w:ind w:firstLine="720"/>
        <w:jc w:val="both"/>
        <w:rPr>
          <w:b/>
          <w:szCs w:val="28"/>
          <w:lang w:val="nl-NL"/>
        </w:rPr>
      </w:pPr>
      <w:r w:rsidRPr="00990634">
        <w:rPr>
          <w:b/>
        </w:rPr>
        <w:lastRenderedPageBreak/>
        <w:t xml:space="preserve">2. </w:t>
      </w:r>
      <w:r w:rsidRPr="00990634">
        <w:rPr>
          <w:b/>
          <w:szCs w:val="28"/>
          <w:lang w:val="nl-NL"/>
        </w:rPr>
        <w:t xml:space="preserve">Về </w:t>
      </w:r>
      <w:r w:rsidR="00FB5F60" w:rsidRPr="00990634">
        <w:rPr>
          <w:b/>
          <w:szCs w:val="28"/>
          <w:lang w:val="nl-NL"/>
        </w:rPr>
        <w:t xml:space="preserve">việc </w:t>
      </w:r>
      <w:r w:rsidRPr="00990634">
        <w:rPr>
          <w:b/>
          <w:szCs w:val="28"/>
          <w:lang w:val="nl-NL"/>
        </w:rPr>
        <w:t xml:space="preserve">điều chỉnh mức phí thẩm định trong lĩnh vực hoá chất, chế phẩm diệt côn trùng, diệt khuẩn </w:t>
      </w:r>
    </w:p>
    <w:p w:rsidR="00D15003" w:rsidRPr="00007592" w:rsidRDefault="00D15003" w:rsidP="00990634">
      <w:pPr>
        <w:spacing w:before="120"/>
        <w:ind w:firstLine="720"/>
        <w:jc w:val="right"/>
        <w:rPr>
          <w:i/>
          <w:szCs w:val="28"/>
        </w:rPr>
      </w:pPr>
      <w:proofErr w:type="spellStart"/>
      <w:r>
        <w:rPr>
          <w:i/>
          <w:szCs w:val="28"/>
        </w:rPr>
        <w:t>Đơn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vị</w:t>
      </w:r>
      <w:proofErr w:type="spellEnd"/>
      <w:r w:rsidRPr="00007592">
        <w:rPr>
          <w:i/>
          <w:szCs w:val="28"/>
        </w:rPr>
        <w:t xml:space="preserve">: </w:t>
      </w:r>
      <w:proofErr w:type="gramStart"/>
      <w:r w:rsidRPr="00007592">
        <w:rPr>
          <w:i/>
          <w:szCs w:val="28"/>
        </w:rPr>
        <w:t xml:space="preserve">1.000 </w:t>
      </w:r>
      <w:proofErr w:type="spellStart"/>
      <w:r w:rsidRPr="00007592">
        <w:rPr>
          <w:i/>
          <w:szCs w:val="28"/>
        </w:rPr>
        <w:t>đồng</w:t>
      </w:r>
      <w:proofErr w:type="spellEnd"/>
      <w:r>
        <w:rPr>
          <w:i/>
          <w:szCs w:val="28"/>
        </w:rPr>
        <w:t>/</w:t>
      </w:r>
      <w:proofErr w:type="spellStart"/>
      <w:r>
        <w:rPr>
          <w:i/>
          <w:szCs w:val="28"/>
        </w:rPr>
        <w:t>hồ</w:t>
      </w:r>
      <w:proofErr w:type="spellEnd"/>
      <w:proofErr w:type="gram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sơ</w:t>
      </w:r>
      <w:proofErr w:type="spellEnd"/>
    </w:p>
    <w:tbl>
      <w:tblPr>
        <w:tblStyle w:val="TableGrid"/>
        <w:tblW w:w="15171" w:type="dxa"/>
        <w:tblInd w:w="108" w:type="dxa"/>
        <w:tblLayout w:type="fixed"/>
        <w:tblLook w:val="04A0"/>
      </w:tblPr>
      <w:tblGrid>
        <w:gridCol w:w="540"/>
        <w:gridCol w:w="3330"/>
        <w:gridCol w:w="1201"/>
        <w:gridCol w:w="1170"/>
        <w:gridCol w:w="990"/>
        <w:gridCol w:w="1440"/>
        <w:gridCol w:w="6500"/>
      </w:tblGrid>
      <w:tr w:rsidR="002D5324" w:rsidRPr="00906B92" w:rsidTr="00C851C4">
        <w:tc>
          <w:tcPr>
            <w:tcW w:w="540" w:type="dxa"/>
            <w:vAlign w:val="center"/>
          </w:tcPr>
          <w:p w:rsidR="002D5324" w:rsidRPr="00906B92" w:rsidRDefault="002D5324" w:rsidP="00990634">
            <w:pPr>
              <w:ind w:left="-108" w:right="-119"/>
              <w:jc w:val="center"/>
              <w:rPr>
                <w:b/>
                <w:sz w:val="26"/>
                <w:szCs w:val="26"/>
              </w:rPr>
            </w:pPr>
            <w:proofErr w:type="spellStart"/>
            <w:r w:rsidRPr="00906B92">
              <w:rPr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330" w:type="dxa"/>
            <w:vAlign w:val="center"/>
          </w:tcPr>
          <w:p w:rsidR="002D5324" w:rsidRPr="00906B92" w:rsidRDefault="002D5324" w:rsidP="009906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06B92">
              <w:rPr>
                <w:b/>
                <w:sz w:val="26"/>
                <w:szCs w:val="26"/>
              </w:rPr>
              <w:t>Tên</w:t>
            </w:r>
            <w:proofErr w:type="spellEnd"/>
            <w:r w:rsidRPr="00906B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/>
                <w:sz w:val="26"/>
                <w:szCs w:val="26"/>
              </w:rPr>
              <w:t>khoản</w:t>
            </w:r>
            <w:proofErr w:type="spellEnd"/>
            <w:r w:rsidRPr="00906B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/>
                <w:sz w:val="26"/>
                <w:szCs w:val="26"/>
              </w:rPr>
              <w:t>phí</w:t>
            </w:r>
            <w:proofErr w:type="spellEnd"/>
          </w:p>
        </w:tc>
        <w:tc>
          <w:tcPr>
            <w:tcW w:w="1201" w:type="dxa"/>
            <w:vAlign w:val="center"/>
          </w:tcPr>
          <w:p w:rsidR="002D5324" w:rsidRPr="00906B92" w:rsidRDefault="002D5324" w:rsidP="009906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06B92">
              <w:rPr>
                <w:b/>
                <w:sz w:val="26"/>
                <w:szCs w:val="26"/>
              </w:rPr>
              <w:t>Thông</w:t>
            </w:r>
            <w:proofErr w:type="spellEnd"/>
            <w:r w:rsidRPr="00906B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/>
                <w:sz w:val="26"/>
                <w:szCs w:val="26"/>
              </w:rPr>
              <w:t>tư</w:t>
            </w:r>
            <w:proofErr w:type="spellEnd"/>
            <w:r w:rsidRPr="00906B92">
              <w:rPr>
                <w:b/>
                <w:sz w:val="26"/>
                <w:szCs w:val="26"/>
              </w:rPr>
              <w:t xml:space="preserve"> 278</w:t>
            </w:r>
          </w:p>
        </w:tc>
        <w:tc>
          <w:tcPr>
            <w:tcW w:w="1170" w:type="dxa"/>
            <w:vAlign w:val="center"/>
          </w:tcPr>
          <w:p w:rsidR="002D5324" w:rsidRPr="00906B92" w:rsidRDefault="002D5324" w:rsidP="009906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06B92">
              <w:rPr>
                <w:b/>
                <w:sz w:val="26"/>
                <w:szCs w:val="26"/>
              </w:rPr>
              <w:t>Đề</w:t>
            </w:r>
            <w:proofErr w:type="spellEnd"/>
            <w:r w:rsidRPr="00906B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/>
                <w:sz w:val="26"/>
                <w:szCs w:val="26"/>
              </w:rPr>
              <w:t>xuất</w:t>
            </w:r>
            <w:proofErr w:type="spellEnd"/>
            <w:r w:rsidRPr="00906B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/>
                <w:sz w:val="26"/>
                <w:szCs w:val="26"/>
              </w:rPr>
              <w:t>của</w:t>
            </w:r>
            <w:proofErr w:type="spellEnd"/>
            <w:r w:rsidRPr="00906B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/>
                <w:sz w:val="26"/>
                <w:szCs w:val="26"/>
              </w:rPr>
              <w:t>Bộ</w:t>
            </w:r>
            <w:proofErr w:type="spellEnd"/>
            <w:r w:rsidRPr="00906B92">
              <w:rPr>
                <w:b/>
                <w:sz w:val="26"/>
                <w:szCs w:val="26"/>
              </w:rPr>
              <w:t xml:space="preserve">   Y </w:t>
            </w:r>
            <w:proofErr w:type="spellStart"/>
            <w:r w:rsidRPr="00906B92">
              <w:rPr>
                <w:b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990" w:type="dxa"/>
            <w:vAlign w:val="center"/>
          </w:tcPr>
          <w:p w:rsidR="002D5324" w:rsidRPr="00906B92" w:rsidRDefault="002D5324" w:rsidP="009906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06B92">
              <w:rPr>
                <w:b/>
                <w:sz w:val="26"/>
                <w:szCs w:val="26"/>
              </w:rPr>
              <w:t>Thông</w:t>
            </w:r>
            <w:proofErr w:type="spellEnd"/>
            <w:r w:rsidRPr="00906B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/>
                <w:sz w:val="26"/>
                <w:szCs w:val="26"/>
              </w:rPr>
              <w:t>tư</w:t>
            </w:r>
            <w:proofErr w:type="spellEnd"/>
            <w:r w:rsidRPr="00906B92">
              <w:rPr>
                <w:b/>
                <w:sz w:val="26"/>
                <w:szCs w:val="26"/>
              </w:rPr>
              <w:t xml:space="preserve"> 231</w:t>
            </w:r>
          </w:p>
        </w:tc>
        <w:tc>
          <w:tcPr>
            <w:tcW w:w="1440" w:type="dxa"/>
            <w:vAlign w:val="center"/>
          </w:tcPr>
          <w:p w:rsidR="00990634" w:rsidRPr="00906B92" w:rsidRDefault="00990634" w:rsidP="009906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06B92">
              <w:rPr>
                <w:b/>
                <w:sz w:val="26"/>
                <w:szCs w:val="26"/>
              </w:rPr>
              <w:t>Dự</w:t>
            </w:r>
            <w:proofErr w:type="spellEnd"/>
            <w:r w:rsidRPr="00906B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/>
                <w:sz w:val="26"/>
                <w:szCs w:val="26"/>
              </w:rPr>
              <w:t>thảo</w:t>
            </w:r>
            <w:proofErr w:type="spellEnd"/>
            <w:r w:rsidRPr="00906B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/>
                <w:sz w:val="26"/>
                <w:szCs w:val="26"/>
              </w:rPr>
              <w:t>Thông</w:t>
            </w:r>
            <w:proofErr w:type="spellEnd"/>
            <w:r w:rsidRPr="00906B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/>
                <w:sz w:val="26"/>
                <w:szCs w:val="26"/>
              </w:rPr>
              <w:t>tư</w:t>
            </w:r>
            <w:proofErr w:type="spellEnd"/>
          </w:p>
          <w:p w:rsidR="002D5324" w:rsidRPr="00906B92" w:rsidRDefault="00990634" w:rsidP="009906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06B92">
              <w:rPr>
                <w:b/>
                <w:sz w:val="26"/>
                <w:szCs w:val="26"/>
              </w:rPr>
              <w:t>sử</w:t>
            </w:r>
            <w:r>
              <w:rPr>
                <w:b/>
                <w:sz w:val="26"/>
                <w:szCs w:val="26"/>
              </w:rPr>
              <w:t>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/>
                <w:sz w:val="26"/>
                <w:szCs w:val="26"/>
              </w:rPr>
              <w:t>Thông</w:t>
            </w:r>
            <w:proofErr w:type="spellEnd"/>
            <w:r w:rsidRPr="00906B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/>
                <w:sz w:val="26"/>
                <w:szCs w:val="26"/>
              </w:rPr>
              <w:t>tư</w:t>
            </w:r>
            <w:proofErr w:type="spellEnd"/>
            <w:r w:rsidRPr="00906B92">
              <w:rPr>
                <w:b/>
                <w:sz w:val="26"/>
                <w:szCs w:val="26"/>
              </w:rPr>
              <w:t xml:space="preserve"> 278</w:t>
            </w:r>
          </w:p>
        </w:tc>
        <w:tc>
          <w:tcPr>
            <w:tcW w:w="6500" w:type="dxa"/>
            <w:vAlign w:val="center"/>
          </w:tcPr>
          <w:p w:rsidR="002D5324" w:rsidRPr="00906B92" w:rsidRDefault="002D5324" w:rsidP="009906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06B92">
              <w:rPr>
                <w:b/>
                <w:sz w:val="26"/>
                <w:szCs w:val="26"/>
              </w:rPr>
              <w:t>Lý</w:t>
            </w:r>
            <w:proofErr w:type="spellEnd"/>
            <w:r w:rsidRPr="00906B92">
              <w:rPr>
                <w:b/>
                <w:sz w:val="26"/>
                <w:szCs w:val="26"/>
              </w:rPr>
              <w:t xml:space="preserve"> do </w:t>
            </w:r>
            <w:proofErr w:type="spellStart"/>
            <w:r w:rsidRPr="00906B92">
              <w:rPr>
                <w:b/>
                <w:sz w:val="26"/>
                <w:szCs w:val="26"/>
              </w:rPr>
              <w:t>sửa</w:t>
            </w:r>
            <w:proofErr w:type="spellEnd"/>
            <w:r w:rsidRPr="00906B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b/>
                <w:sz w:val="26"/>
                <w:szCs w:val="26"/>
              </w:rPr>
              <w:t>đổi</w:t>
            </w:r>
            <w:proofErr w:type="spellEnd"/>
          </w:p>
        </w:tc>
      </w:tr>
      <w:tr w:rsidR="002D5324" w:rsidRPr="00171972" w:rsidTr="00C851C4">
        <w:tc>
          <w:tcPr>
            <w:tcW w:w="540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1</w:t>
            </w:r>
          </w:p>
        </w:tc>
        <w:tc>
          <w:tcPr>
            <w:tcW w:w="3330" w:type="dxa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 xml:space="preserve">Phí thẩm định cấp giấy phép khảo nghiệm hóa chất, chế phẩm diệt côn trùng </w:t>
            </w:r>
          </w:p>
        </w:tc>
        <w:tc>
          <w:tcPr>
            <w:tcW w:w="1201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2.000</w:t>
            </w:r>
          </w:p>
        </w:tc>
        <w:tc>
          <w:tcPr>
            <w:tcW w:w="1170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3.500</w:t>
            </w:r>
          </w:p>
        </w:tc>
        <w:tc>
          <w:tcPr>
            <w:tcW w:w="990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Từ 300 đến 6.000</w:t>
            </w:r>
          </w:p>
        </w:tc>
        <w:tc>
          <w:tcPr>
            <w:tcW w:w="1440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3.500</w:t>
            </w:r>
          </w:p>
        </w:tc>
        <w:tc>
          <w:tcPr>
            <w:tcW w:w="6500" w:type="dxa"/>
            <w:vMerge w:val="restart"/>
          </w:tcPr>
          <w:p w:rsidR="002D5324" w:rsidRPr="00171972" w:rsidRDefault="00ED596A" w:rsidP="00990634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 xml:space="preserve">- </w:t>
            </w:r>
            <w:proofErr w:type="spellStart"/>
            <w:r w:rsidR="002D5324" w:rsidRPr="00171972">
              <w:rPr>
                <w:sz w:val="26"/>
                <w:szCs w:val="26"/>
              </w:rPr>
              <w:t>Căn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cứ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Nghị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định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số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91/2016/NĐ-CP </w:t>
            </w:r>
            <w:proofErr w:type="spellStart"/>
            <w:r w:rsidR="002D5324" w:rsidRPr="00171972">
              <w:rPr>
                <w:sz w:val="26"/>
                <w:szCs w:val="26"/>
              </w:rPr>
              <w:t>ngày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01/7/2016 </w:t>
            </w:r>
            <w:proofErr w:type="spellStart"/>
            <w:r w:rsidR="002D5324" w:rsidRPr="00171972">
              <w:rPr>
                <w:sz w:val="26"/>
                <w:szCs w:val="26"/>
              </w:rPr>
              <w:t>của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Chính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phủ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về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quản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lý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hóa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chất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, </w:t>
            </w:r>
            <w:proofErr w:type="spellStart"/>
            <w:r w:rsidR="002D5324" w:rsidRPr="00171972">
              <w:rPr>
                <w:sz w:val="26"/>
                <w:szCs w:val="26"/>
              </w:rPr>
              <w:t>chế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phẩm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diệt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côn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trùng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, </w:t>
            </w:r>
            <w:proofErr w:type="spellStart"/>
            <w:r w:rsidR="002D5324" w:rsidRPr="00171972">
              <w:rPr>
                <w:sz w:val="26"/>
                <w:szCs w:val="26"/>
              </w:rPr>
              <w:t>diệt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khuẩn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dùng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trong</w:t>
            </w:r>
            <w:proofErr w:type="spellEnd"/>
            <w:r w:rsidR="002D5324" w:rsidRPr="00171972">
              <w:rPr>
                <w:sz w:val="26"/>
                <w:szCs w:val="26"/>
              </w:rPr>
              <w:t> </w:t>
            </w:r>
            <w:proofErr w:type="spellStart"/>
            <w:r w:rsidR="002D5324" w:rsidRPr="00171972">
              <w:rPr>
                <w:sz w:val="26"/>
                <w:szCs w:val="26"/>
              </w:rPr>
              <w:t>lĩnh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vực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gia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dụng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và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y </w:t>
            </w:r>
            <w:proofErr w:type="spellStart"/>
            <w:r w:rsidR="002D5324" w:rsidRPr="00171972">
              <w:rPr>
                <w:sz w:val="26"/>
                <w:szCs w:val="26"/>
              </w:rPr>
              <w:t>tế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và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Thông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tư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số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21/2015/TT-BNNPTNT </w:t>
            </w:r>
            <w:proofErr w:type="spellStart"/>
            <w:r w:rsidR="002D5324" w:rsidRPr="00171972">
              <w:rPr>
                <w:sz w:val="26"/>
                <w:szCs w:val="26"/>
              </w:rPr>
              <w:t>của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Bộ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NN&amp;PTNT </w:t>
            </w:r>
            <w:proofErr w:type="spellStart"/>
            <w:r w:rsidR="002D5324" w:rsidRPr="00171972">
              <w:rPr>
                <w:sz w:val="26"/>
                <w:szCs w:val="26"/>
              </w:rPr>
              <w:t>ngày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8/6/2015 </w:t>
            </w:r>
            <w:proofErr w:type="spellStart"/>
            <w:r w:rsidR="002D5324" w:rsidRPr="00171972">
              <w:rPr>
                <w:sz w:val="26"/>
                <w:szCs w:val="26"/>
              </w:rPr>
              <w:t>về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quản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lý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thuốc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bảo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vệ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thực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vật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thì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hồ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sơ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và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quy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trình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thẩm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định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đối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với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nhóm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hóa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chất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, </w:t>
            </w:r>
            <w:proofErr w:type="spellStart"/>
            <w:r w:rsidR="002D5324" w:rsidRPr="00171972">
              <w:rPr>
                <w:sz w:val="26"/>
                <w:szCs w:val="26"/>
              </w:rPr>
              <w:t>chế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phẩm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diệt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côn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trùng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, </w:t>
            </w:r>
            <w:proofErr w:type="spellStart"/>
            <w:r w:rsidR="002D5324" w:rsidRPr="00171972">
              <w:rPr>
                <w:sz w:val="26"/>
                <w:szCs w:val="26"/>
              </w:rPr>
              <w:t>diệt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khuẩn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dùng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trong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gia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dụng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, y </w:t>
            </w:r>
            <w:proofErr w:type="spellStart"/>
            <w:r w:rsidR="002D5324" w:rsidRPr="00171972">
              <w:rPr>
                <w:sz w:val="26"/>
                <w:szCs w:val="26"/>
              </w:rPr>
              <w:t>tế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và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quy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trình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thẩm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định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đối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với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thuốc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bảo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vệ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thực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vật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là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tương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tự</w:t>
            </w:r>
            <w:proofErr w:type="spellEnd"/>
            <w:r w:rsidR="002D5324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2D5324" w:rsidRPr="00171972">
              <w:rPr>
                <w:sz w:val="26"/>
                <w:szCs w:val="26"/>
              </w:rPr>
              <w:t>nhau</w:t>
            </w:r>
            <w:proofErr w:type="spellEnd"/>
            <w:r w:rsidR="002D5324" w:rsidRPr="00171972">
              <w:rPr>
                <w:sz w:val="26"/>
                <w:szCs w:val="26"/>
              </w:rPr>
              <w:t>.</w:t>
            </w:r>
          </w:p>
          <w:p w:rsidR="002D5324" w:rsidRDefault="002D5324" w:rsidP="00990634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Tuy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nhiên</w:t>
            </w:r>
            <w:proofErr w:type="spellEnd"/>
            <w:r w:rsidRPr="00906B92">
              <w:rPr>
                <w:sz w:val="26"/>
                <w:szCs w:val="26"/>
              </w:rPr>
              <w:t xml:space="preserve">, </w:t>
            </w:r>
            <w:proofErr w:type="spellStart"/>
            <w:r w:rsidRPr="00906B92">
              <w:rPr>
                <w:sz w:val="26"/>
                <w:szCs w:val="26"/>
              </w:rPr>
              <w:t>mức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thu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phí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thẩm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định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đối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với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cấp</w:t>
            </w:r>
            <w:proofErr w:type="spellEnd"/>
            <w:r w:rsidRPr="00906B92">
              <w:rPr>
                <w:sz w:val="26"/>
                <w:szCs w:val="26"/>
              </w:rPr>
              <w:t xml:space="preserve">, </w:t>
            </w:r>
            <w:proofErr w:type="spellStart"/>
            <w:r w:rsidRPr="00906B92">
              <w:rPr>
                <w:sz w:val="26"/>
                <w:szCs w:val="26"/>
              </w:rPr>
              <w:t>tiếp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nhận</w:t>
            </w:r>
            <w:proofErr w:type="spellEnd"/>
            <w:r w:rsidRPr="00906B92">
              <w:rPr>
                <w:sz w:val="26"/>
                <w:szCs w:val="26"/>
              </w:rPr>
              <w:t xml:space="preserve">, </w:t>
            </w:r>
            <w:proofErr w:type="spellStart"/>
            <w:r w:rsidRPr="00906B92">
              <w:rPr>
                <w:sz w:val="26"/>
                <w:szCs w:val="26"/>
              </w:rPr>
              <w:t>nhập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khẩu</w:t>
            </w:r>
            <w:proofErr w:type="spellEnd"/>
            <w:r w:rsidRPr="00906B92">
              <w:rPr>
                <w:sz w:val="26"/>
                <w:szCs w:val="26"/>
              </w:rPr>
              <w:t xml:space="preserve">, </w:t>
            </w:r>
            <w:proofErr w:type="spellStart"/>
            <w:r w:rsidRPr="00906B92">
              <w:rPr>
                <w:sz w:val="26"/>
                <w:szCs w:val="26"/>
              </w:rPr>
              <w:t>xuất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khẩu</w:t>
            </w:r>
            <w:proofErr w:type="spellEnd"/>
            <w:r w:rsidRPr="00906B92">
              <w:rPr>
                <w:sz w:val="26"/>
                <w:szCs w:val="26"/>
              </w:rPr>
              <w:t xml:space="preserve">, </w:t>
            </w:r>
            <w:proofErr w:type="spellStart"/>
            <w:r w:rsidRPr="00906B92">
              <w:rPr>
                <w:sz w:val="26"/>
                <w:szCs w:val="26"/>
              </w:rPr>
              <w:t>xác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nhận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trong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lĩnh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vực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thuốc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bảo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vệ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thực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vật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quy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định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tại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Thông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tư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số</w:t>
            </w:r>
            <w:proofErr w:type="spellEnd"/>
            <w:r w:rsidRPr="00906B92">
              <w:rPr>
                <w:sz w:val="26"/>
                <w:szCs w:val="26"/>
              </w:rPr>
              <w:t xml:space="preserve"> 231/2016/TT-BTC </w:t>
            </w:r>
            <w:proofErr w:type="spellStart"/>
            <w:r w:rsidRPr="00906B92">
              <w:rPr>
                <w:sz w:val="26"/>
                <w:szCs w:val="26"/>
              </w:rPr>
              <w:t>ngày</w:t>
            </w:r>
            <w:proofErr w:type="spellEnd"/>
            <w:r w:rsidRPr="00906B92">
              <w:rPr>
                <w:sz w:val="26"/>
                <w:szCs w:val="26"/>
              </w:rPr>
              <w:t xml:space="preserve"> 11/11/2016 </w:t>
            </w:r>
            <w:proofErr w:type="spellStart"/>
            <w:r w:rsidRPr="00906B92">
              <w:rPr>
                <w:sz w:val="26"/>
                <w:szCs w:val="26"/>
              </w:rPr>
              <w:t>của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Bộ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Tài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chính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quy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định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mức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thu</w:t>
            </w:r>
            <w:proofErr w:type="spellEnd"/>
            <w:r w:rsidRPr="00906B92">
              <w:rPr>
                <w:sz w:val="26"/>
                <w:szCs w:val="26"/>
              </w:rPr>
              <w:t xml:space="preserve">, </w:t>
            </w:r>
            <w:proofErr w:type="spellStart"/>
            <w:r w:rsidRPr="00906B92">
              <w:rPr>
                <w:sz w:val="26"/>
                <w:szCs w:val="26"/>
              </w:rPr>
              <w:t>chế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độ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thu</w:t>
            </w:r>
            <w:proofErr w:type="spellEnd"/>
            <w:r w:rsidRPr="00906B92">
              <w:rPr>
                <w:sz w:val="26"/>
                <w:szCs w:val="26"/>
              </w:rPr>
              <w:t xml:space="preserve">, </w:t>
            </w:r>
            <w:proofErr w:type="spellStart"/>
            <w:r w:rsidRPr="00906B92">
              <w:rPr>
                <w:sz w:val="26"/>
                <w:szCs w:val="26"/>
              </w:rPr>
              <w:t>nộp</w:t>
            </w:r>
            <w:proofErr w:type="spellEnd"/>
            <w:r w:rsidRPr="00906B92">
              <w:rPr>
                <w:sz w:val="26"/>
                <w:szCs w:val="26"/>
              </w:rPr>
              <w:t xml:space="preserve">, </w:t>
            </w:r>
            <w:proofErr w:type="spellStart"/>
            <w:r w:rsidRPr="00906B92">
              <w:rPr>
                <w:sz w:val="26"/>
                <w:szCs w:val="26"/>
              </w:rPr>
              <w:t>quản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lý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và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sử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dụng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phí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trong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lĩnh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vực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bảo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vệ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thực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vật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cao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hơn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mức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thu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phí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thẩm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định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đối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với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cấp</w:t>
            </w:r>
            <w:proofErr w:type="spellEnd"/>
            <w:r w:rsidRPr="00906B92">
              <w:rPr>
                <w:sz w:val="26"/>
                <w:szCs w:val="26"/>
              </w:rPr>
              <w:t xml:space="preserve">, </w:t>
            </w:r>
            <w:proofErr w:type="spellStart"/>
            <w:r w:rsidRPr="00906B92">
              <w:rPr>
                <w:sz w:val="26"/>
                <w:szCs w:val="26"/>
              </w:rPr>
              <w:t>tiếp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nhận</w:t>
            </w:r>
            <w:proofErr w:type="spellEnd"/>
            <w:r w:rsidRPr="00906B92">
              <w:rPr>
                <w:sz w:val="26"/>
                <w:szCs w:val="26"/>
              </w:rPr>
              <w:t xml:space="preserve">, </w:t>
            </w:r>
            <w:proofErr w:type="spellStart"/>
            <w:r w:rsidRPr="00906B92">
              <w:rPr>
                <w:sz w:val="26"/>
                <w:szCs w:val="26"/>
              </w:rPr>
              <w:t>nhập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khẩu</w:t>
            </w:r>
            <w:proofErr w:type="spellEnd"/>
            <w:r w:rsidRPr="00906B92">
              <w:rPr>
                <w:sz w:val="26"/>
                <w:szCs w:val="26"/>
              </w:rPr>
              <w:t xml:space="preserve">, </w:t>
            </w:r>
            <w:proofErr w:type="spellStart"/>
            <w:r w:rsidRPr="00906B92">
              <w:rPr>
                <w:sz w:val="26"/>
                <w:szCs w:val="26"/>
              </w:rPr>
              <w:t>xuất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khẩu</w:t>
            </w:r>
            <w:proofErr w:type="spellEnd"/>
            <w:r w:rsidRPr="00906B92">
              <w:rPr>
                <w:sz w:val="26"/>
                <w:szCs w:val="26"/>
              </w:rPr>
              <w:t xml:space="preserve">, </w:t>
            </w:r>
            <w:proofErr w:type="spellStart"/>
            <w:r w:rsidRPr="00906B92">
              <w:rPr>
                <w:sz w:val="26"/>
                <w:szCs w:val="26"/>
              </w:rPr>
              <w:t>xác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nhận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trong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lĩnh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vực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chế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phẩm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diệt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côn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trùng</w:t>
            </w:r>
            <w:proofErr w:type="spellEnd"/>
            <w:r w:rsidRPr="00906B92">
              <w:rPr>
                <w:sz w:val="26"/>
                <w:szCs w:val="26"/>
              </w:rPr>
              <w:t xml:space="preserve">, </w:t>
            </w:r>
            <w:proofErr w:type="spellStart"/>
            <w:r w:rsidRPr="00906B92">
              <w:rPr>
                <w:sz w:val="26"/>
                <w:szCs w:val="26"/>
              </w:rPr>
              <w:t>diệt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khuẩn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trong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gia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dụng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và</w:t>
            </w:r>
            <w:proofErr w:type="spellEnd"/>
            <w:r w:rsidRPr="00906B92">
              <w:rPr>
                <w:sz w:val="26"/>
                <w:szCs w:val="26"/>
              </w:rPr>
              <w:t xml:space="preserve"> y </w:t>
            </w:r>
            <w:proofErr w:type="spellStart"/>
            <w:r w:rsidRPr="00906B92">
              <w:rPr>
                <w:sz w:val="26"/>
                <w:szCs w:val="26"/>
              </w:rPr>
              <w:t>tế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quy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định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Pr="00906B92">
              <w:rPr>
                <w:sz w:val="26"/>
                <w:szCs w:val="26"/>
              </w:rPr>
              <w:t>tại</w:t>
            </w:r>
            <w:proofErr w:type="spellEnd"/>
            <w:r w:rsidRPr="00906B92">
              <w:rPr>
                <w:sz w:val="26"/>
                <w:szCs w:val="26"/>
              </w:rPr>
              <w:t xml:space="preserve"> </w:t>
            </w:r>
            <w:proofErr w:type="spellStart"/>
            <w:r w:rsidR="00990634" w:rsidRPr="00ED596A">
              <w:rPr>
                <w:sz w:val="26"/>
                <w:szCs w:val="26"/>
              </w:rPr>
              <w:t>Thông</w:t>
            </w:r>
            <w:proofErr w:type="spellEnd"/>
            <w:r w:rsidR="00990634" w:rsidRPr="00ED596A">
              <w:rPr>
                <w:sz w:val="26"/>
                <w:szCs w:val="26"/>
              </w:rPr>
              <w:t xml:space="preserve"> </w:t>
            </w:r>
            <w:proofErr w:type="spellStart"/>
            <w:r w:rsidR="00990634" w:rsidRPr="00ED596A">
              <w:rPr>
                <w:sz w:val="26"/>
                <w:szCs w:val="26"/>
              </w:rPr>
              <w:t>tư</w:t>
            </w:r>
            <w:proofErr w:type="spellEnd"/>
            <w:r w:rsidR="00990634" w:rsidRPr="00ED596A">
              <w:rPr>
                <w:sz w:val="26"/>
                <w:szCs w:val="26"/>
              </w:rPr>
              <w:t xml:space="preserve"> </w:t>
            </w:r>
            <w:proofErr w:type="spellStart"/>
            <w:r w:rsidR="00990634" w:rsidRPr="00ED596A">
              <w:rPr>
                <w:sz w:val="26"/>
                <w:szCs w:val="26"/>
              </w:rPr>
              <w:t>số</w:t>
            </w:r>
            <w:proofErr w:type="spellEnd"/>
            <w:r w:rsidR="00990634" w:rsidRPr="00ED596A">
              <w:rPr>
                <w:sz w:val="26"/>
                <w:szCs w:val="26"/>
              </w:rPr>
              <w:t xml:space="preserve"> 278/2016/TT-BTC</w:t>
            </w:r>
            <w:r w:rsidRPr="00906B92">
              <w:rPr>
                <w:sz w:val="26"/>
                <w:szCs w:val="26"/>
              </w:rPr>
              <w:t>.</w:t>
            </w:r>
          </w:p>
          <w:p w:rsidR="00ED596A" w:rsidRPr="00ED596A" w:rsidRDefault="00ED596A" w:rsidP="00ED596A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Mức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thu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phí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thẩm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định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đối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với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cấp</w:t>
            </w:r>
            <w:proofErr w:type="spellEnd"/>
            <w:r w:rsidRPr="00ED596A">
              <w:rPr>
                <w:sz w:val="26"/>
                <w:szCs w:val="26"/>
              </w:rPr>
              <w:t xml:space="preserve">, </w:t>
            </w:r>
            <w:proofErr w:type="spellStart"/>
            <w:r w:rsidRPr="00ED596A">
              <w:rPr>
                <w:sz w:val="26"/>
                <w:szCs w:val="26"/>
              </w:rPr>
              <w:t>tiếp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nhận</w:t>
            </w:r>
            <w:proofErr w:type="spellEnd"/>
            <w:r w:rsidRPr="00ED596A">
              <w:rPr>
                <w:sz w:val="26"/>
                <w:szCs w:val="26"/>
              </w:rPr>
              <w:t xml:space="preserve">, </w:t>
            </w:r>
            <w:proofErr w:type="spellStart"/>
            <w:r w:rsidRPr="00ED596A">
              <w:rPr>
                <w:sz w:val="26"/>
                <w:szCs w:val="26"/>
              </w:rPr>
              <w:t>nhập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khẩu</w:t>
            </w:r>
            <w:proofErr w:type="spellEnd"/>
            <w:r w:rsidRPr="00ED596A">
              <w:rPr>
                <w:sz w:val="26"/>
                <w:szCs w:val="26"/>
              </w:rPr>
              <w:t xml:space="preserve">, </w:t>
            </w:r>
            <w:proofErr w:type="spellStart"/>
            <w:r w:rsidRPr="00ED596A">
              <w:rPr>
                <w:sz w:val="26"/>
                <w:szCs w:val="26"/>
              </w:rPr>
              <w:t>xuất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khẩu</w:t>
            </w:r>
            <w:proofErr w:type="spellEnd"/>
            <w:r w:rsidRPr="00ED596A">
              <w:rPr>
                <w:sz w:val="26"/>
                <w:szCs w:val="26"/>
              </w:rPr>
              <w:t xml:space="preserve">, </w:t>
            </w:r>
            <w:proofErr w:type="spellStart"/>
            <w:r w:rsidRPr="00ED596A">
              <w:rPr>
                <w:sz w:val="26"/>
                <w:szCs w:val="26"/>
              </w:rPr>
              <w:t>xác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nhận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trong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lĩnh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vực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chế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phẩm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diệt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côn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trùng</w:t>
            </w:r>
            <w:proofErr w:type="spellEnd"/>
            <w:r w:rsidRPr="00ED596A">
              <w:rPr>
                <w:sz w:val="26"/>
                <w:szCs w:val="26"/>
              </w:rPr>
              <w:t xml:space="preserve">, </w:t>
            </w:r>
            <w:proofErr w:type="spellStart"/>
            <w:r w:rsidRPr="00ED596A">
              <w:rPr>
                <w:sz w:val="26"/>
                <w:szCs w:val="26"/>
              </w:rPr>
              <w:t>diệt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khuẩn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trong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gia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dụng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và</w:t>
            </w:r>
            <w:proofErr w:type="spellEnd"/>
            <w:r w:rsidRPr="00ED596A">
              <w:rPr>
                <w:sz w:val="26"/>
                <w:szCs w:val="26"/>
              </w:rPr>
              <w:t xml:space="preserve"> y </w:t>
            </w:r>
            <w:proofErr w:type="spellStart"/>
            <w:r w:rsidRPr="00ED596A">
              <w:rPr>
                <w:sz w:val="26"/>
                <w:szCs w:val="26"/>
              </w:rPr>
              <w:t>tế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quy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định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tại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Thông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tư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số</w:t>
            </w:r>
            <w:proofErr w:type="spellEnd"/>
            <w:r w:rsidRPr="00ED596A">
              <w:rPr>
                <w:sz w:val="26"/>
                <w:szCs w:val="26"/>
              </w:rPr>
              <w:t xml:space="preserve"> 278/2016/TT-BTC </w:t>
            </w:r>
            <w:proofErr w:type="spellStart"/>
            <w:r w:rsidRPr="00ED596A">
              <w:rPr>
                <w:sz w:val="26"/>
                <w:szCs w:val="26"/>
              </w:rPr>
              <w:t>được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kế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thừa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mức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phí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quy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định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tại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Thông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tư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số</w:t>
            </w:r>
            <w:proofErr w:type="spellEnd"/>
            <w:r w:rsidRPr="00ED596A">
              <w:rPr>
                <w:sz w:val="26"/>
                <w:szCs w:val="26"/>
              </w:rPr>
              <w:t xml:space="preserve"> 03/2013/TT-BTC </w:t>
            </w:r>
            <w:proofErr w:type="spellStart"/>
            <w:r w:rsidRPr="00ED596A">
              <w:rPr>
                <w:sz w:val="26"/>
                <w:szCs w:val="26"/>
              </w:rPr>
              <w:t>ngày</w:t>
            </w:r>
            <w:proofErr w:type="spellEnd"/>
            <w:r w:rsidRPr="00ED596A">
              <w:rPr>
                <w:sz w:val="26"/>
                <w:szCs w:val="26"/>
              </w:rPr>
              <w:t xml:space="preserve"> 08/1/2013 </w:t>
            </w:r>
            <w:proofErr w:type="spellStart"/>
            <w:r w:rsidRPr="00ED596A">
              <w:rPr>
                <w:sz w:val="26"/>
                <w:szCs w:val="26"/>
              </w:rPr>
              <w:t>của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Bộ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trưởng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Bộ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Tài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chính</w:t>
            </w:r>
            <w:proofErr w:type="spellEnd"/>
            <w:r w:rsidR="00171972">
              <w:rPr>
                <w:sz w:val="26"/>
                <w:szCs w:val="26"/>
              </w:rPr>
              <w:t xml:space="preserve">. </w:t>
            </w:r>
            <w:proofErr w:type="spellStart"/>
            <w:r w:rsidRPr="00ED596A">
              <w:rPr>
                <w:sz w:val="26"/>
                <w:szCs w:val="26"/>
              </w:rPr>
              <w:t>Đến</w:t>
            </w:r>
            <w:proofErr w:type="spellEnd"/>
            <w:r w:rsidRPr="00ED596A">
              <w:rPr>
                <w:sz w:val="26"/>
                <w:szCs w:val="26"/>
              </w:rPr>
              <w:t xml:space="preserve"> nay, qua </w:t>
            </w:r>
            <w:proofErr w:type="spellStart"/>
            <w:r w:rsidRPr="00ED596A">
              <w:rPr>
                <w:sz w:val="26"/>
                <w:szCs w:val="26"/>
              </w:rPr>
              <w:t>gần</w:t>
            </w:r>
            <w:proofErr w:type="spellEnd"/>
            <w:r w:rsidRPr="00ED596A">
              <w:rPr>
                <w:sz w:val="26"/>
                <w:szCs w:val="26"/>
              </w:rPr>
              <w:t xml:space="preserve"> 7 </w:t>
            </w:r>
            <w:proofErr w:type="spellStart"/>
            <w:r w:rsidRPr="00ED596A">
              <w:rPr>
                <w:sz w:val="26"/>
                <w:szCs w:val="26"/>
              </w:rPr>
              <w:t>năm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thực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hiện</w:t>
            </w:r>
            <w:proofErr w:type="spellEnd"/>
            <w:r w:rsidRPr="00ED596A">
              <w:rPr>
                <w:sz w:val="26"/>
                <w:szCs w:val="26"/>
              </w:rPr>
              <w:t xml:space="preserve">, </w:t>
            </w:r>
            <w:proofErr w:type="spellStart"/>
            <w:r w:rsidRPr="00ED596A">
              <w:rPr>
                <w:sz w:val="26"/>
                <w:szCs w:val="26"/>
              </w:rPr>
              <w:t>chỉ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số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giá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tiêu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dùng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tăng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khoảng</w:t>
            </w:r>
            <w:proofErr w:type="spellEnd"/>
            <w:r w:rsidRPr="00ED596A">
              <w:rPr>
                <w:sz w:val="26"/>
                <w:szCs w:val="26"/>
              </w:rPr>
              <w:t xml:space="preserve"> 27</w:t>
            </w:r>
            <w:proofErr w:type="gramStart"/>
            <w:r w:rsidRPr="00ED596A">
              <w:rPr>
                <w:sz w:val="26"/>
                <w:szCs w:val="26"/>
              </w:rPr>
              <w:t>,5</w:t>
            </w:r>
            <w:proofErr w:type="gramEnd"/>
            <w:r w:rsidRPr="00ED596A">
              <w:rPr>
                <w:sz w:val="26"/>
                <w:szCs w:val="26"/>
              </w:rPr>
              <w:t xml:space="preserve">%, </w:t>
            </w:r>
            <w:proofErr w:type="spellStart"/>
            <w:r w:rsidRPr="00ED596A">
              <w:rPr>
                <w:sz w:val="26"/>
                <w:szCs w:val="26"/>
              </w:rPr>
              <w:t>lương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cơ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bản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tăng</w:t>
            </w:r>
            <w:proofErr w:type="spellEnd"/>
            <w:r w:rsidRPr="00ED596A">
              <w:rPr>
                <w:sz w:val="26"/>
                <w:szCs w:val="26"/>
              </w:rPr>
              <w:t xml:space="preserve"> </w:t>
            </w:r>
            <w:proofErr w:type="spellStart"/>
            <w:r w:rsidRPr="00ED596A">
              <w:rPr>
                <w:sz w:val="26"/>
                <w:szCs w:val="26"/>
              </w:rPr>
              <w:t>khoảng</w:t>
            </w:r>
            <w:proofErr w:type="spellEnd"/>
            <w:r w:rsidRPr="00ED596A">
              <w:rPr>
                <w:sz w:val="26"/>
                <w:szCs w:val="26"/>
              </w:rPr>
              <w:t xml:space="preserve"> 40%. </w:t>
            </w:r>
            <w:r w:rsidR="00171972" w:rsidRPr="00171972">
              <w:rPr>
                <w:sz w:val="26"/>
                <w:szCs w:val="26"/>
              </w:rPr>
              <w:t xml:space="preserve">Do </w:t>
            </w:r>
            <w:proofErr w:type="spellStart"/>
            <w:r w:rsidR="00171972" w:rsidRPr="00171972">
              <w:rPr>
                <w:sz w:val="26"/>
                <w:szCs w:val="26"/>
              </w:rPr>
              <w:t>đó</w:t>
            </w:r>
            <w:proofErr w:type="spellEnd"/>
            <w:r w:rsidR="00171972" w:rsidRPr="00171972">
              <w:rPr>
                <w:sz w:val="26"/>
                <w:szCs w:val="26"/>
              </w:rPr>
              <w:t xml:space="preserve">, </w:t>
            </w:r>
            <w:proofErr w:type="spellStart"/>
            <w:r w:rsidR="00171972" w:rsidRPr="00171972">
              <w:rPr>
                <w:sz w:val="26"/>
                <w:szCs w:val="26"/>
              </w:rPr>
              <w:t>mức</w:t>
            </w:r>
            <w:proofErr w:type="spellEnd"/>
            <w:r w:rsidR="00171972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171972" w:rsidRPr="00171972">
              <w:rPr>
                <w:sz w:val="26"/>
                <w:szCs w:val="26"/>
              </w:rPr>
              <w:t>thu</w:t>
            </w:r>
            <w:proofErr w:type="spellEnd"/>
            <w:r w:rsidR="00171972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171972" w:rsidRPr="00171972">
              <w:rPr>
                <w:sz w:val="26"/>
                <w:szCs w:val="26"/>
              </w:rPr>
              <w:t>phí</w:t>
            </w:r>
            <w:proofErr w:type="spellEnd"/>
            <w:r w:rsidR="00171972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171972" w:rsidRPr="00171972">
              <w:rPr>
                <w:sz w:val="26"/>
                <w:szCs w:val="26"/>
              </w:rPr>
              <w:t>này</w:t>
            </w:r>
            <w:proofErr w:type="spellEnd"/>
            <w:r w:rsidR="00171972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171972" w:rsidRPr="00171972">
              <w:rPr>
                <w:sz w:val="26"/>
                <w:szCs w:val="26"/>
              </w:rPr>
              <w:t>không</w:t>
            </w:r>
            <w:proofErr w:type="spellEnd"/>
            <w:r w:rsidR="00171972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171972" w:rsidRPr="00171972">
              <w:rPr>
                <w:sz w:val="26"/>
                <w:szCs w:val="26"/>
              </w:rPr>
              <w:t>đủ</w:t>
            </w:r>
            <w:proofErr w:type="spellEnd"/>
            <w:r w:rsidR="00171972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171972" w:rsidRPr="00171972">
              <w:rPr>
                <w:sz w:val="26"/>
                <w:szCs w:val="26"/>
              </w:rPr>
              <w:t>bảo</w:t>
            </w:r>
            <w:proofErr w:type="spellEnd"/>
            <w:r w:rsidR="00171972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171972" w:rsidRPr="00171972">
              <w:rPr>
                <w:sz w:val="26"/>
                <w:szCs w:val="26"/>
              </w:rPr>
              <w:t>đảm</w:t>
            </w:r>
            <w:proofErr w:type="spellEnd"/>
            <w:r w:rsidR="00171972" w:rsidRPr="00171972">
              <w:rPr>
                <w:sz w:val="26"/>
                <w:szCs w:val="26"/>
              </w:rPr>
              <w:t xml:space="preserve"> chi </w:t>
            </w:r>
            <w:proofErr w:type="spellStart"/>
            <w:r w:rsidR="00171972" w:rsidRPr="00171972">
              <w:rPr>
                <w:sz w:val="26"/>
                <w:szCs w:val="26"/>
              </w:rPr>
              <w:lastRenderedPageBreak/>
              <w:t>phí</w:t>
            </w:r>
            <w:proofErr w:type="spellEnd"/>
            <w:r w:rsidR="00171972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171972" w:rsidRPr="00171972">
              <w:rPr>
                <w:sz w:val="26"/>
                <w:szCs w:val="26"/>
              </w:rPr>
              <w:t>thực</w:t>
            </w:r>
            <w:proofErr w:type="spellEnd"/>
            <w:r w:rsidR="00171972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171972" w:rsidRPr="00171972">
              <w:rPr>
                <w:sz w:val="26"/>
                <w:szCs w:val="26"/>
              </w:rPr>
              <w:t>hiện</w:t>
            </w:r>
            <w:proofErr w:type="spellEnd"/>
            <w:r w:rsidR="00171972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171972" w:rsidRPr="00171972">
              <w:rPr>
                <w:sz w:val="26"/>
                <w:szCs w:val="26"/>
              </w:rPr>
              <w:t>thẩm</w:t>
            </w:r>
            <w:proofErr w:type="spellEnd"/>
            <w:r w:rsidR="00171972" w:rsidRPr="00171972">
              <w:rPr>
                <w:sz w:val="26"/>
                <w:szCs w:val="26"/>
              </w:rPr>
              <w:t xml:space="preserve"> </w:t>
            </w:r>
            <w:proofErr w:type="spellStart"/>
            <w:r w:rsidR="00171972" w:rsidRPr="00171972">
              <w:rPr>
                <w:sz w:val="26"/>
                <w:szCs w:val="26"/>
              </w:rPr>
              <w:t>định</w:t>
            </w:r>
            <w:proofErr w:type="spellEnd"/>
            <w:r w:rsidR="00171972" w:rsidRPr="00171972">
              <w:rPr>
                <w:sz w:val="26"/>
                <w:szCs w:val="26"/>
              </w:rPr>
              <w:t>.</w:t>
            </w:r>
          </w:p>
          <w:p w:rsidR="002D5324" w:rsidRPr="00906B92" w:rsidRDefault="00171972" w:rsidP="00990634">
            <w:pPr>
              <w:spacing w:before="120"/>
              <w:jc w:val="both"/>
              <w:rPr>
                <w:sz w:val="26"/>
                <w:szCs w:val="26"/>
              </w:rPr>
            </w:pPr>
            <w:proofErr w:type="spellStart"/>
            <w:r w:rsidRPr="00171972">
              <w:rPr>
                <w:sz w:val="26"/>
                <w:szCs w:val="26"/>
              </w:rPr>
              <w:t>Để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bảo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đảm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kinh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phí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thực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hiện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thẩm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định</w:t>
            </w:r>
            <w:proofErr w:type="spellEnd"/>
            <w:r w:rsidRPr="00171972">
              <w:rPr>
                <w:sz w:val="26"/>
                <w:szCs w:val="26"/>
              </w:rPr>
              <w:t xml:space="preserve">, </w:t>
            </w:r>
            <w:proofErr w:type="spellStart"/>
            <w:r w:rsidRPr="00171972">
              <w:rPr>
                <w:sz w:val="26"/>
                <w:szCs w:val="26"/>
              </w:rPr>
              <w:t>bảo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đảm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thống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nhất</w:t>
            </w:r>
            <w:proofErr w:type="spellEnd"/>
            <w:r w:rsidRPr="00171972">
              <w:rPr>
                <w:sz w:val="26"/>
                <w:szCs w:val="26"/>
              </w:rPr>
              <w:t xml:space="preserve">, </w:t>
            </w:r>
            <w:proofErr w:type="spellStart"/>
            <w:r w:rsidRPr="00171972">
              <w:rPr>
                <w:sz w:val="26"/>
                <w:szCs w:val="26"/>
              </w:rPr>
              <w:t>tiếp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thu</w:t>
            </w:r>
            <w:proofErr w:type="spellEnd"/>
            <w:r w:rsidRPr="00171972">
              <w:rPr>
                <w:sz w:val="26"/>
                <w:szCs w:val="26"/>
              </w:rPr>
              <w:t xml:space="preserve"> ý </w:t>
            </w:r>
            <w:proofErr w:type="spellStart"/>
            <w:r w:rsidRPr="00171972">
              <w:rPr>
                <w:sz w:val="26"/>
                <w:szCs w:val="26"/>
              </w:rPr>
              <w:t>kiến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của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Bộ</w:t>
            </w:r>
            <w:proofErr w:type="spellEnd"/>
            <w:r w:rsidRPr="00171972">
              <w:rPr>
                <w:sz w:val="26"/>
                <w:szCs w:val="26"/>
              </w:rPr>
              <w:t xml:space="preserve"> Y </w:t>
            </w:r>
            <w:proofErr w:type="spellStart"/>
            <w:r w:rsidRPr="00171972">
              <w:rPr>
                <w:sz w:val="26"/>
                <w:szCs w:val="26"/>
              </w:rPr>
              <w:t>tế</w:t>
            </w:r>
            <w:proofErr w:type="spellEnd"/>
            <w:r w:rsidRPr="00171972">
              <w:rPr>
                <w:sz w:val="26"/>
                <w:szCs w:val="26"/>
              </w:rPr>
              <w:t xml:space="preserve">, </w:t>
            </w:r>
            <w:proofErr w:type="spellStart"/>
            <w:r w:rsidRPr="00171972">
              <w:rPr>
                <w:sz w:val="26"/>
                <w:szCs w:val="26"/>
              </w:rPr>
              <w:t>tại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dự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thảo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Thông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tư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đã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bổ</w:t>
            </w:r>
            <w:proofErr w:type="spellEnd"/>
            <w:r w:rsidRPr="00171972">
              <w:rPr>
                <w:sz w:val="26"/>
                <w:szCs w:val="26"/>
              </w:rPr>
              <w:t xml:space="preserve"> sung </w:t>
            </w:r>
            <w:proofErr w:type="spellStart"/>
            <w:r w:rsidRPr="00171972">
              <w:rPr>
                <w:sz w:val="26"/>
                <w:szCs w:val="26"/>
              </w:rPr>
              <w:t>thêm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quy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định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điều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chỉnh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tăng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mức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thu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phí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thẩm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định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đối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với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cấp</w:t>
            </w:r>
            <w:proofErr w:type="spellEnd"/>
            <w:r w:rsidRPr="00171972">
              <w:rPr>
                <w:sz w:val="26"/>
                <w:szCs w:val="26"/>
              </w:rPr>
              <w:t xml:space="preserve">, </w:t>
            </w:r>
            <w:proofErr w:type="spellStart"/>
            <w:r w:rsidRPr="00171972">
              <w:rPr>
                <w:sz w:val="26"/>
                <w:szCs w:val="26"/>
              </w:rPr>
              <w:t>tiếp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nhận</w:t>
            </w:r>
            <w:proofErr w:type="spellEnd"/>
            <w:r w:rsidRPr="00171972">
              <w:rPr>
                <w:sz w:val="26"/>
                <w:szCs w:val="26"/>
              </w:rPr>
              <w:t xml:space="preserve">, </w:t>
            </w:r>
            <w:proofErr w:type="spellStart"/>
            <w:r w:rsidRPr="00171972">
              <w:rPr>
                <w:sz w:val="26"/>
                <w:szCs w:val="26"/>
              </w:rPr>
              <w:t>nhập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khẩu</w:t>
            </w:r>
            <w:proofErr w:type="spellEnd"/>
            <w:r w:rsidRPr="00171972">
              <w:rPr>
                <w:sz w:val="26"/>
                <w:szCs w:val="26"/>
              </w:rPr>
              <w:t xml:space="preserve">, </w:t>
            </w:r>
            <w:proofErr w:type="spellStart"/>
            <w:r w:rsidRPr="00171972">
              <w:rPr>
                <w:sz w:val="26"/>
                <w:szCs w:val="26"/>
              </w:rPr>
              <w:t>xuất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khẩu</w:t>
            </w:r>
            <w:proofErr w:type="spellEnd"/>
            <w:r w:rsidRPr="00171972">
              <w:rPr>
                <w:sz w:val="26"/>
                <w:szCs w:val="26"/>
              </w:rPr>
              <w:t xml:space="preserve">, </w:t>
            </w:r>
            <w:proofErr w:type="spellStart"/>
            <w:r w:rsidRPr="00171972">
              <w:rPr>
                <w:sz w:val="26"/>
                <w:szCs w:val="26"/>
              </w:rPr>
              <w:t>xác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nhận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trong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lĩnh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vực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chế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phẩm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diệt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côn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trùng</w:t>
            </w:r>
            <w:proofErr w:type="spellEnd"/>
            <w:r w:rsidRPr="00171972">
              <w:rPr>
                <w:sz w:val="26"/>
                <w:szCs w:val="26"/>
              </w:rPr>
              <w:t xml:space="preserve">, </w:t>
            </w:r>
            <w:proofErr w:type="spellStart"/>
            <w:r w:rsidRPr="00171972">
              <w:rPr>
                <w:sz w:val="26"/>
                <w:szCs w:val="26"/>
              </w:rPr>
              <w:t>diệt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khuẩn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trong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gia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dụng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và</w:t>
            </w:r>
            <w:proofErr w:type="spellEnd"/>
            <w:r w:rsidRPr="00171972">
              <w:rPr>
                <w:sz w:val="26"/>
                <w:szCs w:val="26"/>
              </w:rPr>
              <w:t xml:space="preserve"> y </w:t>
            </w:r>
            <w:proofErr w:type="spellStart"/>
            <w:r w:rsidRPr="00171972">
              <w:rPr>
                <w:sz w:val="26"/>
                <w:szCs w:val="26"/>
              </w:rPr>
              <w:t>tế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bằng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mức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tương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ứng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quy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định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tại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Thông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tư</w:t>
            </w:r>
            <w:proofErr w:type="spellEnd"/>
            <w:r w:rsidRPr="00171972">
              <w:rPr>
                <w:sz w:val="26"/>
                <w:szCs w:val="26"/>
              </w:rPr>
              <w:t xml:space="preserve"> </w:t>
            </w:r>
            <w:proofErr w:type="spellStart"/>
            <w:r w:rsidRPr="00171972">
              <w:rPr>
                <w:sz w:val="26"/>
                <w:szCs w:val="26"/>
              </w:rPr>
              <w:t>số</w:t>
            </w:r>
            <w:proofErr w:type="spellEnd"/>
            <w:r w:rsidRPr="00171972">
              <w:rPr>
                <w:sz w:val="26"/>
                <w:szCs w:val="26"/>
              </w:rPr>
              <w:t xml:space="preserve"> 231/2016/TT-BTC</w:t>
            </w:r>
            <w:r>
              <w:rPr>
                <w:sz w:val="26"/>
                <w:szCs w:val="26"/>
              </w:rPr>
              <w:t>.</w:t>
            </w:r>
            <w:r w:rsidRPr="00171972">
              <w:rPr>
                <w:sz w:val="26"/>
                <w:szCs w:val="26"/>
              </w:rPr>
              <w:t xml:space="preserve"> </w:t>
            </w:r>
          </w:p>
        </w:tc>
      </w:tr>
      <w:tr w:rsidR="002D5324" w:rsidRPr="00171972" w:rsidTr="00C851C4">
        <w:tc>
          <w:tcPr>
            <w:tcW w:w="540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2</w:t>
            </w:r>
          </w:p>
        </w:tc>
        <w:tc>
          <w:tcPr>
            <w:tcW w:w="3330" w:type="dxa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 xml:space="preserve">Phí thẩm định hồ sơ cấp giấy chứng nhận đăng ký </w:t>
            </w:r>
          </w:p>
        </w:tc>
        <w:tc>
          <w:tcPr>
            <w:tcW w:w="1201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6500" w:type="dxa"/>
            <w:vMerge/>
          </w:tcPr>
          <w:p w:rsidR="002D5324" w:rsidRPr="00906B9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2D5324" w:rsidRPr="00171972" w:rsidTr="00C851C4">
        <w:tc>
          <w:tcPr>
            <w:tcW w:w="540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a</w:t>
            </w:r>
          </w:p>
        </w:tc>
        <w:tc>
          <w:tcPr>
            <w:tcW w:w="3330" w:type="dxa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Thẩm định cấp mới</w:t>
            </w:r>
          </w:p>
        </w:tc>
        <w:tc>
          <w:tcPr>
            <w:tcW w:w="1201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8.000</w:t>
            </w:r>
          </w:p>
        </w:tc>
        <w:tc>
          <w:tcPr>
            <w:tcW w:w="1170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11.000</w:t>
            </w:r>
          </w:p>
        </w:tc>
        <w:tc>
          <w:tcPr>
            <w:tcW w:w="990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9.000</w:t>
            </w:r>
          </w:p>
        </w:tc>
        <w:tc>
          <w:tcPr>
            <w:tcW w:w="1440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9.000</w:t>
            </w:r>
          </w:p>
        </w:tc>
        <w:tc>
          <w:tcPr>
            <w:tcW w:w="6500" w:type="dxa"/>
            <w:vMerge/>
          </w:tcPr>
          <w:p w:rsidR="002D5324" w:rsidRPr="00906B9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2D5324" w:rsidRPr="00171972" w:rsidTr="00C851C4">
        <w:tc>
          <w:tcPr>
            <w:tcW w:w="540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b</w:t>
            </w:r>
          </w:p>
        </w:tc>
        <w:tc>
          <w:tcPr>
            <w:tcW w:w="3330" w:type="dxa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Thẩm định gia hạn</w:t>
            </w:r>
          </w:p>
        </w:tc>
        <w:tc>
          <w:tcPr>
            <w:tcW w:w="1201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1.000</w:t>
            </w:r>
          </w:p>
        </w:tc>
        <w:tc>
          <w:tcPr>
            <w:tcW w:w="1170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4.000</w:t>
            </w:r>
          </w:p>
        </w:tc>
        <w:tc>
          <w:tcPr>
            <w:tcW w:w="990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2.500</w:t>
            </w:r>
          </w:p>
        </w:tc>
        <w:tc>
          <w:tcPr>
            <w:tcW w:w="1440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2.500</w:t>
            </w:r>
          </w:p>
        </w:tc>
        <w:tc>
          <w:tcPr>
            <w:tcW w:w="6500" w:type="dxa"/>
            <w:vMerge/>
          </w:tcPr>
          <w:p w:rsidR="002D5324" w:rsidRPr="00906B9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2D5324" w:rsidRPr="00171972" w:rsidTr="00C851C4">
        <w:tc>
          <w:tcPr>
            <w:tcW w:w="540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c</w:t>
            </w:r>
          </w:p>
        </w:tc>
        <w:tc>
          <w:tcPr>
            <w:tcW w:w="3330" w:type="dxa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Thẩm định đăng ký lưu hành bổ sung</w:t>
            </w:r>
          </w:p>
        </w:tc>
        <w:tc>
          <w:tcPr>
            <w:tcW w:w="1201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6500" w:type="dxa"/>
            <w:vMerge/>
          </w:tcPr>
          <w:p w:rsidR="002D5324" w:rsidRPr="00906B9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2D5324" w:rsidRPr="00171972" w:rsidTr="00C851C4">
        <w:tc>
          <w:tcPr>
            <w:tcW w:w="540" w:type="dxa"/>
            <w:vAlign w:val="center"/>
          </w:tcPr>
          <w:p w:rsidR="002D5324" w:rsidRPr="00171972" w:rsidRDefault="0099063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c1</w:t>
            </w:r>
          </w:p>
        </w:tc>
        <w:tc>
          <w:tcPr>
            <w:tcW w:w="3330" w:type="dxa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Thay đổi tên, địa chỉ đơn vị sản xuất, đơn vị đăng ký; thay đổi quyền sở hữu giấy chứng nhận đăng ký lưu hành; cấp lại giấy đăng ký lưu hành</w:t>
            </w:r>
          </w:p>
        </w:tc>
        <w:tc>
          <w:tcPr>
            <w:tcW w:w="1201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1.000</w:t>
            </w:r>
          </w:p>
        </w:tc>
        <w:tc>
          <w:tcPr>
            <w:tcW w:w="1170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2.500</w:t>
            </w:r>
          </w:p>
        </w:tc>
        <w:tc>
          <w:tcPr>
            <w:tcW w:w="990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2.500</w:t>
            </w:r>
          </w:p>
        </w:tc>
        <w:tc>
          <w:tcPr>
            <w:tcW w:w="1440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2.500</w:t>
            </w:r>
          </w:p>
        </w:tc>
        <w:tc>
          <w:tcPr>
            <w:tcW w:w="6500" w:type="dxa"/>
            <w:vMerge/>
          </w:tcPr>
          <w:p w:rsidR="002D5324" w:rsidRPr="00906B9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2D5324" w:rsidRPr="00171972" w:rsidTr="00C851C4">
        <w:tc>
          <w:tcPr>
            <w:tcW w:w="540" w:type="dxa"/>
            <w:vAlign w:val="center"/>
          </w:tcPr>
          <w:p w:rsidR="002D5324" w:rsidRPr="00171972" w:rsidRDefault="0099063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c2</w:t>
            </w:r>
          </w:p>
        </w:tc>
        <w:tc>
          <w:tcPr>
            <w:tcW w:w="3330" w:type="dxa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Thay đổi địa điểm sản xuất, cơ sở sản xuất và thay đổi về tác dụng, chỉ tiêu chất lượng hoặc phương pháp sử dụng</w:t>
            </w:r>
          </w:p>
        </w:tc>
        <w:tc>
          <w:tcPr>
            <w:tcW w:w="1201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2.000</w:t>
            </w:r>
          </w:p>
        </w:tc>
        <w:tc>
          <w:tcPr>
            <w:tcW w:w="1170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3.500</w:t>
            </w:r>
          </w:p>
        </w:tc>
        <w:tc>
          <w:tcPr>
            <w:tcW w:w="990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2.500</w:t>
            </w:r>
          </w:p>
        </w:tc>
        <w:tc>
          <w:tcPr>
            <w:tcW w:w="1440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2.500</w:t>
            </w:r>
          </w:p>
        </w:tc>
        <w:tc>
          <w:tcPr>
            <w:tcW w:w="6500" w:type="dxa"/>
            <w:vMerge/>
          </w:tcPr>
          <w:p w:rsidR="002D5324" w:rsidRPr="00906B9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2D5324" w:rsidRPr="00171972" w:rsidTr="00C851C4">
        <w:tc>
          <w:tcPr>
            <w:tcW w:w="540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Phí thẩm định xác nhận nội dung quảng cáo</w:t>
            </w:r>
          </w:p>
        </w:tc>
        <w:tc>
          <w:tcPr>
            <w:tcW w:w="1201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1.000</w:t>
            </w:r>
          </w:p>
        </w:tc>
        <w:tc>
          <w:tcPr>
            <w:tcW w:w="1170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2.000</w:t>
            </w:r>
          </w:p>
        </w:tc>
        <w:tc>
          <w:tcPr>
            <w:tcW w:w="990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600</w:t>
            </w:r>
          </w:p>
        </w:tc>
        <w:tc>
          <w:tcPr>
            <w:tcW w:w="1440" w:type="dxa"/>
            <w:vAlign w:val="center"/>
          </w:tcPr>
          <w:p w:rsidR="002D5324" w:rsidRPr="0017197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  <w:r w:rsidRPr="00171972">
              <w:rPr>
                <w:sz w:val="26"/>
                <w:szCs w:val="26"/>
              </w:rPr>
              <w:t>600</w:t>
            </w:r>
          </w:p>
        </w:tc>
        <w:tc>
          <w:tcPr>
            <w:tcW w:w="6500" w:type="dxa"/>
            <w:vMerge/>
          </w:tcPr>
          <w:p w:rsidR="002D5324" w:rsidRPr="00906B92" w:rsidRDefault="002D5324" w:rsidP="00171972">
            <w:pPr>
              <w:spacing w:before="120"/>
              <w:jc w:val="both"/>
              <w:rPr>
                <w:sz w:val="26"/>
                <w:szCs w:val="26"/>
              </w:rPr>
            </w:pPr>
          </w:p>
        </w:tc>
      </w:tr>
    </w:tbl>
    <w:p w:rsidR="00CB7902" w:rsidRPr="00906B92" w:rsidRDefault="00CB7902" w:rsidP="00171972">
      <w:pPr>
        <w:spacing w:before="120" w:after="0"/>
        <w:jc w:val="both"/>
        <w:rPr>
          <w:sz w:val="26"/>
          <w:szCs w:val="26"/>
        </w:rPr>
      </w:pPr>
    </w:p>
    <w:sectPr w:rsidR="00CB7902" w:rsidRPr="00906B92" w:rsidSect="00990634">
      <w:pgSz w:w="16834" w:h="11909" w:orient="landscape" w:code="9"/>
      <w:pgMar w:top="864" w:right="864" w:bottom="864" w:left="86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972" w:rsidRDefault="00171972" w:rsidP="00DE3712">
      <w:pPr>
        <w:spacing w:after="0"/>
      </w:pPr>
      <w:r>
        <w:separator/>
      </w:r>
    </w:p>
  </w:endnote>
  <w:endnote w:type="continuationSeparator" w:id="0">
    <w:p w:rsidR="00171972" w:rsidRDefault="00171972" w:rsidP="00DE37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Fre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972" w:rsidRDefault="00171972" w:rsidP="00DE3712">
      <w:pPr>
        <w:spacing w:after="0"/>
      </w:pPr>
      <w:r>
        <w:separator/>
      </w:r>
    </w:p>
  </w:footnote>
  <w:footnote w:type="continuationSeparator" w:id="0">
    <w:p w:rsidR="00171972" w:rsidRDefault="00171972" w:rsidP="00DE371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902"/>
    <w:rsid w:val="000D2A85"/>
    <w:rsid w:val="00171972"/>
    <w:rsid w:val="002D5324"/>
    <w:rsid w:val="003F66E6"/>
    <w:rsid w:val="00425E8D"/>
    <w:rsid w:val="0050478C"/>
    <w:rsid w:val="0051382C"/>
    <w:rsid w:val="00516A9D"/>
    <w:rsid w:val="00550A9C"/>
    <w:rsid w:val="00596A07"/>
    <w:rsid w:val="005A3C16"/>
    <w:rsid w:val="005F5661"/>
    <w:rsid w:val="00660FA5"/>
    <w:rsid w:val="007D6835"/>
    <w:rsid w:val="007E34C1"/>
    <w:rsid w:val="008604CB"/>
    <w:rsid w:val="008D3D05"/>
    <w:rsid w:val="00906B92"/>
    <w:rsid w:val="00916D12"/>
    <w:rsid w:val="00990634"/>
    <w:rsid w:val="009A52E7"/>
    <w:rsid w:val="00A5045B"/>
    <w:rsid w:val="00A959F3"/>
    <w:rsid w:val="00AE25C5"/>
    <w:rsid w:val="00B0002C"/>
    <w:rsid w:val="00B13AD2"/>
    <w:rsid w:val="00B358A4"/>
    <w:rsid w:val="00BD25AD"/>
    <w:rsid w:val="00C46D12"/>
    <w:rsid w:val="00C851C4"/>
    <w:rsid w:val="00CB7902"/>
    <w:rsid w:val="00D15003"/>
    <w:rsid w:val="00D531E1"/>
    <w:rsid w:val="00DE3712"/>
    <w:rsid w:val="00E679BC"/>
    <w:rsid w:val="00E711FB"/>
    <w:rsid w:val="00E938B0"/>
    <w:rsid w:val="00ED596A"/>
    <w:rsid w:val="00FB5F60"/>
    <w:rsid w:val="00FC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9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3">
    <w:name w:val="vn_3"/>
    <w:basedOn w:val="DefaultParagraphFont"/>
    <w:rsid w:val="00CB7902"/>
  </w:style>
  <w:style w:type="paragraph" w:styleId="FootnoteText">
    <w:name w:val="footnote text"/>
    <w:basedOn w:val="Normal"/>
    <w:link w:val="FootnoteTextChar"/>
    <w:uiPriority w:val="99"/>
    <w:semiHidden/>
    <w:unhideWhenUsed/>
    <w:rsid w:val="00DE371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37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371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B483D-898E-40A4-9D10-159A9F77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phamhalinh</dc:creator>
  <cp:lastModifiedBy>phamhalinh</cp:lastModifiedBy>
  <cp:revision>7</cp:revision>
  <cp:lastPrinted>2019-08-22T09:37:00Z</cp:lastPrinted>
  <dcterms:created xsi:type="dcterms:W3CDTF">2019-08-19T10:01:00Z</dcterms:created>
  <dcterms:modified xsi:type="dcterms:W3CDTF">2019-08-22T10:07:00Z</dcterms:modified>
</cp:coreProperties>
</file>