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Ind w:w="-446" w:type="dxa"/>
        <w:tblCellMar>
          <w:top w:w="15" w:type="dxa"/>
          <w:left w:w="15" w:type="dxa"/>
          <w:bottom w:w="15" w:type="dxa"/>
          <w:right w:w="15" w:type="dxa"/>
        </w:tblCellMar>
        <w:tblLook w:val="04A0" w:firstRow="1" w:lastRow="0" w:firstColumn="1" w:lastColumn="0" w:noHBand="0" w:noVBand="1"/>
      </w:tblPr>
      <w:tblGrid>
        <w:gridCol w:w="2599"/>
        <w:gridCol w:w="7035"/>
      </w:tblGrid>
      <w:tr w:rsidR="000D7870" w:rsidRPr="000D7870" w14:paraId="50F68B3F" w14:textId="77777777" w:rsidTr="000D7870">
        <w:trPr>
          <w:trHeight w:val="284"/>
        </w:trPr>
        <w:tc>
          <w:tcPr>
            <w:tcW w:w="0" w:type="auto"/>
            <w:hideMark/>
          </w:tcPr>
          <w:p w14:paraId="040E1FAA" w14:textId="77777777" w:rsidR="000D7870" w:rsidRPr="000D7870" w:rsidRDefault="000D7870" w:rsidP="000D7870">
            <w:pPr>
              <w:spacing w:before="120" w:after="120" w:line="312" w:lineRule="auto"/>
              <w:jc w:val="center"/>
              <w:rPr>
                <w:rFonts w:ascii="Times New Roman" w:eastAsia="Times New Roman" w:hAnsi="Times New Roman" w:cs="Times New Roman"/>
                <w:b/>
                <w:bCs/>
                <w:color w:val="333333"/>
                <w:sz w:val="28"/>
                <w:szCs w:val="28"/>
              </w:rPr>
            </w:pPr>
            <w:r w:rsidRPr="000D7870">
              <w:rPr>
                <w:rFonts w:ascii="Times New Roman" w:eastAsia="Times New Roman" w:hAnsi="Times New Roman" w:cs="Times New Roman"/>
                <w:b/>
                <w:bCs/>
                <w:color w:val="333333"/>
                <w:sz w:val="28"/>
                <w:szCs w:val="28"/>
              </w:rPr>
              <w:t>BỘ TÀI CHÍNH</w:t>
            </w:r>
          </w:p>
          <w:p w14:paraId="2CE1678B" w14:textId="3952B3D0" w:rsidR="000D7870" w:rsidRPr="000D7870" w:rsidRDefault="000D7870" w:rsidP="000D7870">
            <w:pPr>
              <w:spacing w:before="120" w:after="120" w:line="312" w:lineRule="auto"/>
              <w:jc w:val="center"/>
              <w:rPr>
                <w:rFonts w:ascii="Times New Roman" w:eastAsia="Times New Roman" w:hAnsi="Times New Roman" w:cs="Times New Roman"/>
                <w:color w:val="333333"/>
                <w:sz w:val="28"/>
                <w:szCs w:val="28"/>
              </w:rPr>
            </w:pPr>
          </w:p>
          <w:p w14:paraId="5E4E0E78" w14:textId="34C8F852" w:rsidR="000D7870" w:rsidRPr="000D7870" w:rsidRDefault="000D7870" w:rsidP="000D7870">
            <w:pPr>
              <w:spacing w:before="120" w:after="120" w:line="312" w:lineRule="auto"/>
              <w:jc w:val="center"/>
              <w:rPr>
                <w:rFonts w:ascii="Times New Roman" w:eastAsia="Times New Roman" w:hAnsi="Times New Roman" w:cs="Times New Roman"/>
                <w:color w:val="333333"/>
                <w:sz w:val="28"/>
                <w:szCs w:val="28"/>
              </w:rPr>
            </w:pPr>
          </w:p>
          <w:p w14:paraId="738DFCAA" w14:textId="77777777" w:rsidR="000D7870" w:rsidRPr="000D7870" w:rsidRDefault="000D7870" w:rsidP="000D7870">
            <w:pPr>
              <w:spacing w:before="120" w:after="120" w:line="312" w:lineRule="auto"/>
              <w:jc w:val="center"/>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Số: /2019/TT-BTC</w:t>
            </w:r>
          </w:p>
        </w:tc>
        <w:tc>
          <w:tcPr>
            <w:tcW w:w="0" w:type="auto"/>
            <w:hideMark/>
          </w:tcPr>
          <w:p w14:paraId="2922F541" w14:textId="77777777" w:rsidR="000D7870" w:rsidRPr="000D7870" w:rsidRDefault="000D7870" w:rsidP="000D7870">
            <w:pPr>
              <w:spacing w:before="120" w:after="120" w:line="312" w:lineRule="auto"/>
              <w:jc w:val="center"/>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CỘNG HOÀ XÃ HỘI CHỦ NGHĨA VIỆT NAM</w:t>
            </w:r>
          </w:p>
          <w:p w14:paraId="3D277CE1" w14:textId="77777777" w:rsidR="000D7870" w:rsidRPr="000D7870" w:rsidRDefault="000D7870" w:rsidP="000D7870">
            <w:pPr>
              <w:spacing w:before="120" w:after="120" w:line="312" w:lineRule="auto"/>
              <w:jc w:val="center"/>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Độc lập - Tự do - Hạnh phúc</w:t>
            </w:r>
          </w:p>
          <w:p w14:paraId="2EEE9B68" w14:textId="1CEB3FC0" w:rsidR="000D7870" w:rsidRPr="000D7870" w:rsidRDefault="000D7870" w:rsidP="000D7870">
            <w:pPr>
              <w:spacing w:before="120" w:after="120" w:line="312" w:lineRule="auto"/>
              <w:jc w:val="center"/>
              <w:rPr>
                <w:rFonts w:ascii="Times New Roman" w:eastAsia="Times New Roman" w:hAnsi="Times New Roman" w:cs="Times New Roman"/>
                <w:color w:val="333333"/>
                <w:sz w:val="28"/>
                <w:szCs w:val="28"/>
              </w:rPr>
            </w:pPr>
          </w:p>
          <w:p w14:paraId="12CCAC31" w14:textId="77777777" w:rsidR="000D7870" w:rsidRPr="000D7870" w:rsidRDefault="000D7870" w:rsidP="000D7870">
            <w:pPr>
              <w:spacing w:before="120" w:after="120" w:line="312" w:lineRule="auto"/>
              <w:jc w:val="center"/>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Hà Nội, ngày tháng năm 2019</w:t>
            </w:r>
          </w:p>
        </w:tc>
      </w:tr>
    </w:tbl>
    <w:p w14:paraId="1D48D99D" w14:textId="77777777" w:rsidR="000D7870" w:rsidRPr="000D7870" w:rsidRDefault="000D7870" w:rsidP="000D7870">
      <w:pPr>
        <w:spacing w:before="120" w:after="120" w:line="312" w:lineRule="auto"/>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 </w:t>
      </w:r>
    </w:p>
    <w:p w14:paraId="0ED11AD4" w14:textId="77777777" w:rsidR="000D7870" w:rsidRPr="000D7870" w:rsidRDefault="000D7870" w:rsidP="000D7870">
      <w:pPr>
        <w:spacing w:before="120" w:after="120" w:line="312" w:lineRule="auto"/>
        <w:jc w:val="center"/>
        <w:rPr>
          <w:rFonts w:ascii="Times New Roman" w:eastAsia="Times New Roman" w:hAnsi="Times New Roman" w:cs="Times New Roman"/>
          <w:b/>
          <w:bCs/>
          <w:color w:val="333333"/>
          <w:sz w:val="28"/>
          <w:szCs w:val="28"/>
        </w:rPr>
      </w:pPr>
      <w:r w:rsidRPr="000D7870">
        <w:rPr>
          <w:rFonts w:ascii="Times New Roman" w:eastAsia="Times New Roman" w:hAnsi="Times New Roman" w:cs="Times New Roman"/>
          <w:b/>
          <w:bCs/>
          <w:color w:val="333333"/>
          <w:sz w:val="28"/>
          <w:szCs w:val="28"/>
        </w:rPr>
        <w:t>THÔNG TƯ</w:t>
      </w:r>
    </w:p>
    <w:p w14:paraId="06FEF2BD" w14:textId="77777777" w:rsidR="000D7870" w:rsidRPr="000D7870" w:rsidRDefault="000D7870" w:rsidP="000D7870">
      <w:pPr>
        <w:spacing w:before="120" w:after="120" w:line="312" w:lineRule="auto"/>
        <w:jc w:val="center"/>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Sửa đổi, bổ sung một số điều tại Thông tư số 72/2014/TT-BTC ngày 30 tháng 5 năm 2014 của Bộ trưởng Bộ trưởng Bộ Tài chính quy định về hoàn thuế giá trị gia tăng đối với hàng hoá của người nước ngoài, người Việt Nam định cư ở nước ngoài mang theo khi xuất cảnh</w:t>
      </w:r>
    </w:p>
    <w:p w14:paraId="7DB2E737" w14:textId="77777777" w:rsidR="000D7870" w:rsidRPr="000D7870" w:rsidRDefault="000D7870" w:rsidP="000D7870">
      <w:pPr>
        <w:spacing w:before="120" w:after="120" w:line="312" w:lineRule="auto"/>
        <w:ind w:firstLine="68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 xml:space="preserve">Căn cứ Luật thuế giá trị gia tăng ngày 03 tháng 6 năm 2008; Luật sửa đổi, bổ sung một số Điều </w:t>
      </w:r>
      <w:bookmarkStart w:id="0" w:name="_GoBack"/>
      <w:bookmarkEnd w:id="0"/>
      <w:r w:rsidRPr="000D7870">
        <w:rPr>
          <w:rFonts w:ascii="Times New Roman" w:eastAsia="Times New Roman" w:hAnsi="Times New Roman" w:cs="Times New Roman"/>
          <w:i/>
          <w:iCs/>
          <w:color w:val="333333"/>
          <w:sz w:val="28"/>
          <w:szCs w:val="28"/>
        </w:rPr>
        <w:t>của Luật Thuế giá trị gia tăng ngày 19 tháng 6 năm 2013;</w:t>
      </w:r>
    </w:p>
    <w:p w14:paraId="535D2FC7" w14:textId="77777777" w:rsidR="000D7870" w:rsidRPr="000D7870" w:rsidRDefault="000D7870" w:rsidP="000D7870">
      <w:pPr>
        <w:spacing w:before="120" w:after="120" w:line="312" w:lineRule="auto"/>
        <w:ind w:firstLine="68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Căn cứ Luật Quản lý thuế ngày 29 tháng 11 năm 2006; Luật sửa đổi, bổ sung một số điều của Luật Quản lý thuế ngày 20 tháng 11 năm 2012; </w:t>
      </w:r>
    </w:p>
    <w:p w14:paraId="38FEB671"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Căn cứ Nghị định số 83/2013/NĐ-CP ngày 22 tháng 7 năm 2013 của Chính phủ quy định chi tiết thi hành một số điều của Luật quản lý thuế và Luật sửa đổi, bổ sung một số điều của Luật quản lý thuế;</w:t>
      </w:r>
    </w:p>
    <w:p w14:paraId="1EA9DC07"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Căn cứ Nghị định số 209/2013/NĐ-CP ngày 18/12/2013 của Chính phủ quy định chi tiết và hướng dẫn một số điều Luật thuế giá trị gia tăng;</w:t>
      </w:r>
    </w:p>
    <w:p w14:paraId="756ABD40"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Căn cứ Nghị định số 87/2017/NĐ-CP ngày 26 tháng 7 năm 2017 của Chính phủ quy định chức năng, nhiệm vụ, quyền hạn và cơ cấu tổ chức của Bộ Tài chính;</w:t>
      </w:r>
    </w:p>
    <w:p w14:paraId="1AEB2FBF"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Theo đề nghị của Tổng cục trưởng Tổng cục Hải quan,</w:t>
      </w:r>
    </w:p>
    <w:p w14:paraId="4B9370A7"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Bộ trưởng Bộ Tài chính ban hành Thông tư sửa đổi, bổ sung một số điều tại Thông tư số 72/2014/TT-BTC ngày 30 tháng 5 năm 2014 của Bộ trưởng Bộ trưởng Bộ Tài chính quy định về hoàn thuế giá trị gia tăng đối với hàng hoá của người nước ngoài, người Việt Nam định cư ở nước ngoài mang theo khi xuất cảnh.</w:t>
      </w:r>
    </w:p>
    <w:p w14:paraId="72558E55" w14:textId="77777777" w:rsidR="000D7870" w:rsidRPr="000D7870" w:rsidRDefault="000D7870" w:rsidP="000D7870">
      <w:pPr>
        <w:spacing w:before="120" w:after="120" w:line="312" w:lineRule="auto"/>
        <w:ind w:firstLine="624"/>
        <w:jc w:val="both"/>
        <w:rPr>
          <w:rFonts w:ascii="Times New Roman" w:eastAsia="Times New Roman" w:hAnsi="Times New Roman" w:cs="Times New Roman"/>
          <w:b/>
          <w:bCs/>
          <w:color w:val="333333"/>
          <w:sz w:val="28"/>
          <w:szCs w:val="28"/>
        </w:rPr>
      </w:pPr>
      <w:r w:rsidRPr="000D7870">
        <w:rPr>
          <w:rFonts w:ascii="Times New Roman" w:eastAsia="Times New Roman" w:hAnsi="Times New Roman" w:cs="Times New Roman"/>
          <w:b/>
          <w:bCs/>
          <w:color w:val="333333"/>
          <w:sz w:val="28"/>
          <w:szCs w:val="28"/>
        </w:rPr>
        <w:lastRenderedPageBreak/>
        <w:t>Điều 1. Sửa đổi, bổ sung một số điều tại Thông tư số 72/2014/TT-BTC ngày 30 tháng 5 năm 2014 của Bộ trưởng Bộ trưởng Bộ Tài chính quy định về hoàn thuế giá trị gia tăng đối với hàng hoá của người nước ngoài, người Việt Nam định cư ở nước ngoài mang theo khi xuất cảnh:</w:t>
      </w:r>
    </w:p>
    <w:p w14:paraId="574240A6"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1. Bổ sung Điều 4a như sau:</w:t>
      </w:r>
    </w:p>
    <w:p w14:paraId="23B6FE31"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i/>
          <w:iCs/>
          <w:color w:val="333333"/>
          <w:sz w:val="28"/>
          <w:szCs w:val="28"/>
        </w:rPr>
      </w:pPr>
      <w:bookmarkStart w:id="1" w:name="dieu_6"/>
      <w:bookmarkEnd w:id="1"/>
      <w:r w:rsidRPr="000D7870">
        <w:rPr>
          <w:rFonts w:ascii="Times New Roman" w:eastAsia="Times New Roman" w:hAnsi="Times New Roman" w:cs="Times New Roman"/>
          <w:b/>
          <w:bCs/>
          <w:color w:val="333333"/>
          <w:sz w:val="28"/>
          <w:szCs w:val="28"/>
        </w:rPr>
        <w:t>“Điều 4a. Hệ thống quản lý hoàn thuế GTGT cho người nước ngoài </w:t>
      </w:r>
    </w:p>
    <w:p w14:paraId="3E426821"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1. Cơ quan hải quan chịu trách nhiệm tổ chức xây dựng, quản lý, vận hành và khai thác sử dụng Hệ thống quản lý hoàn thuế GTGT cho người nước ngoài (sau đây gọi tắt là Hệ thống).</w:t>
      </w:r>
    </w:p>
    <w:p w14:paraId="14A19B06"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2. Các cơ quan, tổ chức, cá nhân trong phạm vi thẩm quyền có trách nhiệm cung cấp, trao đổi thông tin liên quan đến việc hoàn thuế GTGT cho người nước ngoài với cơ quan hải quan thông qua Hệ thống theo quy định tại Phụ lục IV ban hành kèm theo Thông tư này.</w:t>
      </w:r>
    </w:p>
    <w:p w14:paraId="16C4F146"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3. Các đối tượng được truy cập và trao đổi thông tin với Hệ thống:</w:t>
      </w:r>
    </w:p>
    <w:p w14:paraId="1C68D7D5"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a) Cơ quan hải quan, công chức hải quan;</w:t>
      </w:r>
    </w:p>
    <w:p w14:paraId="7D2CD234"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b) Doanh nghiệp đăng ký tham gia bán hàng hoàn thuế GTGT cho người nước ngoài (người bán hàng);</w:t>
      </w:r>
    </w:p>
    <w:p w14:paraId="3B890E33"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c) Tổng cục Thuế</w:t>
      </w:r>
    </w:p>
    <w:p w14:paraId="13F2975E"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d) Kho bạc Nhà nước</w:t>
      </w:r>
    </w:p>
    <w:p w14:paraId="5CA5A6A5"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e) Ngân hàng thương mại là đại lý hoàn thuế GTGT cho người nước ngoài</w:t>
      </w:r>
    </w:p>
    <w:p w14:paraId="59F6FC4E"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g) Các tổ chức, cá nhân khác theo quy định của Tổng cục Hải quan.</w:t>
      </w:r>
    </w:p>
    <w:p w14:paraId="733A198B"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4. Cấp tài khoản truy cập Hệ thống:</w:t>
      </w:r>
    </w:p>
    <w:p w14:paraId="16F2E834"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a) Các đối tượng quy định tại khoản 3 Điều này được cấp tài khoản truy cập Hệ thống theo quy định của cơ quan hải quan;</w:t>
      </w:r>
    </w:p>
    <w:p w14:paraId="7FC2CC5B"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b) Việc truy cập Hệ thống phải đảm bảo đúng thẩm quyền, đảm bảo bí mật nhà nước, bí mật thông tin theo quy định của pháp luật.</w:t>
      </w:r>
    </w:p>
    <w:p w14:paraId="6F26CB79"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5. Tổ chức, cá nhân tham gia Hệ thống phải đáp ứng các điều kiện sau:</w:t>
      </w:r>
    </w:p>
    <w:p w14:paraId="3E58CA15"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lastRenderedPageBreak/>
        <w:t>a) Đăng ký tham gia (với Tổng cục cục Hải quan) kết nối với Hệ thống để được cấp tài khoản truy cập và các thông tin kết nối. Khi có thay đổi, bổ sung hoặc hủy hiệu lực thông tin đăng ký, tổ chức, cá nhân phải thông báo ngay cho cơ quan hải quan. Việc đăng ký, sửa đổi, bổ sung hoặc hủy thông tin đăng ký thực hiện theo hướng dẫn tại Phụ lục II ban hành kèm theo Thông tư này;</w:t>
      </w:r>
    </w:p>
    <w:p w14:paraId="6F4D5B79"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b) Trang bị đầy đủ về hạ tầng kỹ thuật trong hoạt động giao dịch điện tử đảm bảo cho việc khai báo, truyền, nhận, lưu trữ thông tin khi truy cập và trao đổi thông tin với Hệ thống; sử dụng phần mềm hoàn thuế GTGT cho người nước ngoài do cơ quan hải quan cung cấp (nếu có) hoặc phần mềm hoàn thuế GTGT cho người nước ngoài đã được Tổng cục Hải quan kiểm tra và xác nhận phù hợp yêu cầu nghiệp vụ của cơ quan hải quan. Tổng cục Hải quan ban hành Quyết định công nhận phần mềm quản lý hoàn thuế GTGT cho người nước ngoài và công bố trên Cổng thông tin điện tử của ngành Hải quan”.</w:t>
      </w:r>
    </w:p>
    <w:p w14:paraId="05BB149E"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2. Khoản 2, khoản 6, khoản 8 Điều 6 được sửa đổi, bổ sung như sau:</w:t>
      </w:r>
    </w:p>
    <w:p w14:paraId="751294FD"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w:t>
      </w:r>
      <w:r w:rsidRPr="000D7870">
        <w:rPr>
          <w:rFonts w:ascii="Times New Roman" w:eastAsia="Times New Roman" w:hAnsi="Times New Roman" w:cs="Times New Roman"/>
          <w:color w:val="333333"/>
          <w:sz w:val="28"/>
          <w:szCs w:val="28"/>
        </w:rPr>
        <w:t>2. Đăng ký việc bán hàng đúng địa chỉ và chịu trách nhiệm trước pháp luật về việc đăng ký bán hàng hoàn thuế giá trị gia tăng</w:t>
      </w:r>
      <w:r w:rsidRPr="000D7870">
        <w:rPr>
          <w:rFonts w:ascii="Times New Roman" w:eastAsia="Times New Roman" w:hAnsi="Times New Roman" w:cs="Times New Roman"/>
          <w:i/>
          <w:iCs/>
          <w:color w:val="333333"/>
          <w:sz w:val="28"/>
          <w:szCs w:val="28"/>
        </w:rPr>
        <w:t>. </w:t>
      </w:r>
      <w:r w:rsidRPr="000D7870">
        <w:rPr>
          <w:rFonts w:ascii="Times New Roman" w:eastAsia="Times New Roman" w:hAnsi="Times New Roman" w:cs="Times New Roman"/>
          <w:b/>
          <w:bCs/>
          <w:i/>
          <w:iCs/>
          <w:color w:val="333333"/>
          <w:sz w:val="28"/>
          <w:szCs w:val="28"/>
        </w:rPr>
        <w:t>Trường hợp có điều chỉnh hoặc chấm dứt việc bán hàng hoàn thuế thì phải thực hiện điều chỉnh theo quy định tại Điều 14 Thông tư này”</w:t>
      </w:r>
    </w:p>
    <w:p w14:paraId="64EA9276"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6. Căn cứ các thông tin trên hộ chiếu hoặc giấy tờ nhập xuất cảnh còn giá trị và hàng hoá người nước ngoài mua, doanh nghiệp bán hàng lập hoá đơn kiêm tờ khai hoàn thuế cho hàng hóa thuộc đối tượng hoàn thuế giá trị gia tăng đáp ứng quy định tại Điều 11 Thông tư này </w:t>
      </w:r>
      <w:r w:rsidRPr="000D7870">
        <w:rPr>
          <w:rFonts w:ascii="Times New Roman" w:eastAsia="Times New Roman" w:hAnsi="Times New Roman" w:cs="Times New Roman"/>
          <w:b/>
          <w:bCs/>
          <w:i/>
          <w:iCs/>
          <w:color w:val="333333"/>
          <w:sz w:val="28"/>
          <w:szCs w:val="28"/>
        </w:rPr>
        <w:t>trên hệ thống hoàn thuế giá trị gia tăng cho người nước ngoài,nhập </w:t>
      </w:r>
      <w:r w:rsidRPr="000D7870">
        <w:rPr>
          <w:rFonts w:ascii="Times New Roman" w:eastAsia="Times New Roman" w:hAnsi="Times New Roman" w:cs="Times New Roman"/>
          <w:color w:val="333333"/>
          <w:sz w:val="28"/>
          <w:szCs w:val="28"/>
        </w:rPr>
        <w:t>đầy đủ thông tin theo mẫu quy định tại </w:t>
      </w:r>
      <w:r w:rsidRPr="000D7870">
        <w:rPr>
          <w:rFonts w:ascii="Times New Roman" w:eastAsia="Times New Roman" w:hAnsi="Times New Roman" w:cs="Times New Roman"/>
          <w:b/>
          <w:bCs/>
          <w:i/>
          <w:iCs/>
          <w:color w:val="333333"/>
          <w:sz w:val="28"/>
          <w:szCs w:val="28"/>
        </w:rPr>
        <w:t>Phụ lục 3 Thông tư này, in ra</w:t>
      </w:r>
      <w:r w:rsidRPr="000D7870">
        <w:rPr>
          <w:rFonts w:ascii="Times New Roman" w:eastAsia="Times New Roman" w:hAnsi="Times New Roman" w:cs="Times New Roman"/>
          <w:color w:val="333333"/>
          <w:sz w:val="28"/>
          <w:szCs w:val="28"/>
        </w:rPr>
        <w:t>, giao cho người nước ngoài 01 liên dùng cho khách hàng.</w:t>
      </w:r>
    </w:p>
    <w:p w14:paraId="1601B015"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8. Tham gia vào hệ thống quản lý hoàn thuế giá trị gia tăng cho người nước ngoài theo phương thức điện tử của cơ quan quản lý thuế </w:t>
      </w:r>
      <w:r w:rsidRPr="000D7870">
        <w:rPr>
          <w:rFonts w:ascii="Times New Roman" w:eastAsia="Times New Roman" w:hAnsi="Times New Roman" w:cs="Times New Roman"/>
          <w:b/>
          <w:bCs/>
          <w:i/>
          <w:iCs/>
          <w:color w:val="333333"/>
          <w:sz w:val="28"/>
          <w:szCs w:val="28"/>
        </w:rPr>
        <w:t>theo quy định tại Điều 4a, Phụ lục IV Thông tư này</w:t>
      </w:r>
      <w:r w:rsidRPr="000D7870">
        <w:rPr>
          <w:rFonts w:ascii="Times New Roman" w:eastAsia="Times New Roman" w:hAnsi="Times New Roman" w:cs="Times New Roman"/>
          <w:color w:val="333333"/>
          <w:sz w:val="28"/>
          <w:szCs w:val="28"/>
        </w:rPr>
        <w:t>, </w:t>
      </w:r>
      <w:r w:rsidRPr="000D7870">
        <w:rPr>
          <w:rFonts w:ascii="Times New Roman" w:eastAsia="Times New Roman" w:hAnsi="Times New Roman" w:cs="Times New Roman"/>
          <w:b/>
          <w:bCs/>
          <w:i/>
          <w:iCs/>
          <w:color w:val="333333"/>
          <w:sz w:val="28"/>
          <w:szCs w:val="28"/>
        </w:rPr>
        <w:t>sử dụng chữ ký số theo hướng dẫn tại Phụ lục III Thông tư này và có trách nhiệm lập</w:t>
      </w:r>
      <w:r w:rsidRPr="000D7870">
        <w:rPr>
          <w:rFonts w:ascii="Times New Roman" w:eastAsia="Times New Roman" w:hAnsi="Times New Roman" w:cs="Times New Roman"/>
          <w:i/>
          <w:iCs/>
          <w:color w:val="333333"/>
          <w:sz w:val="28"/>
          <w:szCs w:val="28"/>
        </w:rPr>
        <w:t> </w:t>
      </w:r>
      <w:r w:rsidRPr="000D7870">
        <w:rPr>
          <w:rFonts w:ascii="Times New Roman" w:eastAsia="Times New Roman" w:hAnsi="Times New Roman" w:cs="Times New Roman"/>
          <w:b/>
          <w:bCs/>
          <w:i/>
          <w:iCs/>
          <w:color w:val="333333"/>
          <w:sz w:val="28"/>
          <w:szCs w:val="28"/>
        </w:rPr>
        <w:t>hóa đơn kiêm tờ khai hoàn thuế theo mẫu ban hành kèm theo Phụ lục 3 Thông tư này trên hệ thống quản lý hoàn thuế giá trị gia tăng cho người nước ngoài</w:t>
      </w:r>
      <w:r w:rsidRPr="000D7870">
        <w:rPr>
          <w:rFonts w:ascii="Times New Roman" w:eastAsia="Times New Roman" w:hAnsi="Times New Roman" w:cs="Times New Roman"/>
          <w:color w:val="333333"/>
          <w:sz w:val="28"/>
          <w:szCs w:val="28"/>
        </w:rPr>
        <w:t> </w:t>
      </w:r>
      <w:r w:rsidRPr="000D7870">
        <w:rPr>
          <w:rFonts w:ascii="Times New Roman" w:eastAsia="Times New Roman" w:hAnsi="Times New Roman" w:cs="Times New Roman"/>
          <w:b/>
          <w:bCs/>
          <w:i/>
          <w:iCs/>
          <w:color w:val="333333"/>
          <w:sz w:val="28"/>
          <w:szCs w:val="28"/>
        </w:rPr>
        <w:t>với các thông tin đầy đủ, chính xác, kịp thời”.</w:t>
      </w:r>
    </w:p>
    <w:p w14:paraId="59CCC8BB" w14:textId="77777777" w:rsidR="000D7870" w:rsidRPr="000D7870" w:rsidRDefault="000D7870" w:rsidP="000D7870">
      <w:pPr>
        <w:spacing w:before="120" w:after="120" w:line="312" w:lineRule="auto"/>
        <w:ind w:hanging="432"/>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lastRenderedPageBreak/>
        <w:t>         </w:t>
      </w:r>
      <w:r w:rsidRPr="000D7870">
        <w:rPr>
          <w:rFonts w:ascii="Times New Roman" w:eastAsia="Times New Roman" w:hAnsi="Times New Roman" w:cs="Times New Roman"/>
          <w:b/>
          <w:bCs/>
          <w:color w:val="333333"/>
          <w:sz w:val="28"/>
          <w:szCs w:val="28"/>
        </w:rPr>
        <w:t>3. Khoản 9 Điều 7 được sửa đổi, bổ sung như sau:</w:t>
      </w:r>
    </w:p>
    <w:p w14:paraId="203D8321" w14:textId="77777777" w:rsidR="000D7870" w:rsidRPr="000D7870" w:rsidRDefault="000D7870" w:rsidP="000D7870">
      <w:pPr>
        <w:spacing w:before="120" w:after="120" w:line="312" w:lineRule="auto"/>
        <w:ind w:hanging="432"/>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         “9. Tham gia, </w:t>
      </w:r>
      <w:r w:rsidRPr="000D7870">
        <w:rPr>
          <w:rFonts w:ascii="Times New Roman" w:eastAsia="Times New Roman" w:hAnsi="Times New Roman" w:cs="Times New Roman"/>
          <w:b/>
          <w:bCs/>
          <w:i/>
          <w:iCs/>
          <w:color w:val="333333"/>
          <w:sz w:val="28"/>
          <w:szCs w:val="28"/>
        </w:rPr>
        <w:t>kết nối, cập nhật thông tin</w:t>
      </w:r>
      <w:r w:rsidRPr="000D7870">
        <w:rPr>
          <w:rFonts w:ascii="Times New Roman" w:eastAsia="Times New Roman" w:hAnsi="Times New Roman" w:cs="Times New Roman"/>
          <w:color w:val="333333"/>
          <w:sz w:val="28"/>
          <w:szCs w:val="28"/>
        </w:rPr>
        <w:t> vào hệ thống quản lý hoàn thuế giá trị gia tăng cho người nước ngoài theo phương thức điện tử của cơ quan quản lý thuế </w:t>
      </w:r>
      <w:r w:rsidRPr="000D7870">
        <w:rPr>
          <w:rFonts w:ascii="Times New Roman" w:eastAsia="Times New Roman" w:hAnsi="Times New Roman" w:cs="Times New Roman"/>
          <w:b/>
          <w:bCs/>
          <w:i/>
          <w:iCs/>
          <w:color w:val="333333"/>
          <w:sz w:val="28"/>
          <w:szCs w:val="28"/>
        </w:rPr>
        <w:t>theo quy định tại Điều 4a và Phụ lục IV Thông tư này</w:t>
      </w:r>
      <w:r w:rsidRPr="000D7870">
        <w:rPr>
          <w:rFonts w:ascii="Times New Roman" w:eastAsia="Times New Roman" w:hAnsi="Times New Roman" w:cs="Times New Roman"/>
          <w:color w:val="333333"/>
          <w:sz w:val="28"/>
          <w:szCs w:val="28"/>
        </w:rPr>
        <w:t>”.</w:t>
      </w:r>
    </w:p>
    <w:p w14:paraId="72DC509E"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4. Khoản 4, khoản 5, khoản 7 Điều 8 được sửa đổi, bổ sung như sau:</w:t>
      </w:r>
    </w:p>
    <w:p w14:paraId="090DB01E"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i/>
          <w:iCs/>
          <w:color w:val="333333"/>
          <w:sz w:val="28"/>
          <w:szCs w:val="28"/>
        </w:rPr>
        <w:t>“</w:t>
      </w:r>
      <w:r w:rsidRPr="000D7870">
        <w:rPr>
          <w:rFonts w:ascii="Times New Roman" w:eastAsia="Times New Roman" w:hAnsi="Times New Roman" w:cs="Times New Roman"/>
          <w:i/>
          <w:iCs/>
          <w:color w:val="333333"/>
          <w:sz w:val="28"/>
          <w:szCs w:val="28"/>
        </w:rPr>
        <w:t>4. </w:t>
      </w:r>
      <w:r w:rsidRPr="000D7870">
        <w:rPr>
          <w:rFonts w:ascii="Times New Roman" w:eastAsia="Times New Roman" w:hAnsi="Times New Roman" w:cs="Times New Roman"/>
          <w:b/>
          <w:bCs/>
          <w:i/>
          <w:iCs/>
          <w:color w:val="333333"/>
          <w:sz w:val="28"/>
          <w:szCs w:val="28"/>
        </w:rPr>
        <w:t>Tổng cục Hải quan</w:t>
      </w:r>
      <w:r w:rsidRPr="000D7870">
        <w:rPr>
          <w:rFonts w:ascii="Times New Roman" w:eastAsia="Times New Roman" w:hAnsi="Times New Roman" w:cs="Times New Roman"/>
          <w:i/>
          <w:iCs/>
          <w:color w:val="333333"/>
          <w:sz w:val="28"/>
          <w:szCs w:val="28"/>
        </w:rPr>
        <w:t> </w:t>
      </w:r>
      <w:r w:rsidRPr="000D7870">
        <w:rPr>
          <w:rFonts w:ascii="Times New Roman" w:eastAsia="Times New Roman" w:hAnsi="Times New Roman" w:cs="Times New Roman"/>
          <w:color w:val="333333"/>
          <w:sz w:val="28"/>
          <w:szCs w:val="28"/>
        </w:rPr>
        <w:t>tiếp nhận hồ sơ, trình Bộ Tài chính lựa chọn Ngân hàng thương mại làm đại lý hoàn thuế theo đúng quy định tại Điều 15 Thông tư này</w:t>
      </w:r>
      <w:r w:rsidRPr="000D7870">
        <w:rPr>
          <w:rFonts w:ascii="Times New Roman" w:eastAsia="Times New Roman" w:hAnsi="Times New Roman" w:cs="Times New Roman"/>
          <w:i/>
          <w:iCs/>
          <w:color w:val="333333"/>
          <w:sz w:val="28"/>
          <w:szCs w:val="28"/>
        </w:rPr>
        <w:t> </w:t>
      </w:r>
      <w:r w:rsidRPr="000D7870">
        <w:rPr>
          <w:rFonts w:ascii="Times New Roman" w:eastAsia="Times New Roman" w:hAnsi="Times New Roman" w:cs="Times New Roman"/>
          <w:b/>
          <w:bCs/>
          <w:i/>
          <w:iCs/>
          <w:color w:val="333333"/>
          <w:sz w:val="28"/>
          <w:szCs w:val="28"/>
        </w:rPr>
        <w:t>và tiếp nhận hồ sơ đề nghị của Ủy ban nhân dân tỉnh, thành phố, trình Bộ Tài chính lựa chọn sân bay, cảng biển quốc tế áp dụng hoàn thuế giá trị gia tăng cho người nước ngoài đảm bảo hiệu quả hoàn thuế, đáp ứng yêu cầu quản lý. </w:t>
      </w:r>
    </w:p>
    <w:p w14:paraId="6D2A25F8"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5. </w:t>
      </w:r>
      <w:r w:rsidRPr="000D7870">
        <w:rPr>
          <w:rFonts w:ascii="Times New Roman" w:eastAsia="Times New Roman" w:hAnsi="Times New Roman" w:cs="Times New Roman"/>
          <w:color w:val="333333"/>
          <w:sz w:val="28"/>
          <w:szCs w:val="28"/>
        </w:rPr>
        <w:t>Cập nhật thông tin về người nước ngoài và số tiền thuế giá trị gia tăng người nước ngoài thực tế được hoàn vào</w:t>
      </w:r>
      <w:r w:rsidRPr="000D7870">
        <w:rPr>
          <w:rFonts w:ascii="Times New Roman" w:eastAsia="Times New Roman" w:hAnsi="Times New Roman" w:cs="Times New Roman"/>
          <w:i/>
          <w:iCs/>
          <w:color w:val="333333"/>
          <w:sz w:val="28"/>
          <w:szCs w:val="28"/>
        </w:rPr>
        <w:t> </w:t>
      </w:r>
      <w:r w:rsidRPr="000D7870">
        <w:rPr>
          <w:rFonts w:ascii="Times New Roman" w:eastAsia="Times New Roman" w:hAnsi="Times New Roman" w:cs="Times New Roman"/>
          <w:i/>
          <w:iCs/>
          <w:strike/>
          <w:color w:val="333333"/>
          <w:sz w:val="28"/>
          <w:szCs w:val="28"/>
        </w:rPr>
        <w:t>cơ sở dữ liệu về</w:t>
      </w:r>
      <w:r w:rsidRPr="000D7870">
        <w:rPr>
          <w:rFonts w:ascii="Times New Roman" w:eastAsia="Times New Roman" w:hAnsi="Times New Roman" w:cs="Times New Roman"/>
          <w:i/>
          <w:iCs/>
          <w:color w:val="333333"/>
          <w:sz w:val="28"/>
          <w:szCs w:val="28"/>
        </w:rPr>
        <w:t> </w:t>
      </w:r>
      <w:r w:rsidRPr="000D7870">
        <w:rPr>
          <w:rFonts w:ascii="Times New Roman" w:eastAsia="Times New Roman" w:hAnsi="Times New Roman" w:cs="Times New Roman"/>
          <w:b/>
          <w:bCs/>
          <w:i/>
          <w:iCs/>
          <w:color w:val="333333"/>
          <w:sz w:val="28"/>
          <w:szCs w:val="28"/>
        </w:rPr>
        <w:t xml:space="preserve">hệ thống quản </w:t>
      </w:r>
      <w:proofErr w:type="gramStart"/>
      <w:r w:rsidRPr="000D7870">
        <w:rPr>
          <w:rFonts w:ascii="Times New Roman" w:eastAsia="Times New Roman" w:hAnsi="Times New Roman" w:cs="Times New Roman"/>
          <w:b/>
          <w:bCs/>
          <w:i/>
          <w:iCs/>
          <w:color w:val="333333"/>
          <w:sz w:val="28"/>
          <w:szCs w:val="28"/>
        </w:rPr>
        <w:t>lý  </w:t>
      </w:r>
      <w:r w:rsidRPr="000D7870">
        <w:rPr>
          <w:rFonts w:ascii="Times New Roman" w:eastAsia="Times New Roman" w:hAnsi="Times New Roman" w:cs="Times New Roman"/>
          <w:color w:val="333333"/>
          <w:sz w:val="28"/>
          <w:szCs w:val="28"/>
        </w:rPr>
        <w:t>hoàn</w:t>
      </w:r>
      <w:proofErr w:type="gramEnd"/>
      <w:r w:rsidRPr="000D7870">
        <w:rPr>
          <w:rFonts w:ascii="Times New Roman" w:eastAsia="Times New Roman" w:hAnsi="Times New Roman" w:cs="Times New Roman"/>
          <w:color w:val="333333"/>
          <w:sz w:val="28"/>
          <w:szCs w:val="28"/>
        </w:rPr>
        <w:t xml:space="preserve"> thuế giá trị gia tăng cho người nước ngoài </w:t>
      </w:r>
      <w:r w:rsidRPr="000D7870">
        <w:rPr>
          <w:rFonts w:ascii="Times New Roman" w:eastAsia="Times New Roman" w:hAnsi="Times New Roman" w:cs="Times New Roman"/>
          <w:b/>
          <w:bCs/>
          <w:i/>
          <w:iCs/>
          <w:color w:val="333333"/>
          <w:sz w:val="28"/>
          <w:szCs w:val="28"/>
        </w:rPr>
        <w:t>theo quy định tại Phụ lục IVThông tư này</w:t>
      </w:r>
      <w:r w:rsidRPr="000D7870">
        <w:rPr>
          <w:rFonts w:ascii="Times New Roman" w:eastAsia="Times New Roman" w:hAnsi="Times New Roman" w:cs="Times New Roman"/>
          <w:color w:val="333333"/>
          <w:sz w:val="28"/>
          <w:szCs w:val="28"/>
        </w:rPr>
        <w:t>.</w:t>
      </w:r>
    </w:p>
    <w:p w14:paraId="04FF8858"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7. </w:t>
      </w:r>
      <w:r w:rsidRPr="000D7870">
        <w:rPr>
          <w:rFonts w:ascii="Times New Roman" w:eastAsia="Times New Roman" w:hAnsi="Times New Roman" w:cs="Times New Roman"/>
          <w:color w:val="333333"/>
          <w:sz w:val="28"/>
          <w:szCs w:val="28"/>
        </w:rPr>
        <w:t>Xây dựng</w:t>
      </w:r>
      <w:r w:rsidRPr="000D7870">
        <w:rPr>
          <w:rFonts w:ascii="Times New Roman" w:eastAsia="Times New Roman" w:hAnsi="Times New Roman" w:cs="Times New Roman"/>
          <w:i/>
          <w:iCs/>
          <w:color w:val="333333"/>
          <w:sz w:val="28"/>
          <w:szCs w:val="28"/>
        </w:rPr>
        <w:t>, q</w:t>
      </w:r>
      <w:r w:rsidRPr="000D7870">
        <w:rPr>
          <w:rFonts w:ascii="Times New Roman" w:eastAsia="Times New Roman" w:hAnsi="Times New Roman" w:cs="Times New Roman"/>
          <w:b/>
          <w:bCs/>
          <w:i/>
          <w:iCs/>
          <w:color w:val="333333"/>
          <w:sz w:val="28"/>
          <w:szCs w:val="28"/>
        </w:rPr>
        <w:t>uản lý, vận hành, khai thác và sử dụng</w:t>
      </w:r>
      <w:r w:rsidRPr="000D7870">
        <w:rPr>
          <w:rFonts w:ascii="Times New Roman" w:eastAsia="Times New Roman" w:hAnsi="Times New Roman" w:cs="Times New Roman"/>
          <w:i/>
          <w:iCs/>
          <w:color w:val="333333"/>
          <w:sz w:val="28"/>
          <w:szCs w:val="28"/>
        </w:rPr>
        <w:t> hệ thống quản lý </w:t>
      </w:r>
      <w:r w:rsidRPr="000D7870">
        <w:rPr>
          <w:rFonts w:ascii="Times New Roman" w:eastAsia="Times New Roman" w:hAnsi="Times New Roman" w:cs="Times New Roman"/>
          <w:color w:val="333333"/>
          <w:sz w:val="28"/>
          <w:szCs w:val="28"/>
        </w:rPr>
        <w:t>hoàn thuế giá trị gia tăng cho người nước ngoài theo phương thức điện tử của cơ quan quản lý thuế </w:t>
      </w:r>
      <w:r w:rsidRPr="000D7870">
        <w:rPr>
          <w:rFonts w:ascii="Times New Roman" w:eastAsia="Times New Roman" w:hAnsi="Times New Roman" w:cs="Times New Roman"/>
          <w:b/>
          <w:bCs/>
          <w:i/>
          <w:iCs/>
          <w:color w:val="333333"/>
          <w:sz w:val="28"/>
          <w:szCs w:val="28"/>
        </w:rPr>
        <w:t>theo quy định tại Điều 4a Thông tư này</w:t>
      </w:r>
      <w:r w:rsidRPr="000D7870">
        <w:rPr>
          <w:rFonts w:ascii="Times New Roman" w:eastAsia="Times New Roman" w:hAnsi="Times New Roman" w:cs="Times New Roman"/>
          <w:i/>
          <w:iCs/>
          <w:color w:val="333333"/>
          <w:sz w:val="28"/>
          <w:szCs w:val="28"/>
        </w:rPr>
        <w:t>”.</w:t>
      </w:r>
    </w:p>
    <w:p w14:paraId="5A1E4526"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5. Khoản 2, khoản 8 Điều 9 được sửa đổi, bổ sung như sau:</w:t>
      </w:r>
    </w:p>
    <w:p w14:paraId="564FB0F3"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w:t>
      </w:r>
      <w:r w:rsidRPr="000D7870">
        <w:rPr>
          <w:rFonts w:ascii="Times New Roman" w:eastAsia="Times New Roman" w:hAnsi="Times New Roman" w:cs="Times New Roman"/>
          <w:color w:val="333333"/>
          <w:sz w:val="28"/>
          <w:szCs w:val="28"/>
        </w:rPr>
        <w:t>2. Tiếp nhận hồ sơ, lựa chọn doanh nghiệp bán hàng theo đúng quy định tại Điều 13 Thông tư này</w:t>
      </w:r>
      <w:r w:rsidRPr="000D7870">
        <w:rPr>
          <w:rFonts w:ascii="Times New Roman" w:eastAsia="Times New Roman" w:hAnsi="Times New Roman" w:cs="Times New Roman"/>
          <w:b/>
          <w:bCs/>
          <w:i/>
          <w:iCs/>
          <w:color w:val="333333"/>
          <w:sz w:val="28"/>
          <w:szCs w:val="28"/>
        </w:rPr>
        <w:t>. Thực hiện công khai Danh sách doanh nghiệp bán hàng hoàn thuế giá trị gia tăng trên Trang thông tin điện tử của cơ quan thuế ngay trong ngày làm việc hoặc chậm nhất là đầu giờ ngày làm việc tiếp theo kể từ ngày ban hành văn bản công nhận doanh nghiệp bán hàng hoàn thuế giá trị gia tăng theo quy định tại Điều 14 Thông tư này và cập nhật vào hệ thống hoàn thuế GTGT cho người nước ngoài.</w:t>
      </w:r>
    </w:p>
    <w:p w14:paraId="4A443491"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8. </w:t>
      </w:r>
      <w:r w:rsidRPr="000D7870">
        <w:rPr>
          <w:rFonts w:ascii="Times New Roman" w:eastAsia="Times New Roman" w:hAnsi="Times New Roman" w:cs="Times New Roman"/>
          <w:color w:val="333333"/>
          <w:sz w:val="28"/>
          <w:szCs w:val="28"/>
        </w:rPr>
        <w:t>Tham gia</w:t>
      </w:r>
      <w:r w:rsidRPr="000D7870">
        <w:rPr>
          <w:rFonts w:ascii="Times New Roman" w:eastAsia="Times New Roman" w:hAnsi="Times New Roman" w:cs="Times New Roman"/>
          <w:i/>
          <w:iCs/>
          <w:color w:val="333333"/>
          <w:sz w:val="28"/>
          <w:szCs w:val="28"/>
        </w:rPr>
        <w:t>, </w:t>
      </w:r>
      <w:r w:rsidRPr="000D7870">
        <w:rPr>
          <w:rFonts w:ascii="Times New Roman" w:eastAsia="Times New Roman" w:hAnsi="Times New Roman" w:cs="Times New Roman"/>
          <w:b/>
          <w:bCs/>
          <w:i/>
          <w:iCs/>
          <w:color w:val="333333"/>
          <w:sz w:val="28"/>
          <w:szCs w:val="28"/>
        </w:rPr>
        <w:t>kết nối </w:t>
      </w:r>
      <w:r w:rsidRPr="000D7870">
        <w:rPr>
          <w:rFonts w:ascii="Times New Roman" w:eastAsia="Times New Roman" w:hAnsi="Times New Roman" w:cs="Times New Roman"/>
          <w:color w:val="333333"/>
          <w:sz w:val="28"/>
          <w:szCs w:val="28"/>
        </w:rPr>
        <w:t>vào hệ thống quản lý hoàn thuế giá trị gia tăng cho người nước ngoài theo phương thức điện tử của cơ quan quản lý thuế </w:t>
      </w:r>
      <w:r w:rsidRPr="000D7870">
        <w:rPr>
          <w:rFonts w:ascii="Times New Roman" w:eastAsia="Times New Roman" w:hAnsi="Times New Roman" w:cs="Times New Roman"/>
          <w:b/>
          <w:bCs/>
          <w:i/>
          <w:iCs/>
          <w:color w:val="333333"/>
          <w:sz w:val="28"/>
          <w:szCs w:val="28"/>
        </w:rPr>
        <w:t>theo quy định tại Điều 4a và Phụ lục IV Thông tư này</w:t>
      </w:r>
      <w:r w:rsidRPr="000D7870">
        <w:rPr>
          <w:rFonts w:ascii="Times New Roman" w:eastAsia="Times New Roman" w:hAnsi="Times New Roman" w:cs="Times New Roman"/>
          <w:color w:val="333333"/>
          <w:sz w:val="28"/>
          <w:szCs w:val="28"/>
        </w:rPr>
        <w:t>”.</w:t>
      </w:r>
    </w:p>
    <w:p w14:paraId="35A173CC"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6. Khoản 5 Điều 10 được sửa đổi, bổ sung như sau:</w:t>
      </w:r>
    </w:p>
    <w:p w14:paraId="0DE419C7"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lastRenderedPageBreak/>
        <w:t>“</w:t>
      </w:r>
      <w:r w:rsidRPr="000D7870">
        <w:rPr>
          <w:rFonts w:ascii="Times New Roman" w:eastAsia="Times New Roman" w:hAnsi="Times New Roman" w:cs="Times New Roman"/>
          <w:color w:val="333333"/>
          <w:sz w:val="28"/>
          <w:szCs w:val="28"/>
        </w:rPr>
        <w:t>5. Tham gia, </w:t>
      </w:r>
      <w:r w:rsidRPr="000D7870">
        <w:rPr>
          <w:rFonts w:ascii="Times New Roman" w:eastAsia="Times New Roman" w:hAnsi="Times New Roman" w:cs="Times New Roman"/>
          <w:b/>
          <w:bCs/>
          <w:i/>
          <w:iCs/>
          <w:color w:val="333333"/>
          <w:sz w:val="28"/>
          <w:szCs w:val="28"/>
        </w:rPr>
        <w:t>kết nối</w:t>
      </w:r>
      <w:r w:rsidRPr="000D7870">
        <w:rPr>
          <w:rFonts w:ascii="Times New Roman" w:eastAsia="Times New Roman" w:hAnsi="Times New Roman" w:cs="Times New Roman"/>
          <w:color w:val="333333"/>
          <w:sz w:val="28"/>
          <w:szCs w:val="28"/>
        </w:rPr>
        <w:t> vào hệ thống quản lý hoàn thuế giá trị gia tăng cho người nước ngoài theo phương thức điện tử của cơ quan quản lý thuế </w:t>
      </w:r>
      <w:r w:rsidRPr="000D7870">
        <w:rPr>
          <w:rFonts w:ascii="Times New Roman" w:eastAsia="Times New Roman" w:hAnsi="Times New Roman" w:cs="Times New Roman"/>
          <w:b/>
          <w:bCs/>
          <w:i/>
          <w:iCs/>
          <w:color w:val="333333"/>
          <w:sz w:val="28"/>
          <w:szCs w:val="28"/>
        </w:rPr>
        <w:t>theo quy định tại Điều 4a và Phụ lục IV Thông tư này</w:t>
      </w:r>
      <w:r w:rsidRPr="000D7870">
        <w:rPr>
          <w:rFonts w:ascii="Times New Roman" w:eastAsia="Times New Roman" w:hAnsi="Times New Roman" w:cs="Times New Roman"/>
          <w:color w:val="333333"/>
          <w:sz w:val="28"/>
          <w:szCs w:val="28"/>
        </w:rPr>
        <w:t>”</w:t>
      </w:r>
    </w:p>
    <w:p w14:paraId="02BD9168"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7. Khoản 3 Điều 14 được sửa đổi, bổ sung như sau:</w:t>
      </w:r>
    </w:p>
    <w:p w14:paraId="3D7FF968"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“3. Doanh nghiệp không tham gia vào hệ thống quản lý hoàn thuế giá trị gia tăng cho người nước ngoài hoặc</w:t>
      </w:r>
      <w:r w:rsidRPr="000D7870">
        <w:rPr>
          <w:rFonts w:ascii="Times New Roman" w:eastAsia="Times New Roman" w:hAnsi="Times New Roman" w:cs="Times New Roman"/>
          <w:b/>
          <w:bCs/>
          <w:i/>
          <w:iCs/>
          <w:color w:val="333333"/>
          <w:sz w:val="28"/>
          <w:szCs w:val="28"/>
        </w:rPr>
        <w:t>không lập</w:t>
      </w:r>
      <w:r w:rsidRPr="000D7870">
        <w:rPr>
          <w:rFonts w:ascii="Times New Roman" w:eastAsia="Times New Roman" w:hAnsi="Times New Roman" w:cs="Times New Roman"/>
          <w:i/>
          <w:iCs/>
          <w:color w:val="333333"/>
          <w:sz w:val="28"/>
          <w:szCs w:val="28"/>
        </w:rPr>
        <w:t> </w:t>
      </w:r>
      <w:r w:rsidRPr="000D7870">
        <w:rPr>
          <w:rFonts w:ascii="Times New Roman" w:eastAsia="Times New Roman" w:hAnsi="Times New Roman" w:cs="Times New Roman"/>
          <w:b/>
          <w:bCs/>
          <w:i/>
          <w:iCs/>
          <w:color w:val="333333"/>
          <w:sz w:val="28"/>
          <w:szCs w:val="28"/>
        </w:rPr>
        <w:t>hóa đơn kiêm tờ khai hoàn thuế theo mẫu ban hành kèm theo Phụ lục 3 Thông tư này trên hệ thống quản lý hoàn thuế giá trị gia tăng cho người nước ngoài</w:t>
      </w:r>
      <w:r w:rsidRPr="000D7870">
        <w:rPr>
          <w:rFonts w:ascii="Times New Roman" w:eastAsia="Times New Roman" w:hAnsi="Times New Roman" w:cs="Times New Roman"/>
          <w:color w:val="333333"/>
          <w:sz w:val="28"/>
          <w:szCs w:val="28"/>
        </w:rPr>
        <w:t> </w:t>
      </w:r>
      <w:r w:rsidRPr="000D7870">
        <w:rPr>
          <w:rFonts w:ascii="Times New Roman" w:eastAsia="Times New Roman" w:hAnsi="Times New Roman" w:cs="Times New Roman"/>
          <w:b/>
          <w:bCs/>
          <w:i/>
          <w:iCs/>
          <w:color w:val="333333"/>
          <w:sz w:val="28"/>
          <w:szCs w:val="28"/>
        </w:rPr>
        <w:t>với các thông tin không đầy đủ, chính xác, kịp thời, cơ quan hải quan không có đủ cơ sở để hoàn thuế hoặc </w:t>
      </w:r>
      <w:r w:rsidRPr="000D7870">
        <w:rPr>
          <w:rFonts w:ascii="Times New Roman" w:eastAsia="Times New Roman" w:hAnsi="Times New Roman" w:cs="Times New Roman"/>
          <w:i/>
          <w:iCs/>
          <w:strike/>
          <w:color w:val="333333"/>
          <w:sz w:val="28"/>
          <w:szCs w:val="28"/>
        </w:rPr>
        <w:t>Trường hợp </w:t>
      </w:r>
      <w:r w:rsidRPr="000D7870">
        <w:rPr>
          <w:rFonts w:ascii="Times New Roman" w:eastAsia="Times New Roman" w:hAnsi="Times New Roman" w:cs="Times New Roman"/>
          <w:i/>
          <w:iCs/>
          <w:color w:val="333333"/>
          <w:sz w:val="28"/>
          <w:szCs w:val="28"/>
        </w:rPr>
        <w:t>doanh nghiệp</w:t>
      </w:r>
      <w:r w:rsidRPr="000D7870">
        <w:rPr>
          <w:rFonts w:ascii="Times New Roman" w:eastAsia="Times New Roman" w:hAnsi="Times New Roman" w:cs="Times New Roman"/>
          <w:b/>
          <w:bCs/>
          <w:i/>
          <w:iCs/>
          <w:color w:val="333333"/>
          <w:sz w:val="28"/>
          <w:szCs w:val="28"/>
        </w:rPr>
        <w:t> </w:t>
      </w:r>
      <w:r w:rsidRPr="000D7870">
        <w:rPr>
          <w:rFonts w:ascii="Times New Roman" w:eastAsia="Times New Roman" w:hAnsi="Times New Roman" w:cs="Times New Roman"/>
          <w:i/>
          <w:iCs/>
          <w:color w:val="333333"/>
          <w:sz w:val="28"/>
          <w:szCs w:val="28"/>
        </w:rPr>
        <w:t>vi phạm các quy định về việc hoàn thuế giá trị gia tăng tại Thông tư này, Cục Thuế tỉnh, thành phố trực thuộc Trung ương xem xét, quyết định chấm dứt việc bán hàng hoàn thuế:</w:t>
      </w:r>
    </w:p>
    <w:p w14:paraId="718FCE37"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a) Cục Thuế tỉnh, thành phố trực thuộc Trung ương có văn bản thông báo chấm dứt việc bán hàng hoàn thuế cho doanh nghiệp, đồng thời gửi cơ quan hải quan, ngân hàng thương mại và các đơn vị có liên quan;</w:t>
      </w:r>
    </w:p>
    <w:p w14:paraId="34E7171B"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i/>
          <w:iCs/>
          <w:color w:val="333333"/>
          <w:sz w:val="28"/>
          <w:szCs w:val="28"/>
        </w:rPr>
        <w:t>b) Doanh nghiệp tháo bỏ Biển thông báo doanh nghiệp bán hàng hoàn thuế giá trị gia tăng cho người nước ngoài đã dán tại cửa hàng khi chấm dứt bán hàng hoàn thuế”</w:t>
      </w:r>
      <w:r w:rsidRPr="000D7870">
        <w:rPr>
          <w:rFonts w:ascii="Times New Roman" w:eastAsia="Times New Roman" w:hAnsi="Times New Roman" w:cs="Times New Roman"/>
          <w:color w:val="333333"/>
          <w:sz w:val="28"/>
          <w:szCs w:val="28"/>
        </w:rPr>
        <w:t>.</w:t>
      </w:r>
    </w:p>
    <w:p w14:paraId="206E3BDB"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8. Khoản 1 Điều 18 được sửa đổi, bổ sung như sau:</w:t>
      </w:r>
    </w:p>
    <w:p w14:paraId="3FFAFA41"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w:t>
      </w:r>
      <w:r w:rsidRPr="000D7870">
        <w:rPr>
          <w:rFonts w:ascii="Times New Roman" w:eastAsia="Times New Roman" w:hAnsi="Times New Roman" w:cs="Times New Roman"/>
          <w:i/>
          <w:iCs/>
          <w:color w:val="333333"/>
          <w:sz w:val="28"/>
          <w:szCs w:val="28"/>
        </w:rPr>
        <w:t>1</w:t>
      </w:r>
      <w:r w:rsidRPr="000D7870">
        <w:rPr>
          <w:rFonts w:ascii="Times New Roman" w:eastAsia="Times New Roman" w:hAnsi="Times New Roman" w:cs="Times New Roman"/>
          <w:b/>
          <w:bCs/>
          <w:i/>
          <w:iCs/>
          <w:color w:val="333333"/>
          <w:sz w:val="28"/>
          <w:szCs w:val="28"/>
        </w:rPr>
        <w:t>. Doanh nghiệp bán hàng hoàn thuế lập, sử dụng hóa đơn kiêm tờ khai hoàn thuế theo quy định tại khoản 2 Điều 1 Thông tư này và in hóa đơn kiêm tờ khai hoàn thuế từ hệ thống quản lý hoàn thuế GTGT cho người nước ngoài.</w:t>
      </w:r>
    </w:p>
    <w:p w14:paraId="1A5F6436"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Việc in, phát hành, quản lý và sử dụng hóa đơn kiêm tờ khai hoàn thuế thực hiện theo quy định tại</w:t>
      </w:r>
      <w:r w:rsidRPr="000D7870">
        <w:rPr>
          <w:rFonts w:ascii="Times New Roman" w:eastAsia="Times New Roman" w:hAnsi="Times New Roman" w:cs="Times New Roman"/>
          <w:i/>
          <w:iCs/>
          <w:color w:val="333333"/>
          <w:sz w:val="28"/>
          <w:szCs w:val="28"/>
        </w:rPr>
        <w:t> </w:t>
      </w:r>
      <w:r w:rsidRPr="000D7870">
        <w:rPr>
          <w:rFonts w:ascii="Times New Roman" w:eastAsia="Times New Roman" w:hAnsi="Times New Roman" w:cs="Times New Roman"/>
          <w:b/>
          <w:bCs/>
          <w:i/>
          <w:iCs/>
          <w:color w:val="333333"/>
          <w:sz w:val="28"/>
          <w:szCs w:val="28"/>
        </w:rPr>
        <w:t>Nghị định số 119/2018/NĐ-CP ngày 12 tháng 9 năm 2018 của Chính phủ quy định về hóa đơn điện tử khi bán hàng hóa, cung cấp dịch vụ; Nghị định số 51/2010/NĐ-CP ngày 14/5/2010 của Chính phủ quy định về hoá đơn bán hàng hoá, cung ứng dịch vụ</w:t>
      </w:r>
      <w:r w:rsidRPr="000D7870">
        <w:rPr>
          <w:rFonts w:ascii="Times New Roman" w:eastAsia="Times New Roman" w:hAnsi="Times New Roman" w:cs="Times New Roman"/>
          <w:i/>
          <w:iCs/>
          <w:color w:val="333333"/>
          <w:sz w:val="28"/>
          <w:szCs w:val="28"/>
        </w:rPr>
        <w:t>; </w:t>
      </w:r>
      <w:r w:rsidRPr="000D7870">
        <w:rPr>
          <w:rFonts w:ascii="Times New Roman" w:eastAsia="Times New Roman" w:hAnsi="Times New Roman" w:cs="Times New Roman"/>
          <w:color w:val="333333"/>
          <w:sz w:val="28"/>
          <w:szCs w:val="28"/>
        </w:rPr>
        <w:t xml:space="preserve">Nghị định số 04/2014/NĐ-CP ngày 17/1/2014 của Chính phủ sửa đổi, bổ sung một số điều của Nghị định số 51/2010/NĐ-CP và Thông tư số 39/2014/TT-BTC ngày 31/3/2014 của Bộ trưởng Bộ Tài chính hướng dẫn thi hành Nghị định số 51/2010/NĐ-CP ngày 14/5/2010 </w:t>
      </w:r>
      <w:r w:rsidRPr="000D7870">
        <w:rPr>
          <w:rFonts w:ascii="Times New Roman" w:eastAsia="Times New Roman" w:hAnsi="Times New Roman" w:cs="Times New Roman"/>
          <w:color w:val="333333"/>
          <w:sz w:val="28"/>
          <w:szCs w:val="28"/>
        </w:rPr>
        <w:lastRenderedPageBreak/>
        <w:t>của Chính phủ và Nghị định số 04/2014/NĐ-CP ngày 17/1/2014 của Chính phủ quy định về hóa đơn bán hàng hóa, cung ứng dịch vụ”. </w:t>
      </w:r>
    </w:p>
    <w:p w14:paraId="589421DD"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9. Khoản 2 Điều 19 được sửa đổi, bổ sung như sau:</w:t>
      </w:r>
    </w:p>
    <w:p w14:paraId="45E4089B"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“2. Cơ quan hải quan kiểm tra thực tế hàng hóa tại quầy kiểm tra hóa đơn kiêm tờ khai hoàn thuế, hàng hóa. Việc kiểm tra thực hiện như sau: </w:t>
      </w:r>
    </w:p>
    <w:p w14:paraId="582AFCAC"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a) Đối chiếu xác định từng nội dung khớp đúng giữa thông tin ghi trên hộ chiếu hoặc giấy tờ nhập xuất cảnh với thông tin trên hóa đơn kiêm tờ khai hoàn thuế và các quy định về hàng hoá được hoàn thuế quy định tại Điều 11 Thông tư này;</w:t>
      </w:r>
      <w:r w:rsidRPr="000D7870">
        <w:rPr>
          <w:rFonts w:ascii="Times New Roman" w:eastAsia="Times New Roman" w:hAnsi="Times New Roman" w:cs="Times New Roman"/>
          <w:i/>
          <w:iCs/>
          <w:color w:val="333333"/>
          <w:sz w:val="28"/>
          <w:szCs w:val="28"/>
        </w:rPr>
        <w:t> </w:t>
      </w:r>
      <w:r w:rsidRPr="000D7870">
        <w:rPr>
          <w:rFonts w:ascii="Times New Roman" w:eastAsia="Times New Roman" w:hAnsi="Times New Roman" w:cs="Times New Roman"/>
          <w:b/>
          <w:bCs/>
          <w:i/>
          <w:iCs/>
          <w:color w:val="333333"/>
          <w:sz w:val="28"/>
          <w:szCs w:val="28"/>
        </w:rPr>
        <w:t>Trường hợp hóa đơn kiêm tờ khai hoàn thuế, hàng hóa có dấu hiệu nghi ngờ hoặc hóa đơn kiêm tờ khai hoàn thuế ghi không đầy đủ thông tin theo quy định thì cơ quan hải quan trao đổi với doanh nghiệp bán hàng để nắm thông tin cụ thể;</w:t>
      </w:r>
    </w:p>
    <w:p w14:paraId="042C2E93"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b) Kiểm tra thực tế hàng hóa đối với hàng hoá phải kiểm tra thực tế theo nguyên tắc quản lý rủi ro;</w:t>
      </w:r>
    </w:p>
    <w:p w14:paraId="2E0379F2"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c) Ghi kết quả kiểm tra; xác định mặt hàng, tính số tiền thuế giá trị gia tăng người nước ngoài thực tế được hoàn theo quy định tại Điều 12 Thông tư này; ký, đóng dấu xác nhận đã kiểm tra vào hoá đơn kiêm tờ khai hoàn thuế; </w:t>
      </w:r>
    </w:p>
    <w:p w14:paraId="566A09C3"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d) Cập nhật thông tin về người nước ngoài, số tiền thuế giá trị gia tăng người nước ngoài thực tế được hoàn vào </w:t>
      </w:r>
      <w:r w:rsidRPr="000D7870">
        <w:rPr>
          <w:rFonts w:ascii="Times New Roman" w:eastAsia="Times New Roman" w:hAnsi="Times New Roman" w:cs="Times New Roman"/>
          <w:strike/>
          <w:color w:val="333333"/>
          <w:sz w:val="28"/>
          <w:szCs w:val="28"/>
        </w:rPr>
        <w:t>cơ sở dữ liệu của cơ quan hải quan</w:t>
      </w:r>
      <w:r w:rsidRPr="000D7870">
        <w:rPr>
          <w:rFonts w:ascii="Times New Roman" w:eastAsia="Times New Roman" w:hAnsi="Times New Roman" w:cs="Times New Roman"/>
          <w:color w:val="333333"/>
          <w:sz w:val="28"/>
          <w:szCs w:val="28"/>
        </w:rPr>
        <w:t> </w:t>
      </w:r>
      <w:r w:rsidRPr="000D7870">
        <w:rPr>
          <w:rFonts w:ascii="Times New Roman" w:eastAsia="Times New Roman" w:hAnsi="Times New Roman" w:cs="Times New Roman"/>
          <w:b/>
          <w:bCs/>
          <w:i/>
          <w:iCs/>
          <w:color w:val="333333"/>
          <w:sz w:val="28"/>
          <w:szCs w:val="28"/>
        </w:rPr>
        <w:t>hệ thống quản lý </w:t>
      </w:r>
      <w:r w:rsidRPr="000D7870">
        <w:rPr>
          <w:rFonts w:ascii="Times New Roman" w:eastAsia="Times New Roman" w:hAnsi="Times New Roman" w:cs="Times New Roman"/>
          <w:strike/>
          <w:color w:val="333333"/>
          <w:sz w:val="28"/>
          <w:szCs w:val="28"/>
        </w:rPr>
        <w:t>về</w:t>
      </w:r>
      <w:r w:rsidRPr="000D7870">
        <w:rPr>
          <w:rFonts w:ascii="Times New Roman" w:eastAsia="Times New Roman" w:hAnsi="Times New Roman" w:cs="Times New Roman"/>
          <w:color w:val="333333"/>
          <w:sz w:val="28"/>
          <w:szCs w:val="28"/>
        </w:rPr>
        <w:t> hoàn thuế giá trị gia tăng cho người nước ngoài xuất cảnh theo mẫu quy định tại Phụ lục 4 Thông tư này</w:t>
      </w:r>
      <w:r w:rsidRPr="000D7870">
        <w:rPr>
          <w:rFonts w:ascii="Times New Roman" w:eastAsia="Times New Roman" w:hAnsi="Times New Roman" w:cs="Times New Roman"/>
          <w:i/>
          <w:iCs/>
          <w:color w:val="333333"/>
          <w:sz w:val="28"/>
          <w:szCs w:val="28"/>
        </w:rPr>
        <w:t>”.</w:t>
      </w:r>
    </w:p>
    <w:p w14:paraId="3D05574E"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10. Khoản 3, Khoản 4 Điều 21 được sửa đổi, bổ sung như sau:</w:t>
      </w:r>
    </w:p>
    <w:p w14:paraId="10F32088"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t>“</w:t>
      </w:r>
      <w:r w:rsidRPr="000D7870">
        <w:rPr>
          <w:rFonts w:ascii="Times New Roman" w:eastAsia="Times New Roman" w:hAnsi="Times New Roman" w:cs="Times New Roman"/>
          <w:color w:val="333333"/>
          <w:sz w:val="28"/>
          <w:szCs w:val="28"/>
        </w:rPr>
        <w:t>3. Căn cứ Quyết định thanh toán và Lệnh hoàn trả do Cục Thuế nơi Ngân hàng thương mại đăng ký, khai thuế ban hành, Kho bạc Nhà nước chuyển tiền cho ngân hàng thương mại. </w:t>
      </w:r>
      <w:r w:rsidRPr="000D7870">
        <w:rPr>
          <w:rFonts w:ascii="Times New Roman" w:eastAsia="Times New Roman" w:hAnsi="Times New Roman" w:cs="Times New Roman"/>
          <w:b/>
          <w:bCs/>
          <w:i/>
          <w:iCs/>
          <w:color w:val="333333"/>
          <w:sz w:val="28"/>
          <w:szCs w:val="28"/>
        </w:rPr>
        <w:t>Nguồn tiền thanh toán được chi từ dự toán hoàn thuế giá trị gia tăng theo quy định tại Thông tư 99/2016/TT-BTC ngày 29/6/2016 của Bộ Tài chính hướng dẫn về quản lý hoàn thuế giá trị gia tăng</w:t>
      </w:r>
    </w:p>
    <w:p w14:paraId="5A33C909"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4. Việc hạch toán và luân chuyển chứng từ thực hiện theo quy định </w:t>
      </w:r>
      <w:r w:rsidRPr="000D7870">
        <w:rPr>
          <w:rFonts w:ascii="Times New Roman" w:eastAsia="Times New Roman" w:hAnsi="Times New Roman" w:cs="Times New Roman"/>
          <w:b/>
          <w:bCs/>
          <w:i/>
          <w:iCs/>
          <w:color w:val="333333"/>
          <w:sz w:val="28"/>
          <w:szCs w:val="28"/>
        </w:rPr>
        <w:t>tại Điều 19 Thông tư số 99/2016/TT-BTC ngày 29/6/2016 đã được sửa đổi, bổ sung tại Thông tư số 31/2017/TT-BTC ngày 18/4/2017 và khoản 3 Điều 59 Thông tư số 156/2013/TT-BTC ngày 6/11/2013 của Bộ trưởng Bộ Tài chính” </w:t>
      </w:r>
    </w:p>
    <w:p w14:paraId="0FB450FD"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b/>
          <w:bCs/>
          <w:color w:val="333333"/>
          <w:sz w:val="28"/>
          <w:szCs w:val="28"/>
        </w:rPr>
        <w:lastRenderedPageBreak/>
        <w:t>11. Các Phụ lục được sửa đổi, bổ sung như sau:</w:t>
      </w:r>
    </w:p>
    <w:p w14:paraId="1393B0E9"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 Thay thế Phụ lục 7 Thông tư số 72/2014/TT-BTC ngày 30/5/2014 bằng Phụ lục I Thông tư này.</w:t>
      </w:r>
    </w:p>
    <w:p w14:paraId="23F69A8F"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 Bổ sung thêm Phụ lục II, Phụ lục III, Phụ lục IV.</w:t>
      </w:r>
    </w:p>
    <w:p w14:paraId="46943777" w14:textId="77777777" w:rsidR="000D7870" w:rsidRPr="000D7870" w:rsidRDefault="000D7870" w:rsidP="000D7870">
      <w:pPr>
        <w:spacing w:before="120" w:after="120" w:line="312" w:lineRule="auto"/>
        <w:ind w:firstLine="624"/>
        <w:jc w:val="both"/>
        <w:rPr>
          <w:rFonts w:ascii="Times New Roman" w:eastAsia="Times New Roman" w:hAnsi="Times New Roman" w:cs="Times New Roman"/>
          <w:b/>
          <w:bCs/>
          <w:color w:val="333333"/>
          <w:sz w:val="28"/>
          <w:szCs w:val="28"/>
        </w:rPr>
      </w:pPr>
      <w:r w:rsidRPr="000D7870">
        <w:rPr>
          <w:rFonts w:ascii="Times New Roman" w:eastAsia="Times New Roman" w:hAnsi="Times New Roman" w:cs="Times New Roman"/>
          <w:b/>
          <w:bCs/>
          <w:color w:val="333333"/>
          <w:sz w:val="28"/>
          <w:szCs w:val="28"/>
        </w:rPr>
        <w:t>Điều 2. Hiệu lực thi hành</w:t>
      </w:r>
    </w:p>
    <w:p w14:paraId="3F20B010"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1. Thông tư này có hiệu lực kể từ ngày tháng 09 năm 2019.</w:t>
      </w:r>
    </w:p>
    <w:p w14:paraId="640F3BDD"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2. Quá trình thực hiện, nếu các văn bản liên quan đề cập tại Thông tư này được sửa đổi, bổ sung hoặc thay thế thì thực hiện theo văn bản mới được sửa đổi, bổ sung hoặc thay thế./.</w:t>
      </w:r>
    </w:p>
    <w:p w14:paraId="37787643" w14:textId="77777777" w:rsidR="000D7870" w:rsidRPr="000D7870" w:rsidRDefault="000D7870" w:rsidP="000D7870">
      <w:pPr>
        <w:spacing w:before="120" w:after="120" w:line="312" w:lineRule="auto"/>
        <w:ind w:firstLine="720"/>
        <w:jc w:val="both"/>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 </w:t>
      </w:r>
    </w:p>
    <w:tbl>
      <w:tblPr>
        <w:tblW w:w="9476" w:type="dxa"/>
        <w:tblCellMar>
          <w:top w:w="15" w:type="dxa"/>
          <w:left w:w="15" w:type="dxa"/>
          <w:bottom w:w="15" w:type="dxa"/>
          <w:right w:w="15" w:type="dxa"/>
        </w:tblCellMar>
        <w:tblLook w:val="04A0" w:firstRow="1" w:lastRow="0" w:firstColumn="1" w:lastColumn="0" w:noHBand="0" w:noVBand="1"/>
      </w:tblPr>
      <w:tblGrid>
        <w:gridCol w:w="6759"/>
        <w:gridCol w:w="2717"/>
      </w:tblGrid>
      <w:tr w:rsidR="000D7870" w:rsidRPr="000D7870" w14:paraId="68FB529F" w14:textId="77777777" w:rsidTr="000D7870">
        <w:trPr>
          <w:trHeight w:val="284"/>
        </w:trPr>
        <w:tc>
          <w:tcPr>
            <w:tcW w:w="0" w:type="auto"/>
            <w:hideMark/>
          </w:tcPr>
          <w:p w14:paraId="235DAE2D"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b/>
                <w:bCs/>
                <w:i/>
                <w:iCs/>
                <w:color w:val="333333"/>
                <w:sz w:val="22"/>
                <w:szCs w:val="22"/>
              </w:rPr>
              <w:t>Nơi nhận:</w:t>
            </w:r>
          </w:p>
          <w:p w14:paraId="5BEFB2E9"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Thủ tướng Chính phủ; các Phó TTCP;</w:t>
            </w:r>
          </w:p>
          <w:p w14:paraId="15AF8830"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Văn phòng TW Đảng và các Ban của Đảng;</w:t>
            </w:r>
          </w:p>
          <w:p w14:paraId="0A08505D"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Văn phòng Tổng Bí thư;</w:t>
            </w:r>
          </w:p>
          <w:p w14:paraId="7BFFB8BA"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Văn phòng Quốc Hội;</w:t>
            </w:r>
          </w:p>
          <w:p w14:paraId="1C5EB993"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Văn phòng Chủ tịch nước;</w:t>
            </w:r>
          </w:p>
          <w:p w14:paraId="7901F592"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Tòa án Nhân dân Tối cao;</w:t>
            </w:r>
          </w:p>
          <w:p w14:paraId="5B36D294"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Viện kiểm sát Nhân dân Tối cao;</w:t>
            </w:r>
          </w:p>
          <w:p w14:paraId="6139715F"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Kiểm toán Nhà nước;</w:t>
            </w:r>
          </w:p>
          <w:p w14:paraId="73BF4225"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Các Bộ, cơ quan ngang Bộ, cơ quan thuộc Chính phủ;</w:t>
            </w:r>
          </w:p>
          <w:p w14:paraId="0B597038"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UBND tỉnh, thành phố trực thuộc TW; </w:t>
            </w:r>
          </w:p>
          <w:p w14:paraId="0132C1AE"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Phòng Thương mại và Công nghiệp Việt Nam; </w:t>
            </w:r>
          </w:p>
          <w:p w14:paraId="133CDF92"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Cục Kiểm tra văn bản (Bộ Tư pháp);</w:t>
            </w:r>
          </w:p>
          <w:p w14:paraId="21598FBA"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Cục Hải quan các tỉnh, thành phố;</w:t>
            </w:r>
          </w:p>
          <w:p w14:paraId="03EB8D95"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Công báo; </w:t>
            </w:r>
          </w:p>
          <w:p w14:paraId="7EA32F08"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Website Chính phủ;</w:t>
            </w:r>
          </w:p>
          <w:p w14:paraId="55503A4E"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Website Bộ Tài chính;</w:t>
            </w:r>
          </w:p>
          <w:p w14:paraId="01D9B641"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Website Tổng cục Hải quan;</w:t>
            </w:r>
          </w:p>
          <w:p w14:paraId="18318F04" w14:textId="77777777" w:rsidR="000D7870" w:rsidRPr="000D7870" w:rsidRDefault="000D7870" w:rsidP="000D7870">
            <w:pPr>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Lưu: VT; TCHQ (20).</w:t>
            </w:r>
          </w:p>
        </w:tc>
        <w:tc>
          <w:tcPr>
            <w:tcW w:w="0" w:type="auto"/>
            <w:hideMark/>
          </w:tcPr>
          <w:p w14:paraId="40485729" w14:textId="77777777" w:rsidR="000D7870" w:rsidRPr="000D7870" w:rsidRDefault="000D7870" w:rsidP="000D7870">
            <w:pPr>
              <w:spacing w:before="120" w:after="120"/>
              <w:jc w:val="center"/>
              <w:rPr>
                <w:rFonts w:ascii="Times New Roman" w:eastAsia="Times New Roman" w:hAnsi="Times New Roman" w:cs="Times New Roman"/>
                <w:color w:val="333333"/>
              </w:rPr>
            </w:pPr>
            <w:r w:rsidRPr="000D7870">
              <w:rPr>
                <w:rFonts w:ascii="Times New Roman" w:eastAsia="Times New Roman" w:hAnsi="Times New Roman" w:cs="Times New Roman"/>
                <w:b/>
                <w:bCs/>
                <w:color w:val="333333"/>
              </w:rPr>
              <w:t>KT. BỘ TRƯỞNG</w:t>
            </w:r>
          </w:p>
          <w:p w14:paraId="32448E0C" w14:textId="77777777" w:rsidR="000D7870" w:rsidRPr="000D7870" w:rsidRDefault="000D7870" w:rsidP="000D7870">
            <w:pPr>
              <w:spacing w:before="120" w:after="120"/>
              <w:jc w:val="center"/>
              <w:rPr>
                <w:rFonts w:ascii="Times New Roman" w:eastAsia="Times New Roman" w:hAnsi="Times New Roman" w:cs="Times New Roman"/>
                <w:color w:val="333333"/>
              </w:rPr>
            </w:pPr>
            <w:r w:rsidRPr="000D7870">
              <w:rPr>
                <w:rFonts w:ascii="Times New Roman" w:eastAsia="Times New Roman" w:hAnsi="Times New Roman" w:cs="Times New Roman"/>
                <w:b/>
                <w:bCs/>
                <w:color w:val="333333"/>
              </w:rPr>
              <w:t>THỨ TRƯỞNG</w:t>
            </w:r>
          </w:p>
          <w:p w14:paraId="6FAD379E" w14:textId="360F1713" w:rsidR="000D7870" w:rsidRPr="000D7870" w:rsidRDefault="000D7870" w:rsidP="000D7870">
            <w:pPr>
              <w:spacing w:before="120" w:after="120"/>
              <w:ind w:firstLine="720"/>
              <w:jc w:val="center"/>
              <w:rPr>
                <w:rFonts w:ascii="Times New Roman" w:eastAsia="Times New Roman" w:hAnsi="Times New Roman" w:cs="Times New Roman"/>
                <w:color w:val="333333"/>
              </w:rPr>
            </w:pPr>
            <w:r w:rsidRPr="000D7870">
              <w:rPr>
                <w:rFonts w:ascii="Times New Roman" w:eastAsia="Times New Roman" w:hAnsi="Times New Roman" w:cs="Times New Roman"/>
                <w:color w:val="333333"/>
              </w:rPr>
              <w:t>  </w:t>
            </w:r>
          </w:p>
          <w:p w14:paraId="633B92B8" w14:textId="77777777" w:rsidR="000D7870" w:rsidRPr="000D7870" w:rsidRDefault="000D7870" w:rsidP="000D7870">
            <w:pPr>
              <w:spacing w:before="120" w:after="120"/>
              <w:ind w:firstLine="720"/>
              <w:jc w:val="center"/>
              <w:rPr>
                <w:rFonts w:ascii="Times New Roman" w:eastAsia="Times New Roman" w:hAnsi="Times New Roman" w:cs="Times New Roman"/>
                <w:color w:val="333333"/>
              </w:rPr>
            </w:pPr>
            <w:r w:rsidRPr="000D7870">
              <w:rPr>
                <w:rFonts w:ascii="Times New Roman" w:eastAsia="Times New Roman" w:hAnsi="Times New Roman" w:cs="Times New Roman"/>
                <w:color w:val="333333"/>
              </w:rPr>
              <w:t> </w:t>
            </w:r>
          </w:p>
          <w:p w14:paraId="7F789374" w14:textId="77777777" w:rsidR="000D7870" w:rsidRPr="000D7870" w:rsidRDefault="000D7870" w:rsidP="000D7870">
            <w:pPr>
              <w:spacing w:before="120" w:after="120"/>
              <w:ind w:firstLine="720"/>
              <w:jc w:val="center"/>
              <w:rPr>
                <w:rFonts w:ascii="Times New Roman" w:eastAsia="Times New Roman" w:hAnsi="Times New Roman" w:cs="Times New Roman"/>
                <w:color w:val="333333"/>
              </w:rPr>
            </w:pPr>
            <w:r w:rsidRPr="000D7870">
              <w:rPr>
                <w:rFonts w:ascii="Times New Roman" w:eastAsia="Times New Roman" w:hAnsi="Times New Roman" w:cs="Times New Roman"/>
                <w:color w:val="333333"/>
              </w:rPr>
              <w:t> </w:t>
            </w:r>
          </w:p>
          <w:p w14:paraId="4FBDB796" w14:textId="77777777" w:rsidR="000D7870" w:rsidRPr="000D7870" w:rsidRDefault="000D7870" w:rsidP="000D7870">
            <w:pPr>
              <w:spacing w:before="120" w:after="120"/>
              <w:ind w:firstLine="720"/>
              <w:jc w:val="center"/>
              <w:rPr>
                <w:rFonts w:ascii="Times New Roman" w:eastAsia="Times New Roman" w:hAnsi="Times New Roman" w:cs="Times New Roman"/>
                <w:color w:val="333333"/>
              </w:rPr>
            </w:pPr>
            <w:r w:rsidRPr="000D7870">
              <w:rPr>
                <w:rFonts w:ascii="Times New Roman" w:eastAsia="Times New Roman" w:hAnsi="Times New Roman" w:cs="Times New Roman"/>
                <w:color w:val="333333"/>
              </w:rPr>
              <w:t> </w:t>
            </w:r>
          </w:p>
          <w:p w14:paraId="3C38C571" w14:textId="77777777" w:rsidR="000D7870" w:rsidRPr="000D7870" w:rsidRDefault="000D7870" w:rsidP="000D7870">
            <w:pPr>
              <w:spacing w:before="120" w:after="120"/>
              <w:jc w:val="center"/>
              <w:rPr>
                <w:rFonts w:ascii="Times New Roman" w:eastAsia="Times New Roman" w:hAnsi="Times New Roman" w:cs="Times New Roman"/>
                <w:color w:val="333333"/>
                <w:sz w:val="22"/>
                <w:szCs w:val="22"/>
              </w:rPr>
            </w:pPr>
            <w:r w:rsidRPr="000D7870">
              <w:rPr>
                <w:rFonts w:ascii="Times New Roman" w:eastAsia="Times New Roman" w:hAnsi="Times New Roman" w:cs="Times New Roman"/>
                <w:b/>
                <w:bCs/>
                <w:color w:val="333333"/>
              </w:rPr>
              <w:t>Vũ Thị Mai</w:t>
            </w:r>
          </w:p>
        </w:tc>
      </w:tr>
    </w:tbl>
    <w:p w14:paraId="0C9D7E0C" w14:textId="77777777" w:rsidR="000D7870" w:rsidRPr="000D7870" w:rsidRDefault="000D7870" w:rsidP="000D7870">
      <w:pPr>
        <w:spacing w:before="120" w:after="120"/>
        <w:jc w:val="both"/>
        <w:rPr>
          <w:rFonts w:ascii="Times New Roman" w:eastAsia="Times New Roman" w:hAnsi="Times New Roman" w:cs="Times New Roman"/>
          <w:color w:val="333333"/>
          <w:sz w:val="22"/>
          <w:szCs w:val="22"/>
        </w:rPr>
      </w:pPr>
      <w:r w:rsidRPr="000D7870">
        <w:rPr>
          <w:rFonts w:ascii="Times New Roman" w:eastAsia="Times New Roman" w:hAnsi="Times New Roman" w:cs="Times New Roman"/>
          <w:color w:val="333333"/>
          <w:sz w:val="22"/>
          <w:szCs w:val="22"/>
        </w:rPr>
        <w:t> </w:t>
      </w:r>
    </w:p>
    <w:p w14:paraId="10F95580" w14:textId="77777777" w:rsidR="000D7870" w:rsidRPr="000D7870" w:rsidRDefault="000D7870" w:rsidP="000D7870">
      <w:pPr>
        <w:spacing w:before="120" w:after="120" w:line="312" w:lineRule="auto"/>
        <w:rPr>
          <w:rFonts w:ascii="Times New Roman" w:eastAsia="Times New Roman" w:hAnsi="Times New Roman" w:cs="Times New Roman"/>
          <w:color w:val="333333"/>
          <w:sz w:val="28"/>
          <w:szCs w:val="28"/>
        </w:rPr>
      </w:pPr>
      <w:r w:rsidRPr="000D7870">
        <w:rPr>
          <w:rFonts w:ascii="Times New Roman" w:eastAsia="Times New Roman" w:hAnsi="Times New Roman" w:cs="Times New Roman"/>
          <w:color w:val="333333"/>
          <w:sz w:val="28"/>
          <w:szCs w:val="28"/>
        </w:rPr>
        <w:t> </w:t>
      </w:r>
    </w:p>
    <w:p w14:paraId="3424250A" w14:textId="77777777" w:rsidR="00761006" w:rsidRPr="000D7870" w:rsidRDefault="00761006" w:rsidP="000D7870">
      <w:pPr>
        <w:spacing w:before="120" w:after="120" w:line="312" w:lineRule="auto"/>
        <w:rPr>
          <w:rFonts w:ascii="Times New Roman" w:hAnsi="Times New Roman" w:cs="Times New Roman"/>
          <w:sz w:val="28"/>
          <w:szCs w:val="28"/>
        </w:rPr>
      </w:pPr>
    </w:p>
    <w:sectPr w:rsidR="00761006" w:rsidRPr="000D7870" w:rsidSect="00E040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70"/>
    <w:rsid w:val="000D7870"/>
    <w:rsid w:val="00761006"/>
    <w:rsid w:val="00E0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68F638"/>
  <w15:chartTrackingRefBased/>
  <w15:docId w15:val="{49D12311-4D4B-8C47-8E22-075E5114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7">
    <w:name w:val="heading7"/>
    <w:basedOn w:val="Normal"/>
    <w:rsid w:val="000D7870"/>
    <w:pPr>
      <w:spacing w:before="100" w:beforeAutospacing="1" w:after="100" w:afterAutospacing="1"/>
    </w:pPr>
    <w:rPr>
      <w:rFonts w:ascii="Times New Roman" w:eastAsia="Times New Roman" w:hAnsi="Times New Roman" w:cs="Times New Roman"/>
    </w:rPr>
  </w:style>
  <w:style w:type="paragraph" w:customStyle="1" w:styleId="normal0">
    <w:name w:val="normal"/>
    <w:basedOn w:val="Normal"/>
    <w:rsid w:val="000D787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D7870"/>
  </w:style>
  <w:style w:type="paragraph" w:customStyle="1" w:styleId="heading2">
    <w:name w:val="heading2"/>
    <w:basedOn w:val="Normal"/>
    <w:rsid w:val="000D7870"/>
    <w:pPr>
      <w:spacing w:before="100" w:beforeAutospacing="1" w:after="100" w:afterAutospacing="1"/>
    </w:pPr>
    <w:rPr>
      <w:rFonts w:ascii="Times New Roman" w:eastAsia="Times New Roman" w:hAnsi="Times New Roman" w:cs="Times New Roman"/>
    </w:rPr>
  </w:style>
  <w:style w:type="paragraph" w:customStyle="1" w:styleId="nidungiu">
    <w:name w:val="nidungiu"/>
    <w:basedOn w:val="Normal"/>
    <w:rsid w:val="000D7870"/>
    <w:pPr>
      <w:spacing w:before="100" w:beforeAutospacing="1" w:after="100" w:afterAutospacing="1"/>
    </w:pPr>
    <w:rPr>
      <w:rFonts w:ascii="Times New Roman" w:eastAsia="Times New Roman" w:hAnsi="Times New Roman" w:cs="Times New Roman"/>
    </w:rPr>
  </w:style>
  <w:style w:type="paragraph" w:customStyle="1" w:styleId="iuiu">
    <w:name w:val="iuiu"/>
    <w:basedOn w:val="Normal"/>
    <w:rsid w:val="000D7870"/>
    <w:pPr>
      <w:spacing w:before="100" w:beforeAutospacing="1" w:after="100" w:afterAutospacing="1"/>
    </w:pPr>
    <w:rPr>
      <w:rFonts w:ascii="Times New Roman" w:eastAsia="Times New Roman" w:hAnsi="Times New Roman" w:cs="Times New Roman"/>
    </w:rPr>
  </w:style>
  <w:style w:type="paragraph" w:customStyle="1" w:styleId="bodytext3">
    <w:name w:val="bodytext3"/>
    <w:basedOn w:val="Normal"/>
    <w:rsid w:val="000D7870"/>
    <w:pPr>
      <w:spacing w:before="100" w:beforeAutospacing="1" w:after="100" w:afterAutospacing="1"/>
    </w:pPr>
    <w:rPr>
      <w:rFonts w:ascii="Times New Roman" w:eastAsia="Times New Roman" w:hAnsi="Times New Roman" w:cs="Times New Roman"/>
    </w:rPr>
  </w:style>
  <w:style w:type="paragraph" w:customStyle="1" w:styleId="bodytext">
    <w:name w:val="bodytext"/>
    <w:basedOn w:val="Normal"/>
    <w:rsid w:val="000D78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325163">
      <w:bodyDiv w:val="1"/>
      <w:marLeft w:val="0"/>
      <w:marRight w:val="0"/>
      <w:marTop w:val="0"/>
      <w:marBottom w:val="0"/>
      <w:divBdr>
        <w:top w:val="none" w:sz="0" w:space="0" w:color="auto"/>
        <w:left w:val="none" w:sz="0" w:space="0" w:color="auto"/>
        <w:bottom w:val="none" w:sz="0" w:space="0" w:color="auto"/>
        <w:right w:val="none" w:sz="0" w:space="0" w:color="auto"/>
      </w:divBdr>
    </w:div>
    <w:div w:id="650137349">
      <w:bodyDiv w:val="1"/>
      <w:marLeft w:val="0"/>
      <w:marRight w:val="0"/>
      <w:marTop w:val="0"/>
      <w:marBottom w:val="0"/>
      <w:divBdr>
        <w:top w:val="none" w:sz="0" w:space="0" w:color="auto"/>
        <w:left w:val="none" w:sz="0" w:space="0" w:color="auto"/>
        <w:bottom w:val="none" w:sz="0" w:space="0" w:color="auto"/>
        <w:right w:val="none" w:sz="0" w:space="0" w:color="auto"/>
      </w:divBdr>
    </w:div>
    <w:div w:id="1859735909">
      <w:bodyDiv w:val="1"/>
      <w:marLeft w:val="0"/>
      <w:marRight w:val="0"/>
      <w:marTop w:val="0"/>
      <w:marBottom w:val="0"/>
      <w:divBdr>
        <w:top w:val="none" w:sz="0" w:space="0" w:color="auto"/>
        <w:left w:val="none" w:sz="0" w:space="0" w:color="auto"/>
        <w:bottom w:val="none" w:sz="0" w:space="0" w:color="auto"/>
        <w:right w:val="none" w:sz="0" w:space="0" w:color="auto"/>
      </w:divBdr>
    </w:div>
    <w:div w:id="204027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1852</Words>
  <Characters>10562</Characters>
  <Application>Microsoft Office Word</Application>
  <DocSecurity>0</DocSecurity>
  <Lines>88</Lines>
  <Paragraphs>24</Paragraphs>
  <ScaleCrop>false</ScaleCrop>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2019-08-22T08:02:00Z</dcterms:created>
  <dcterms:modified xsi:type="dcterms:W3CDTF">2019-08-22T08:07:00Z</dcterms:modified>
</cp:coreProperties>
</file>