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9" w:type="dxa"/>
        <w:jc w:val="center"/>
        <w:tblLayout w:type="fixed"/>
        <w:tblLook w:val="01E0"/>
      </w:tblPr>
      <w:tblGrid>
        <w:gridCol w:w="3432"/>
        <w:gridCol w:w="5757"/>
      </w:tblGrid>
      <w:tr w:rsidR="00177A6A" w:rsidRPr="00CF1ECC" w:rsidTr="004C6FEE">
        <w:trPr>
          <w:trHeight w:val="851"/>
          <w:jc w:val="center"/>
        </w:trPr>
        <w:tc>
          <w:tcPr>
            <w:tcW w:w="3432" w:type="dxa"/>
          </w:tcPr>
          <w:p w:rsidR="00177A6A" w:rsidRPr="00CF1ECC" w:rsidRDefault="00177A6A" w:rsidP="004C6FEE">
            <w:pPr>
              <w:ind w:left="-120"/>
              <w:jc w:val="center"/>
              <w:rPr>
                <w:rFonts w:ascii="Times New Roman" w:hAnsi="Times New Roman"/>
                <w:b/>
                <w:sz w:val="26"/>
                <w:szCs w:val="26"/>
              </w:rPr>
            </w:pPr>
            <w:r w:rsidRPr="00CF1ECC">
              <w:rPr>
                <w:rFonts w:ascii="Times New Roman" w:hAnsi="Times New Roman"/>
                <w:b/>
                <w:sz w:val="26"/>
                <w:szCs w:val="26"/>
              </w:rPr>
              <w:t xml:space="preserve">BỘ CÔNG THƯƠNG </w:t>
            </w:r>
          </w:p>
          <w:p w:rsidR="00177A6A" w:rsidRPr="00CF1ECC" w:rsidRDefault="00177A6A" w:rsidP="004C6FEE">
            <w:pPr>
              <w:ind w:left="-120"/>
              <w:jc w:val="center"/>
              <w:rPr>
                <w:rFonts w:ascii="Times New Roman" w:hAnsi="Times New Roman"/>
                <w:sz w:val="16"/>
                <w:szCs w:val="16"/>
              </w:rPr>
            </w:pPr>
            <w:r w:rsidRPr="00CF1ECC">
              <w:rPr>
                <w:rFonts w:ascii="Times New Roman" w:hAnsi="Times New Roman"/>
                <w:sz w:val="16"/>
                <w:szCs w:val="16"/>
              </w:rPr>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t>––</w:t>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r w:rsidRPr="00CF1ECC">
              <w:rPr>
                <w:rFonts w:ascii="Times New Roman" w:hAnsi="Times New Roman"/>
                <w:sz w:val="16"/>
                <w:szCs w:val="16"/>
              </w:rPr>
              <w:softHyphen/>
            </w:r>
          </w:p>
        </w:tc>
        <w:tc>
          <w:tcPr>
            <w:tcW w:w="5757" w:type="dxa"/>
          </w:tcPr>
          <w:p w:rsidR="00177A6A" w:rsidRPr="00CF1ECC" w:rsidRDefault="00177A6A" w:rsidP="004C6FEE">
            <w:pPr>
              <w:ind w:left="-19" w:right="-62"/>
              <w:jc w:val="center"/>
              <w:rPr>
                <w:rFonts w:ascii="Times New Roman" w:hAnsi="Times New Roman"/>
                <w:b/>
                <w:sz w:val="26"/>
                <w:szCs w:val="26"/>
              </w:rPr>
            </w:pPr>
            <w:r w:rsidRPr="00CF1ECC">
              <w:rPr>
                <w:rFonts w:ascii="Times New Roman" w:hAnsi="Times New Roman"/>
                <w:b/>
                <w:sz w:val="26"/>
                <w:szCs w:val="26"/>
              </w:rPr>
              <w:t>CỘNG HOÀ XÃ HỘI CHỦ NGHĨA VIỆT NAM</w:t>
            </w:r>
          </w:p>
          <w:p w:rsidR="00177A6A" w:rsidRPr="00CF1ECC" w:rsidRDefault="00177A6A" w:rsidP="004C6FEE">
            <w:pPr>
              <w:ind w:left="-19"/>
              <w:jc w:val="center"/>
              <w:rPr>
                <w:rFonts w:ascii="Times New Roman" w:hAnsi="Times New Roman"/>
                <w:b/>
              </w:rPr>
            </w:pPr>
            <w:r w:rsidRPr="00CF1ECC">
              <w:rPr>
                <w:rFonts w:ascii="Times New Roman" w:hAnsi="Times New Roman"/>
                <w:b/>
              </w:rPr>
              <w:t>Độc lập - Tự do - Hạnh phúc</w:t>
            </w:r>
          </w:p>
          <w:p w:rsidR="00177A6A" w:rsidRPr="00CF1ECC" w:rsidRDefault="00177A6A" w:rsidP="004C6FEE">
            <w:pPr>
              <w:ind w:left="-19"/>
              <w:jc w:val="center"/>
              <w:rPr>
                <w:rFonts w:ascii="Times New Roman" w:hAnsi="Times New Roman"/>
                <w:sz w:val="16"/>
                <w:szCs w:val="16"/>
              </w:rPr>
            </w:pPr>
            <w:r w:rsidRPr="00CF1ECC">
              <w:rPr>
                <w:rFonts w:ascii="Times New Roman" w:hAnsi="Times New Roman"/>
                <w:sz w:val="16"/>
                <w:szCs w:val="16"/>
              </w:rPr>
              <w:t>–––––––––––––––––––––––––––––––––––––––––––</w:t>
            </w:r>
          </w:p>
        </w:tc>
      </w:tr>
      <w:tr w:rsidR="00177A6A" w:rsidRPr="00CF1ECC" w:rsidTr="004C6FEE">
        <w:trPr>
          <w:jc w:val="center"/>
        </w:trPr>
        <w:tc>
          <w:tcPr>
            <w:tcW w:w="3432" w:type="dxa"/>
          </w:tcPr>
          <w:p w:rsidR="00177A6A" w:rsidRPr="00CF1ECC" w:rsidRDefault="00177A6A" w:rsidP="004C6FEE">
            <w:pPr>
              <w:spacing w:after="120"/>
              <w:ind w:left="-119"/>
              <w:jc w:val="center"/>
              <w:rPr>
                <w:rFonts w:ascii="Times New Roman" w:hAnsi="Times New Roman"/>
              </w:rPr>
            </w:pPr>
            <w:r w:rsidRPr="00CF1ECC">
              <w:rPr>
                <w:rFonts w:ascii="Times New Roman" w:hAnsi="Times New Roman"/>
              </w:rPr>
              <w:t xml:space="preserve">Số: </w:t>
            </w:r>
            <w:r w:rsidR="00444277">
              <w:rPr>
                <w:rFonts w:ascii="Times New Roman" w:hAnsi="Times New Roman"/>
              </w:rPr>
              <w:t xml:space="preserve">         </w:t>
            </w:r>
            <w:r w:rsidRPr="00CF1ECC">
              <w:rPr>
                <w:rFonts w:ascii="Times New Roman" w:hAnsi="Times New Roman"/>
              </w:rPr>
              <w:t>/</w:t>
            </w:r>
            <w:r w:rsidR="00327FCE" w:rsidRPr="00CF1ECC">
              <w:rPr>
                <w:rFonts w:ascii="Times New Roman" w:hAnsi="Times New Roman"/>
              </w:rPr>
              <w:t>TTr</w:t>
            </w:r>
            <w:r w:rsidRPr="00CF1ECC">
              <w:rPr>
                <w:rFonts w:ascii="Times New Roman" w:hAnsi="Times New Roman"/>
              </w:rPr>
              <w:t>-BCT</w:t>
            </w:r>
          </w:p>
          <w:p w:rsidR="00177A6A" w:rsidRPr="00CF1ECC" w:rsidRDefault="00177A6A" w:rsidP="004C6FEE">
            <w:pPr>
              <w:pStyle w:val="Heading2"/>
              <w:tabs>
                <w:tab w:val="left" w:pos="2552"/>
              </w:tabs>
              <w:jc w:val="both"/>
              <w:rPr>
                <w:rFonts w:ascii="Times New Roman" w:hAnsi="Times New Roman"/>
                <w:b w:val="0"/>
                <w:sz w:val="24"/>
                <w:szCs w:val="24"/>
              </w:rPr>
            </w:pPr>
          </w:p>
        </w:tc>
        <w:tc>
          <w:tcPr>
            <w:tcW w:w="5757" w:type="dxa"/>
          </w:tcPr>
          <w:p w:rsidR="00177A6A" w:rsidRPr="00CF1ECC" w:rsidRDefault="00177A6A" w:rsidP="009519CE">
            <w:pPr>
              <w:jc w:val="center"/>
              <w:rPr>
                <w:rFonts w:ascii="Times New Roman" w:hAnsi="Times New Roman"/>
              </w:rPr>
            </w:pPr>
            <w:r w:rsidRPr="00CF1ECC">
              <w:rPr>
                <w:rFonts w:ascii="Times New Roman" w:hAnsi="Times New Roman"/>
                <w:i/>
              </w:rPr>
              <w:t xml:space="preserve">Hà Nội, ngày       tháng </w:t>
            </w:r>
            <w:r w:rsidR="00710C23">
              <w:rPr>
                <w:rFonts w:ascii="Times New Roman" w:hAnsi="Times New Roman"/>
                <w:i/>
              </w:rPr>
              <w:t xml:space="preserve">   </w:t>
            </w:r>
            <w:r w:rsidRPr="00CF1ECC">
              <w:rPr>
                <w:rFonts w:ascii="Times New Roman" w:hAnsi="Times New Roman"/>
                <w:i/>
              </w:rPr>
              <w:t xml:space="preserve"> năm 201</w:t>
            </w:r>
            <w:r w:rsidR="009519CE" w:rsidRPr="00CF1ECC">
              <w:rPr>
                <w:rFonts w:ascii="Times New Roman" w:hAnsi="Times New Roman"/>
                <w:i/>
              </w:rPr>
              <w:t>9</w:t>
            </w:r>
          </w:p>
        </w:tc>
      </w:tr>
    </w:tbl>
    <w:p w:rsidR="00B055DE" w:rsidRPr="00CF1ECC" w:rsidRDefault="003149A1" w:rsidP="00177A6A">
      <w:pPr>
        <w:jc w:val="center"/>
        <w:rPr>
          <w:rFonts w:ascii="Times New Roman" w:hAnsi="Times New Roman"/>
          <w:b/>
          <w:lang w:val="nl-NL"/>
        </w:rPr>
      </w:pPr>
      <w:r w:rsidRPr="003149A1">
        <w:rPr>
          <w:rFonts w:ascii="Times New Roman" w:hAnsi="Times New Roman"/>
          <w:b/>
          <w:noProof/>
          <w:lang w:val="nl-NL" w:eastAsia="zh-TW"/>
        </w:rPr>
        <w:pict>
          <v:shapetype id="_x0000_t202" coordsize="21600,21600" o:spt="202" path="m,l,21600r21600,l21600,xe">
            <v:stroke joinstyle="miter"/>
            <v:path gradientshapeok="t" o:connecttype="rect"/>
          </v:shapetype>
          <v:shape id="_x0000_s1027" type="#_x0000_t202" style="position:absolute;left:0;text-align:left;margin-left:6pt;margin-top:.4pt;width:122.95pt;height:28.65pt;z-index:251660288;mso-height-percent:200;mso-position-horizontal-relative:text;mso-position-vertical-relative:text;mso-height-percent:200;mso-width-relative:margin;mso-height-relative:margin">
            <v:textbox style="mso-fit-shape-to-text:t">
              <w:txbxContent>
                <w:p w:rsidR="00CF1ECC" w:rsidRPr="00CF1ECC" w:rsidRDefault="00CF1ECC">
                  <w:pPr>
                    <w:rPr>
                      <w:rFonts w:ascii="Times New Roman" w:hAnsi="Times New Roman"/>
                      <w:b/>
                      <w:sz w:val="36"/>
                      <w:szCs w:val="36"/>
                      <w:lang w:val="vi-VN"/>
                    </w:rPr>
                  </w:pPr>
                  <w:r w:rsidRPr="00CF1ECC">
                    <w:rPr>
                      <w:rFonts w:ascii="Times New Roman" w:hAnsi="Times New Roman"/>
                      <w:b/>
                      <w:sz w:val="36"/>
                      <w:szCs w:val="36"/>
                    </w:rPr>
                    <w:t>D</w:t>
                  </w:r>
                  <w:r w:rsidRPr="00CF1ECC">
                    <w:rPr>
                      <w:rFonts w:ascii="Times New Roman" w:hAnsi="Times New Roman"/>
                      <w:b/>
                      <w:sz w:val="36"/>
                      <w:szCs w:val="36"/>
                      <w:lang w:val="vi-VN"/>
                    </w:rPr>
                    <w:t>Ự THẢO</w:t>
                  </w:r>
                </w:p>
              </w:txbxContent>
            </v:textbox>
          </v:shape>
        </w:pict>
      </w:r>
    </w:p>
    <w:p w:rsidR="0029152A" w:rsidRPr="00CF1ECC" w:rsidRDefault="0029152A" w:rsidP="00177A6A">
      <w:pPr>
        <w:jc w:val="center"/>
        <w:rPr>
          <w:rFonts w:ascii="Times New Roman" w:hAnsi="Times New Roman"/>
          <w:b/>
          <w:lang w:val="nl-NL"/>
        </w:rPr>
      </w:pPr>
    </w:p>
    <w:p w:rsidR="00177A6A" w:rsidRPr="00CF1ECC" w:rsidRDefault="00327FCE" w:rsidP="00177A6A">
      <w:pPr>
        <w:jc w:val="center"/>
        <w:rPr>
          <w:rFonts w:ascii="Times New Roman" w:hAnsi="Times New Roman"/>
          <w:b/>
          <w:lang w:val="nl-NL"/>
        </w:rPr>
      </w:pPr>
      <w:r w:rsidRPr="00CF1ECC">
        <w:rPr>
          <w:rFonts w:ascii="Times New Roman" w:hAnsi="Times New Roman"/>
          <w:b/>
          <w:lang w:val="nl-NL"/>
        </w:rPr>
        <w:t>TỜ TRÌNH</w:t>
      </w:r>
    </w:p>
    <w:p w:rsidR="00177A6A" w:rsidRPr="00CF1ECC" w:rsidRDefault="00177A6A" w:rsidP="00177A6A">
      <w:pPr>
        <w:jc w:val="center"/>
        <w:rPr>
          <w:rFonts w:ascii="Times New Roman" w:hAnsi="Times New Roman"/>
          <w:b/>
          <w:lang w:val="nl-NL"/>
        </w:rPr>
      </w:pPr>
      <w:r w:rsidRPr="00CF1ECC">
        <w:rPr>
          <w:rFonts w:ascii="Times New Roman" w:hAnsi="Times New Roman"/>
          <w:b/>
          <w:lang w:val="nl-NL"/>
        </w:rPr>
        <w:t xml:space="preserve">Về việc </w:t>
      </w:r>
      <w:r w:rsidR="001C6EAC">
        <w:rPr>
          <w:rFonts w:ascii="Times New Roman" w:hAnsi="Times New Roman"/>
          <w:b/>
          <w:lang w:val="nl-NL"/>
        </w:rPr>
        <w:t xml:space="preserve">xây dựng dự thảo Quyết định </w:t>
      </w:r>
      <w:r w:rsidRPr="00CF1ECC">
        <w:rPr>
          <w:rFonts w:ascii="Times New Roman" w:hAnsi="Times New Roman"/>
          <w:b/>
          <w:lang w:val="nl-NL"/>
        </w:rPr>
        <w:t xml:space="preserve">sửa </w:t>
      </w:r>
      <w:r w:rsidR="001C6EAC">
        <w:rPr>
          <w:rFonts w:ascii="Times New Roman" w:hAnsi="Times New Roman"/>
          <w:b/>
          <w:lang w:val="nl-NL"/>
        </w:rPr>
        <w:t xml:space="preserve">đổi, bổ sung một số </w:t>
      </w:r>
      <w:r w:rsidR="00C0194D">
        <w:rPr>
          <w:rFonts w:ascii="Times New Roman" w:hAnsi="Times New Roman"/>
          <w:b/>
          <w:lang w:val="nl-NL"/>
        </w:rPr>
        <w:t xml:space="preserve">điều của </w:t>
      </w:r>
      <w:r w:rsidRPr="00CF1ECC">
        <w:rPr>
          <w:rFonts w:ascii="Times New Roman" w:hAnsi="Times New Roman"/>
          <w:b/>
          <w:lang w:val="nl-NL"/>
        </w:rPr>
        <w:t>Quy chế hoạt động ứng phó sự cố hóa chất độc ban h</w:t>
      </w:r>
      <w:r w:rsidR="0029183E">
        <w:rPr>
          <w:rFonts w:ascii="Times New Roman" w:hAnsi="Times New Roman"/>
          <w:b/>
          <w:lang w:val="nl-NL"/>
        </w:rPr>
        <w:t>ành kèm theo Quyết định số 26</w:t>
      </w:r>
      <w:r w:rsidRPr="00CF1ECC">
        <w:rPr>
          <w:rFonts w:ascii="Times New Roman" w:hAnsi="Times New Roman"/>
          <w:b/>
          <w:lang w:val="nl-NL"/>
        </w:rPr>
        <w:t>/2016/QĐ-TTg của Thủ tướng Chính phủ</w:t>
      </w:r>
    </w:p>
    <w:p w:rsidR="00C6019B" w:rsidRPr="00CF1ECC" w:rsidRDefault="003149A1" w:rsidP="00177A6A">
      <w:pPr>
        <w:spacing w:before="240" w:after="240"/>
        <w:jc w:val="center"/>
        <w:rPr>
          <w:rFonts w:ascii="Times New Roman" w:hAnsi="Times New Roman"/>
          <w:lang w:val="nl-NL"/>
        </w:rPr>
      </w:pPr>
      <w:r>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67.25pt;margin-top:7.1pt;width:139.15pt;height:0;z-index:251658240" o:connectortype="straight"/>
        </w:pict>
      </w:r>
    </w:p>
    <w:p w:rsidR="00177A6A" w:rsidRPr="00CF1ECC" w:rsidRDefault="00177A6A" w:rsidP="00177A6A">
      <w:pPr>
        <w:spacing w:before="240" w:after="240"/>
        <w:jc w:val="center"/>
        <w:rPr>
          <w:rFonts w:ascii="Times New Roman" w:hAnsi="Times New Roman"/>
          <w:lang w:val="nl-NL"/>
        </w:rPr>
      </w:pPr>
      <w:r w:rsidRPr="00CF1ECC">
        <w:rPr>
          <w:rFonts w:ascii="Times New Roman" w:hAnsi="Times New Roman"/>
          <w:lang w:val="nl-NL"/>
        </w:rPr>
        <w:t>Kính gửi: Thủ tướng Chính phủ</w:t>
      </w:r>
    </w:p>
    <w:p w:rsidR="00CF1ECC" w:rsidRPr="00CF1ECC" w:rsidRDefault="00CF1ECC" w:rsidP="00A700A9">
      <w:pPr>
        <w:widowControl w:val="0"/>
        <w:spacing w:before="120" w:after="120"/>
        <w:ind w:firstLine="720"/>
        <w:jc w:val="both"/>
        <w:rPr>
          <w:rFonts w:ascii="Times New Roman" w:hAnsi="Times New Roman"/>
          <w:szCs w:val="28"/>
        </w:rPr>
      </w:pPr>
    </w:p>
    <w:p w:rsidR="00A700A9" w:rsidRPr="00CF1ECC" w:rsidRDefault="00A700A9" w:rsidP="00A700A9">
      <w:pPr>
        <w:widowControl w:val="0"/>
        <w:spacing w:before="120" w:after="120"/>
        <w:ind w:firstLine="720"/>
        <w:jc w:val="both"/>
        <w:rPr>
          <w:rFonts w:ascii="Times New Roman" w:hAnsi="Times New Roman"/>
          <w:szCs w:val="28"/>
          <w:lang w:val="nl-NL"/>
        </w:rPr>
      </w:pPr>
      <w:r w:rsidRPr="00CF1ECC">
        <w:rPr>
          <w:rFonts w:ascii="Times New Roman" w:hAnsi="Times New Roman"/>
          <w:szCs w:val="28"/>
        </w:rPr>
        <w:t xml:space="preserve">Thực hiện Chương trình công tác của Chính phủ, Thủ tướng Chính phủ năm 2019 tại Công văn số 430/VPCP-TH ngày 20 tháng 02 năm 2019 của </w:t>
      </w:r>
      <w:r w:rsidR="00E905E4">
        <w:rPr>
          <w:rFonts w:ascii="Times New Roman" w:hAnsi="Times New Roman"/>
          <w:szCs w:val="28"/>
        </w:rPr>
        <w:t>V</w:t>
      </w:r>
      <w:r w:rsidRPr="00CF1ECC">
        <w:rPr>
          <w:rFonts w:ascii="Times New Roman" w:hAnsi="Times New Roman"/>
          <w:szCs w:val="28"/>
        </w:rPr>
        <w:t xml:space="preserve">ăn phòng Chính phủ, Bộ Công Thương được giao triển khai xây dựng Quyết định sửa đổi, bổ sung Quyết định số </w:t>
      </w:r>
      <w:r w:rsidRPr="00CF1ECC">
        <w:rPr>
          <w:rFonts w:ascii="Times New Roman" w:hAnsi="Times New Roman"/>
          <w:szCs w:val="28"/>
          <w:lang w:val="nl-NL"/>
        </w:rPr>
        <w:t>26/2016/QĐ-TTg ngày 01 tháng 7 năm 2016 của Thủ tướng Chính phủ ban hành Quy chế hoạt động ứng phó sự cố hóa chất độc. Về việc trên, Bộ Công Thương kính báo cáo Thủ tướng Chính phủ cụ thể như sau:</w:t>
      </w:r>
    </w:p>
    <w:p w:rsidR="00A700A9" w:rsidRPr="00CF1ECC" w:rsidRDefault="00A700A9" w:rsidP="00A700A9">
      <w:pPr>
        <w:pStyle w:val="ListParagraph"/>
        <w:tabs>
          <w:tab w:val="left" w:pos="0"/>
        </w:tabs>
        <w:spacing w:before="120" w:after="120"/>
        <w:ind w:left="0"/>
        <w:jc w:val="both"/>
        <w:rPr>
          <w:rFonts w:ascii="Times New Roman" w:hAnsi="Times New Roman"/>
          <w:b/>
          <w:szCs w:val="28"/>
        </w:rPr>
      </w:pPr>
      <w:r w:rsidRPr="00CF1ECC">
        <w:rPr>
          <w:rFonts w:ascii="Times New Roman" w:hAnsi="Times New Roman"/>
          <w:b/>
          <w:szCs w:val="28"/>
        </w:rPr>
        <w:tab/>
      </w:r>
      <w:r w:rsidR="006B7F7F" w:rsidRPr="00CF1ECC">
        <w:rPr>
          <w:rFonts w:ascii="Times New Roman" w:hAnsi="Times New Roman"/>
          <w:b/>
          <w:szCs w:val="28"/>
        </w:rPr>
        <w:t>I</w:t>
      </w:r>
      <w:r w:rsidRPr="00CF1ECC">
        <w:rPr>
          <w:rFonts w:ascii="Times New Roman" w:hAnsi="Times New Roman"/>
          <w:b/>
          <w:szCs w:val="28"/>
        </w:rPr>
        <w:t>. S</w:t>
      </w:r>
      <w:r w:rsidR="006B7F7F" w:rsidRPr="00CF1ECC">
        <w:rPr>
          <w:rFonts w:ascii="Times New Roman" w:hAnsi="Times New Roman" w:cs="Arial"/>
          <w:b/>
          <w:szCs w:val="28"/>
        </w:rPr>
        <w:t>Ự CẦN THIẾT BAN HÀNH QUYẾT ĐỊNH SỬA ĐỔI</w:t>
      </w:r>
    </w:p>
    <w:p w:rsidR="0071184E" w:rsidRPr="00CF1ECC" w:rsidRDefault="0071184E" w:rsidP="0071184E">
      <w:pPr>
        <w:spacing w:before="120" w:after="120"/>
        <w:ind w:firstLine="720"/>
        <w:jc w:val="both"/>
        <w:rPr>
          <w:rFonts w:ascii="Times New Roman" w:hAnsi="Times New Roman"/>
          <w:szCs w:val="28"/>
        </w:rPr>
      </w:pPr>
      <w:r w:rsidRPr="00CF1ECC">
        <w:rPr>
          <w:rFonts w:ascii="Times New Roman" w:hAnsi="Times New Roman"/>
          <w:szCs w:val="28"/>
        </w:rPr>
        <w:t>Ngày 05 tháng 3 năm 2013, Thủ tướng Chính phủ ban hành Chỉ thị số 03/CT-TTg về việc tăng cường công tác phòng ngừa, ứng phó sự cố hóa chất độc hại, trong đó giao Ủy ban nhân dân các tỉnh, thành phố trực thuộc Trung ương chỉ đạo các cơ quan chức năng trên địa bàn tỉnh xây dựng Kế hoạch phòng ngừa, ứng phó sự cố hóa chất cấp tỉnh. Bộ Công Thương đã ban hành các Công văn số 10362/BCT-HC ngày 13 tháng 11 năm 2013 và Công văn số 9574/BCT-HC ngày 29 tháng 9 năm 2014 gửi Ủy ban nhân dân các tỉnh, thành phố trực thuộc Trung ương hướng dẫn việc xây dựng và phê duyệt Kế hoạch phòng ngừa, ứng phó sự cố hóa chất cấp tỉnh. Cho đến nay đã có 47 tỉnh đã xây dựng Kế hoạch phòng ngừa, ứng phó sự cố hóa chất cấp tỉnh được Ủy ban nhân dân các tỉnh, thành phố trực thuộc Trung ương thẩm định và phê duyệt.</w:t>
      </w:r>
    </w:p>
    <w:p w:rsidR="0071184E" w:rsidRPr="00CF1ECC" w:rsidRDefault="0071184E" w:rsidP="0071184E">
      <w:pPr>
        <w:spacing w:before="120" w:after="120"/>
        <w:ind w:firstLine="720"/>
        <w:jc w:val="both"/>
        <w:rPr>
          <w:rFonts w:ascii="Times New Roman" w:hAnsi="Times New Roman"/>
          <w:szCs w:val="28"/>
        </w:rPr>
      </w:pPr>
      <w:r w:rsidRPr="00CF1ECC">
        <w:rPr>
          <w:rFonts w:ascii="Times New Roman" w:hAnsi="Times New Roman"/>
          <w:szCs w:val="28"/>
        </w:rPr>
        <w:t>Ngày 01 tháng 7 năm 2016, Thủ tướng Chính phủ ban hành Quyết định số 26/QĐ-TTg về Quy chế hoạt động ứng phó sự cố hóa chất độc, giao Ủy ban nhân dân cấp tỉnh xây dựng</w:t>
      </w:r>
      <w:r w:rsidR="00A8620F">
        <w:rPr>
          <w:rFonts w:ascii="Times New Roman" w:hAnsi="Times New Roman"/>
          <w:szCs w:val="28"/>
        </w:rPr>
        <w:t>, rà soát, cập nhật bổ sung</w:t>
      </w:r>
      <w:r w:rsidRPr="00CF1ECC">
        <w:rPr>
          <w:rFonts w:ascii="Times New Roman" w:hAnsi="Times New Roman"/>
          <w:szCs w:val="28"/>
        </w:rPr>
        <w:t xml:space="preserve"> Kế hoạch phòng ngừa, ứng phó sự cố hóa chất cấp tỉnh </w:t>
      </w:r>
      <w:r w:rsidR="00A8620F">
        <w:rPr>
          <w:rFonts w:ascii="Times New Roman" w:hAnsi="Times New Roman"/>
          <w:szCs w:val="28"/>
        </w:rPr>
        <w:t>trong đó nêu rõ</w:t>
      </w:r>
      <w:r w:rsidRPr="00CF1ECC">
        <w:rPr>
          <w:rFonts w:ascii="Times New Roman" w:hAnsi="Times New Roman"/>
          <w:szCs w:val="28"/>
        </w:rPr>
        <w:t xml:space="preserve"> phương án ứng phó sự cố hóa chất độc, trình Bộ Công Thương phê duyệt.</w:t>
      </w:r>
    </w:p>
    <w:p w:rsidR="0071184E" w:rsidRDefault="0071184E" w:rsidP="0071184E">
      <w:pPr>
        <w:tabs>
          <w:tab w:val="left" w:pos="0"/>
        </w:tabs>
        <w:spacing w:before="120" w:after="120"/>
        <w:jc w:val="both"/>
        <w:rPr>
          <w:rFonts w:ascii="Times New Roman" w:hAnsi="Times New Roman"/>
          <w:szCs w:val="28"/>
        </w:rPr>
      </w:pPr>
      <w:r w:rsidRPr="00CF1ECC">
        <w:rPr>
          <w:rFonts w:ascii="Times New Roman" w:hAnsi="Times New Roman"/>
          <w:szCs w:val="28"/>
        </w:rPr>
        <w:tab/>
        <w:t xml:space="preserve">Trong quá trình thực hiện Quy chế hoạt động ứng phó sự cố hóa chất độc đã nảy sinh một số khó khăn bất cập trong việc thẩm định và phê duyệt Kế hoạch phòng ngừa, ứng phó sự cố hóa chất cấp tỉnh vì Kế hoạch phòng ngừa, ứng phó sự cố hóa chất độc cấp tỉnh là một bộ phận của Kế hoạch phòng ngừa, ứng phó sự cố </w:t>
      </w:r>
      <w:r w:rsidRPr="00CF1ECC">
        <w:rPr>
          <w:rFonts w:ascii="Times New Roman" w:hAnsi="Times New Roman"/>
          <w:szCs w:val="28"/>
        </w:rPr>
        <w:lastRenderedPageBreak/>
        <w:t>hóa chất cấp tỉnh. Kế hoạch phòng ngừa, ứng phó sự cố hóa chất cấp tỉnh bao gồm những nội dung về cơ chế phân công, phối hợp giữa các cơ quan chức năng của tỉnh, liên quan đến nhiều sở, ngành quản lý chuyên môn địa phương trong phòng ngừa, ứng phó sự cố hóa chất như Sở Công Thương, Sở Tài nguyên và Môi trường, Cảnh sát Phòng cháy và Chữa cháy, Sở Y tế,...Kế hoạch nêu trên là một kế hoạch triển khai nhiệm vụ của Ủy ban nhân dân cấp tỉnh, trong đó có phân công chức năng, tổ chức bộ máy và tiến độ thực hiện tùy theo nguồn  nhân lực, vật lực của từng đơn vị thuộc địa phương, xây dựng kế hoạch mua sắm trang thiết bị và đào tạo, nâng cao năng lực ứng phó của các lực lượng chức năng hàng năm.</w:t>
      </w:r>
      <w:r>
        <w:rPr>
          <w:rFonts w:ascii="Times New Roman" w:hAnsi="Times New Roman"/>
          <w:szCs w:val="28"/>
        </w:rPr>
        <w:t xml:space="preserve">Theo </w:t>
      </w:r>
      <w:r w:rsidRPr="00CF1ECC">
        <w:rPr>
          <w:rFonts w:ascii="Times New Roman" w:hAnsi="Times New Roman"/>
          <w:lang w:val="nl-NL"/>
        </w:rPr>
        <w:t>khoản 2 Điều 6 của Quy chế hoạt động ứng phó sự cố hóa chất độc ban hành kèm theo Quyết định số 26/2016/QĐ-TTg của Thủ tướng Chính phủ</w:t>
      </w:r>
      <w:r>
        <w:rPr>
          <w:rFonts w:ascii="Times New Roman" w:hAnsi="Times New Roman"/>
          <w:lang w:val="nl-NL"/>
        </w:rPr>
        <w:t>, v</w:t>
      </w:r>
      <w:r w:rsidRPr="00CF1ECC">
        <w:rPr>
          <w:rFonts w:ascii="Times New Roman" w:hAnsi="Times New Roman"/>
          <w:szCs w:val="28"/>
        </w:rPr>
        <w:t xml:space="preserve">iệc giao cho Bộ Công Thương phê duyệt Kế hoạch phòng ngừa, ứng phó sự cố hóa chất cấp tỉnh cho từng địa phương sẽ rất khó khăn trong công tác thẩm định để đánh giá tình hình thực tế của từng địa bàn, từng đơn vị của các địa phương khác nhau trên toàn quốc. </w:t>
      </w:r>
    </w:p>
    <w:p w:rsidR="0071184E" w:rsidRDefault="0071184E" w:rsidP="0071184E">
      <w:pPr>
        <w:tabs>
          <w:tab w:val="left" w:pos="0"/>
        </w:tabs>
        <w:spacing w:before="120" w:after="120"/>
        <w:jc w:val="both"/>
        <w:rPr>
          <w:rFonts w:ascii="Times New Roman" w:hAnsi="Times New Roman"/>
          <w:szCs w:val="28"/>
        </w:rPr>
      </w:pPr>
      <w:r>
        <w:rPr>
          <w:rFonts w:ascii="Times New Roman" w:hAnsi="Times New Roman"/>
          <w:lang w:val="nl-NL"/>
        </w:rPr>
        <w:tab/>
      </w:r>
      <w:r w:rsidRPr="00CF1ECC">
        <w:rPr>
          <w:rFonts w:ascii="Times New Roman" w:hAnsi="Times New Roman"/>
          <w:lang w:val="nl-NL"/>
        </w:rPr>
        <w:t>Theo quy định tại Điều 4 của Luật Hóa chất, hóa chất độc là một trường hợp riêng của hóa chất nguy hiểm vì vậy Kế hoạch phòng ngừa, ứng phó sự cố hóa chất cấp tỉnh bao gồm cả phương án ứng phó sự cố hóa chất độc do UBND tỉnh phê duyệt là hợp lý, do đó</w:t>
      </w:r>
      <w:r w:rsidRPr="00CF1ECC">
        <w:rPr>
          <w:rFonts w:ascii="Times New Roman" w:hAnsi="Times New Roman"/>
          <w:szCs w:val="28"/>
        </w:rPr>
        <w:t>, việc giao Ủy ban nhân dân tỉnh thẩm định và phê duyệt Kế hoạch phòng ngừa, ứng phó sự cố hóa chất cấp tỉnh bao gồm cả phương án ứng phó sự cố hóa chất độc sẽ phù hợp với thực tế và Chỉ thị số 03/CT-TTg ngày 05 tháng 3 năm 2013 của Thủ tướng Chính phủ về việc tăng cường công tác phòng ngừa, ứng phó sự cố hóa chất độc hại đã và đang được triển khai, đồng thời tạo điều kiện cho địa phương chủ động triển khai công tác an toàn tại địa phương.</w:t>
      </w:r>
    </w:p>
    <w:p w:rsidR="0071184E" w:rsidRPr="00CF1ECC" w:rsidRDefault="0071184E" w:rsidP="0071184E">
      <w:pPr>
        <w:tabs>
          <w:tab w:val="left" w:pos="0"/>
        </w:tabs>
        <w:spacing w:before="120" w:after="120"/>
        <w:jc w:val="both"/>
        <w:rPr>
          <w:rFonts w:ascii="Times New Roman" w:hAnsi="Times New Roman"/>
          <w:lang w:val="nl-NL"/>
        </w:rPr>
      </w:pPr>
      <w:r>
        <w:rPr>
          <w:rFonts w:ascii="Times New Roman" w:hAnsi="Times New Roman"/>
          <w:szCs w:val="28"/>
        </w:rPr>
        <w:tab/>
      </w:r>
      <w:r w:rsidRPr="00CF1ECC">
        <w:rPr>
          <w:rFonts w:ascii="Times New Roman" w:hAnsi="Times New Roman"/>
          <w:szCs w:val="28"/>
        </w:rPr>
        <w:t xml:space="preserve">Chính vì vậy, việc </w:t>
      </w:r>
      <w:r w:rsidRPr="00CF1ECC">
        <w:rPr>
          <w:rFonts w:ascii="Times New Roman" w:hAnsi="Times New Roman"/>
          <w:lang w:val="nl-NL"/>
        </w:rPr>
        <w:t xml:space="preserve">chỉnh sửa khoản 2 Điều 6 của Quy chế hoạt động ứng phó sự cố hóa chất độc ban hành kèm theo Quyết định số 26/2016/QĐ-TTg của Thủ tướng Chính phủ trong đó giao </w:t>
      </w:r>
      <w:r w:rsidRPr="00CF1ECC">
        <w:rPr>
          <w:rFonts w:ascii="Times New Roman" w:hAnsi="Times New Roman"/>
        </w:rPr>
        <w:t xml:space="preserve">Ủy ban nhân dân tỉnh thẩm định Kế hoạch phòng ngừa, ứng phó sự cố hóa chất cấp tỉnh đã bao gồm </w:t>
      </w:r>
      <w:bookmarkStart w:id="0" w:name="_GoBack"/>
      <w:bookmarkEnd w:id="0"/>
      <w:r w:rsidRPr="00CF1ECC">
        <w:rPr>
          <w:rFonts w:ascii="Times New Roman" w:hAnsi="Times New Roman"/>
        </w:rPr>
        <w:t>cả phương án ứng phó sự cố hóa chất độc</w:t>
      </w:r>
      <w:r w:rsidRPr="00CF1ECC">
        <w:rPr>
          <w:rFonts w:ascii="Times New Roman" w:hAnsi="Times New Roman"/>
          <w:lang w:val="nl-NL"/>
        </w:rPr>
        <w:t xml:space="preserve"> để phù hợp với thực tế của từng địa phương và thống nhất với tình hình thực hiện Chỉ thị </w:t>
      </w:r>
      <w:r w:rsidRPr="00CF1ECC">
        <w:rPr>
          <w:rFonts w:ascii="Times New Roman" w:hAnsi="Times New Roman"/>
          <w:szCs w:val="28"/>
        </w:rPr>
        <w:t xml:space="preserve">03/CT-TTg là </w:t>
      </w:r>
      <w:r w:rsidRPr="00CF1ECC">
        <w:rPr>
          <w:rFonts w:ascii="Times New Roman" w:hAnsi="Times New Roman"/>
          <w:lang w:val="nl-NL"/>
        </w:rPr>
        <w:t>cần thiết.</w:t>
      </w:r>
    </w:p>
    <w:p w:rsidR="006B7F7F" w:rsidRPr="00CF1ECC" w:rsidRDefault="006B7F7F" w:rsidP="00A700A9">
      <w:pPr>
        <w:tabs>
          <w:tab w:val="left" w:pos="0"/>
        </w:tabs>
        <w:spacing w:before="120" w:after="120"/>
        <w:jc w:val="both"/>
        <w:rPr>
          <w:rFonts w:ascii="Times New Roman" w:hAnsi="Times New Roman"/>
          <w:b/>
          <w:lang w:val="nl-NL"/>
        </w:rPr>
      </w:pPr>
      <w:r w:rsidRPr="00CF1ECC">
        <w:rPr>
          <w:rFonts w:ascii="Times New Roman" w:hAnsi="Times New Roman"/>
          <w:lang w:val="nl-NL"/>
        </w:rPr>
        <w:tab/>
      </w:r>
      <w:r w:rsidRPr="00CF1ECC">
        <w:rPr>
          <w:rFonts w:ascii="Times New Roman" w:hAnsi="Times New Roman"/>
          <w:b/>
          <w:lang w:val="nl-NL"/>
        </w:rPr>
        <w:t>II. MỤC ĐÍCH VÀ QUAN ĐIỂM</w:t>
      </w:r>
    </w:p>
    <w:p w:rsidR="006B7F7F" w:rsidRPr="00CF1ECC" w:rsidRDefault="007E142E" w:rsidP="00FE3F41">
      <w:pPr>
        <w:pStyle w:val="ListParagraph"/>
        <w:numPr>
          <w:ilvl w:val="0"/>
          <w:numId w:val="8"/>
        </w:numPr>
        <w:tabs>
          <w:tab w:val="left" w:pos="0"/>
        </w:tabs>
        <w:spacing w:before="120" w:after="120"/>
        <w:jc w:val="both"/>
        <w:rPr>
          <w:rFonts w:ascii="Times New Roman" w:hAnsi="Times New Roman"/>
          <w:b/>
          <w:lang w:val="nl-NL"/>
        </w:rPr>
      </w:pPr>
      <w:r w:rsidRPr="00CF1ECC">
        <w:rPr>
          <w:rFonts w:ascii="Times New Roman" w:hAnsi="Times New Roman"/>
          <w:b/>
          <w:lang w:val="nl-NL"/>
        </w:rPr>
        <w:t>M</w:t>
      </w:r>
      <w:r w:rsidRPr="00CF1ECC">
        <w:rPr>
          <w:rFonts w:ascii="Times New Roman" w:hAnsi="Times New Roman" w:cs="Arial"/>
          <w:b/>
          <w:lang w:val="nl-NL"/>
        </w:rPr>
        <w:t>ụ</w:t>
      </w:r>
      <w:r w:rsidRPr="00CF1ECC">
        <w:rPr>
          <w:rFonts w:ascii="Times New Roman" w:hAnsi="Times New Roman" w:cs=".VnTime"/>
          <w:b/>
          <w:lang w:val="nl-NL"/>
        </w:rPr>
        <w:t xml:space="preserve">c </w:t>
      </w:r>
      <w:r w:rsidRPr="00CF1ECC">
        <w:rPr>
          <w:rFonts w:ascii="Times New Roman" w:hAnsi="Times New Roman" w:cs="Arial"/>
          <w:b/>
          <w:lang w:val="nl-NL"/>
        </w:rPr>
        <w:t>đ</w:t>
      </w:r>
      <w:r w:rsidRPr="00CF1ECC">
        <w:rPr>
          <w:rFonts w:ascii="Times New Roman" w:hAnsi="Times New Roman" w:cs=".VnTime"/>
          <w:b/>
          <w:lang w:val="nl-NL"/>
        </w:rPr>
        <w:t>ích</w:t>
      </w:r>
    </w:p>
    <w:p w:rsidR="007E142E" w:rsidRPr="00CF1ECC" w:rsidRDefault="00DA2A7F" w:rsidP="00DA2A7F">
      <w:pPr>
        <w:tabs>
          <w:tab w:val="left" w:pos="0"/>
        </w:tabs>
        <w:spacing w:before="120" w:after="120"/>
        <w:jc w:val="both"/>
        <w:rPr>
          <w:rFonts w:ascii="Times New Roman" w:hAnsi="Times New Roman"/>
          <w:lang w:val="nl-NL"/>
        </w:rPr>
      </w:pPr>
      <w:r w:rsidRPr="00CF1ECC">
        <w:rPr>
          <w:rFonts w:ascii="Times New Roman" w:hAnsi="Times New Roman"/>
          <w:lang w:val="nl-NL"/>
        </w:rPr>
        <w:tab/>
      </w:r>
      <w:r w:rsidR="007E142E" w:rsidRPr="00CF1ECC">
        <w:rPr>
          <w:rFonts w:ascii="Times New Roman" w:hAnsi="Times New Roman"/>
          <w:lang w:val="nl-NL"/>
        </w:rPr>
        <w:t>Ch</w:t>
      </w:r>
      <w:r w:rsidR="007E142E" w:rsidRPr="00CF1ECC">
        <w:rPr>
          <w:rFonts w:ascii="Times New Roman" w:hAnsi="Times New Roman" w:cs="Arial"/>
          <w:lang w:val="nl-NL"/>
        </w:rPr>
        <w:t>ỉ</w:t>
      </w:r>
      <w:r w:rsidR="007E142E" w:rsidRPr="00CF1ECC">
        <w:rPr>
          <w:rFonts w:ascii="Times New Roman" w:hAnsi="Times New Roman" w:cs=".VnTime"/>
          <w:lang w:val="nl-NL"/>
        </w:rPr>
        <w:t>nh s</w:t>
      </w:r>
      <w:r w:rsidR="007E142E" w:rsidRPr="00CF1ECC">
        <w:rPr>
          <w:rFonts w:ascii="Times New Roman" w:hAnsi="Times New Roman" w:cs="Arial"/>
          <w:lang w:val="nl-NL"/>
        </w:rPr>
        <w:t>ử</w:t>
      </w:r>
      <w:r w:rsidR="007E142E" w:rsidRPr="00CF1ECC">
        <w:rPr>
          <w:rFonts w:ascii="Times New Roman" w:hAnsi="Times New Roman" w:cs=".VnTime"/>
          <w:lang w:val="nl-NL"/>
        </w:rPr>
        <w:t>a m</w:t>
      </w:r>
      <w:r w:rsidR="007E142E" w:rsidRPr="00CF1ECC">
        <w:rPr>
          <w:rFonts w:ascii="Times New Roman" w:hAnsi="Times New Roman" w:cs="Arial"/>
          <w:lang w:val="nl-NL"/>
        </w:rPr>
        <w:t>ộ</w:t>
      </w:r>
      <w:r w:rsidR="007E142E" w:rsidRPr="00CF1ECC">
        <w:rPr>
          <w:rFonts w:ascii="Times New Roman" w:hAnsi="Times New Roman" w:cs=".VnTime"/>
          <w:lang w:val="nl-NL"/>
        </w:rPr>
        <w:t>t s</w:t>
      </w:r>
      <w:r w:rsidR="007E142E" w:rsidRPr="00CF1ECC">
        <w:rPr>
          <w:rFonts w:ascii="Times New Roman" w:hAnsi="Times New Roman" w:cs="Arial"/>
          <w:lang w:val="nl-NL"/>
        </w:rPr>
        <w:t>ố</w:t>
      </w:r>
      <w:r w:rsidR="007E142E" w:rsidRPr="00CF1ECC">
        <w:rPr>
          <w:rFonts w:ascii="Times New Roman" w:hAnsi="Times New Roman" w:cs=".VnTime"/>
          <w:lang w:val="nl-NL"/>
        </w:rPr>
        <w:t xml:space="preserve"> n</w:t>
      </w:r>
      <w:r w:rsidR="007E142E" w:rsidRPr="00CF1ECC">
        <w:rPr>
          <w:rFonts w:ascii="Times New Roman" w:hAnsi="Times New Roman" w:cs="Arial"/>
          <w:lang w:val="nl-NL"/>
        </w:rPr>
        <w:t>ộ</w:t>
      </w:r>
      <w:r w:rsidR="007E142E" w:rsidRPr="00CF1ECC">
        <w:rPr>
          <w:rFonts w:ascii="Times New Roman" w:hAnsi="Times New Roman" w:cs=".VnTime"/>
          <w:lang w:val="nl-NL"/>
        </w:rPr>
        <w:t>i dung c</w:t>
      </w:r>
      <w:r w:rsidR="007E142E" w:rsidRPr="00CF1ECC">
        <w:rPr>
          <w:rFonts w:ascii="Times New Roman" w:hAnsi="Times New Roman" w:cs="Arial"/>
          <w:lang w:val="nl-NL"/>
        </w:rPr>
        <w:t>ủ</w:t>
      </w:r>
      <w:r w:rsidR="007E142E" w:rsidRPr="00CF1ECC">
        <w:rPr>
          <w:rFonts w:ascii="Times New Roman" w:hAnsi="Times New Roman" w:cs=".VnTime"/>
          <w:lang w:val="nl-NL"/>
        </w:rPr>
        <w:t>a Quy ch</w:t>
      </w:r>
      <w:r w:rsidR="007E142E" w:rsidRPr="00CF1ECC">
        <w:rPr>
          <w:rFonts w:ascii="Times New Roman" w:hAnsi="Times New Roman" w:cs="Arial"/>
          <w:lang w:val="nl-NL"/>
        </w:rPr>
        <w:t>ế</w:t>
      </w:r>
      <w:r w:rsidR="007E142E" w:rsidRPr="00CF1ECC">
        <w:rPr>
          <w:rFonts w:ascii="Times New Roman" w:hAnsi="Times New Roman" w:cs=".VnTime"/>
          <w:lang w:val="nl-NL"/>
        </w:rPr>
        <w:t xml:space="preserve"> ho</w:t>
      </w:r>
      <w:r w:rsidR="007E142E" w:rsidRPr="00CF1ECC">
        <w:rPr>
          <w:rFonts w:ascii="Times New Roman" w:hAnsi="Times New Roman" w:cs="Arial"/>
          <w:lang w:val="nl-NL"/>
        </w:rPr>
        <w:t>ạ</w:t>
      </w:r>
      <w:r w:rsidR="007E142E" w:rsidRPr="00CF1ECC">
        <w:rPr>
          <w:rFonts w:ascii="Times New Roman" w:hAnsi="Times New Roman" w:cs=".VnTime"/>
          <w:lang w:val="nl-NL"/>
        </w:rPr>
        <w:t xml:space="preserve">t </w:t>
      </w:r>
      <w:r w:rsidR="007E142E" w:rsidRPr="00CF1ECC">
        <w:rPr>
          <w:rFonts w:ascii="Times New Roman" w:hAnsi="Times New Roman" w:cs="Arial"/>
          <w:lang w:val="nl-NL"/>
        </w:rPr>
        <w:t>độ</w:t>
      </w:r>
      <w:r w:rsidR="007E142E" w:rsidRPr="00CF1ECC">
        <w:rPr>
          <w:rFonts w:ascii="Times New Roman" w:hAnsi="Times New Roman" w:cs=".VnTime"/>
          <w:lang w:val="nl-NL"/>
        </w:rPr>
        <w:t xml:space="preserve">ng </w:t>
      </w:r>
      <w:r w:rsidR="007E142E" w:rsidRPr="00CF1ECC">
        <w:rPr>
          <w:rFonts w:ascii="Times New Roman" w:hAnsi="Times New Roman" w:cs="Arial"/>
          <w:lang w:val="nl-NL"/>
        </w:rPr>
        <w:t>ứ</w:t>
      </w:r>
      <w:r w:rsidR="007E142E" w:rsidRPr="00CF1ECC">
        <w:rPr>
          <w:rFonts w:ascii="Times New Roman" w:hAnsi="Times New Roman" w:cs=".VnTime"/>
          <w:lang w:val="nl-NL"/>
        </w:rPr>
        <w:t>ng phó s</w:t>
      </w:r>
      <w:r w:rsidR="007E142E" w:rsidRPr="00CF1ECC">
        <w:rPr>
          <w:rFonts w:ascii="Times New Roman" w:hAnsi="Times New Roman" w:cs="Arial"/>
          <w:lang w:val="nl-NL"/>
        </w:rPr>
        <w:t>ự</w:t>
      </w:r>
      <w:r w:rsidR="007E142E" w:rsidRPr="00CF1ECC">
        <w:rPr>
          <w:rFonts w:ascii="Times New Roman" w:hAnsi="Times New Roman" w:cs=".VnTime"/>
          <w:lang w:val="nl-NL"/>
        </w:rPr>
        <w:t xml:space="preserve"> c</w:t>
      </w:r>
      <w:r w:rsidR="007E142E" w:rsidRPr="00CF1ECC">
        <w:rPr>
          <w:rFonts w:ascii="Times New Roman" w:hAnsi="Times New Roman" w:cs="Arial"/>
          <w:lang w:val="nl-NL"/>
        </w:rPr>
        <w:t>ố</w:t>
      </w:r>
      <w:r w:rsidR="007E142E" w:rsidRPr="00CF1ECC">
        <w:rPr>
          <w:rFonts w:ascii="Times New Roman" w:hAnsi="Times New Roman" w:cs=".VnTime"/>
          <w:lang w:val="nl-NL"/>
        </w:rPr>
        <w:t xml:space="preserve"> hóa ch</w:t>
      </w:r>
      <w:r w:rsidR="007E142E" w:rsidRPr="00CF1ECC">
        <w:rPr>
          <w:rFonts w:ascii="Times New Roman" w:hAnsi="Times New Roman" w:cs="Arial"/>
          <w:lang w:val="nl-NL"/>
        </w:rPr>
        <w:t>ấ</w:t>
      </w:r>
      <w:r w:rsidR="007E142E" w:rsidRPr="00CF1ECC">
        <w:rPr>
          <w:rFonts w:ascii="Times New Roman" w:hAnsi="Times New Roman" w:cs=".VnTime"/>
          <w:lang w:val="nl-NL"/>
        </w:rPr>
        <w:t xml:space="preserve">t </w:t>
      </w:r>
      <w:r w:rsidR="007E142E" w:rsidRPr="00CF1ECC">
        <w:rPr>
          <w:rFonts w:ascii="Times New Roman" w:hAnsi="Times New Roman" w:cs="Arial"/>
          <w:lang w:val="nl-NL"/>
        </w:rPr>
        <w:t>độ</w:t>
      </w:r>
      <w:r w:rsidR="007E142E" w:rsidRPr="00CF1ECC">
        <w:rPr>
          <w:rFonts w:ascii="Times New Roman" w:hAnsi="Times New Roman" w:cs=".VnTime"/>
          <w:lang w:val="nl-NL"/>
        </w:rPr>
        <w:t>c ban h</w:t>
      </w:r>
      <w:r w:rsidR="007E142E" w:rsidRPr="00CF1ECC">
        <w:rPr>
          <w:rFonts w:ascii="Times New Roman" w:hAnsi="Times New Roman" w:cs="Arial"/>
          <w:lang w:val="nl-NL"/>
        </w:rPr>
        <w:t>à</w:t>
      </w:r>
      <w:r w:rsidR="007E142E" w:rsidRPr="00CF1ECC">
        <w:rPr>
          <w:rFonts w:ascii="Times New Roman" w:hAnsi="Times New Roman" w:cs=".VnTime"/>
          <w:lang w:val="nl-NL"/>
        </w:rPr>
        <w:t>nh kèm t</w:t>
      </w:r>
      <w:r w:rsidR="007E142E" w:rsidRPr="00CF1ECC">
        <w:rPr>
          <w:rFonts w:ascii="Times New Roman" w:hAnsi="Times New Roman"/>
          <w:lang w:val="nl-NL"/>
        </w:rPr>
        <w:t xml:space="preserve">heo Quyết định số 26/2016/QĐ-TTg của Thủ tướng Chính phủ nhằm thống nhất </w:t>
      </w:r>
      <w:r w:rsidRPr="00CF1ECC">
        <w:rPr>
          <w:rFonts w:ascii="Times New Roman" w:hAnsi="Times New Roman"/>
          <w:lang w:val="nl-NL"/>
        </w:rPr>
        <w:t>việc triển khai xây dựng và thực hiện Kế hoạch phòng ngừa, ứng phó sự cố hóa chất cấp tỉnh bao gồm cả phương án ứng phó sự cố hóa chất độc, tạo điều kiện thuận lợi trong công tác thẩm định và phê duyệt, chỉ đạo triển khai và diễn tập hàng năm của các tỉnh.</w:t>
      </w:r>
    </w:p>
    <w:p w:rsidR="00DA2A7F" w:rsidRPr="00CF1ECC" w:rsidRDefault="00DA2A7F" w:rsidP="00FE3F41">
      <w:pPr>
        <w:pStyle w:val="ListParagraph"/>
        <w:numPr>
          <w:ilvl w:val="0"/>
          <w:numId w:val="8"/>
        </w:numPr>
        <w:tabs>
          <w:tab w:val="left" w:pos="0"/>
        </w:tabs>
        <w:spacing w:before="120" w:after="120"/>
        <w:jc w:val="both"/>
        <w:rPr>
          <w:rFonts w:ascii="Times New Roman" w:hAnsi="Times New Roman"/>
          <w:b/>
          <w:lang w:val="nl-NL"/>
        </w:rPr>
      </w:pPr>
      <w:r w:rsidRPr="00CF1ECC">
        <w:rPr>
          <w:rFonts w:ascii="Times New Roman" w:hAnsi="Times New Roman"/>
          <w:b/>
          <w:lang w:val="nl-NL"/>
        </w:rPr>
        <w:t xml:space="preserve">Quan </w:t>
      </w:r>
      <w:r w:rsidRPr="00CF1ECC">
        <w:rPr>
          <w:rFonts w:ascii="Times New Roman" w:hAnsi="Times New Roman" w:cs="Arial"/>
          <w:b/>
          <w:lang w:val="nl-NL"/>
        </w:rPr>
        <w:t>đ</w:t>
      </w:r>
      <w:r w:rsidRPr="00CF1ECC">
        <w:rPr>
          <w:rFonts w:ascii="Times New Roman" w:hAnsi="Times New Roman" w:cs=".VnTime"/>
          <w:b/>
          <w:lang w:val="nl-NL"/>
        </w:rPr>
        <w:t>i</w:t>
      </w:r>
      <w:r w:rsidRPr="00CF1ECC">
        <w:rPr>
          <w:rFonts w:ascii="Times New Roman" w:hAnsi="Times New Roman" w:cs="Arial"/>
          <w:b/>
          <w:lang w:val="nl-NL"/>
        </w:rPr>
        <w:t>ể</w:t>
      </w:r>
      <w:r w:rsidRPr="00CF1ECC">
        <w:rPr>
          <w:rFonts w:ascii="Times New Roman" w:hAnsi="Times New Roman" w:cs=".VnTime"/>
          <w:b/>
          <w:lang w:val="nl-NL"/>
        </w:rPr>
        <w:t>m</w:t>
      </w:r>
    </w:p>
    <w:p w:rsidR="00FE3F41" w:rsidRPr="00CF1ECC" w:rsidRDefault="00DA2A7F" w:rsidP="00DA2A7F">
      <w:pPr>
        <w:tabs>
          <w:tab w:val="left" w:pos="0"/>
        </w:tabs>
        <w:spacing w:before="120" w:after="120"/>
        <w:jc w:val="both"/>
        <w:rPr>
          <w:rFonts w:ascii="Times New Roman" w:hAnsi="Times New Roman"/>
          <w:lang w:val="nl-NL"/>
        </w:rPr>
      </w:pPr>
      <w:r w:rsidRPr="00CF1ECC">
        <w:rPr>
          <w:rFonts w:ascii="Times New Roman" w:hAnsi="Times New Roman"/>
          <w:lang w:val="nl-NL"/>
        </w:rPr>
        <w:tab/>
        <w:t>V</w:t>
      </w:r>
      <w:r w:rsidRPr="00CF1ECC">
        <w:rPr>
          <w:rFonts w:ascii="Times New Roman" w:hAnsi="Times New Roman" w:cs="Arial"/>
          <w:lang w:val="nl-NL"/>
        </w:rPr>
        <w:t>ề</w:t>
      </w:r>
      <w:r w:rsidRPr="00CF1ECC">
        <w:rPr>
          <w:rFonts w:ascii="Times New Roman" w:hAnsi="Times New Roman" w:cs=".VnTime"/>
          <w:lang w:val="nl-NL"/>
        </w:rPr>
        <w:t xml:space="preserve"> c</w:t>
      </w:r>
      <w:r w:rsidRPr="00CF1ECC">
        <w:rPr>
          <w:rFonts w:ascii="Times New Roman" w:hAnsi="Times New Roman" w:cs="Arial"/>
          <w:lang w:val="nl-NL"/>
        </w:rPr>
        <w:t>ơ</w:t>
      </w:r>
      <w:r w:rsidRPr="00CF1ECC">
        <w:rPr>
          <w:rFonts w:ascii="Times New Roman" w:hAnsi="Times New Roman" w:cs=".VnTime"/>
          <w:lang w:val="nl-NL"/>
        </w:rPr>
        <w:t xml:space="preserve"> b</w:t>
      </w:r>
      <w:r w:rsidRPr="00CF1ECC">
        <w:rPr>
          <w:rFonts w:ascii="Times New Roman" w:hAnsi="Times New Roman" w:cs="Arial"/>
          <w:lang w:val="nl-NL"/>
        </w:rPr>
        <w:t>ả</w:t>
      </w:r>
      <w:r w:rsidRPr="00CF1ECC">
        <w:rPr>
          <w:rFonts w:ascii="Times New Roman" w:hAnsi="Times New Roman" w:cs=".VnTime"/>
          <w:lang w:val="nl-NL"/>
        </w:rPr>
        <w:t xml:space="preserve">n </w:t>
      </w:r>
      <w:r w:rsidR="00C0194D">
        <w:rPr>
          <w:rFonts w:ascii="Times New Roman" w:hAnsi="Times New Roman" w:cs=".VnTime"/>
          <w:lang w:val="nl-NL"/>
        </w:rPr>
        <w:t xml:space="preserve">kế thừa, </w:t>
      </w:r>
      <w:r w:rsidRPr="00CF1ECC">
        <w:rPr>
          <w:rFonts w:ascii="Times New Roman" w:hAnsi="Times New Roman" w:cs=".VnTime"/>
          <w:lang w:val="nl-NL"/>
        </w:rPr>
        <w:t xml:space="preserve">giữ nguyên </w:t>
      </w:r>
      <w:r w:rsidRPr="00CF1ECC">
        <w:rPr>
          <w:rFonts w:ascii="Times New Roman" w:hAnsi="Times New Roman"/>
          <w:lang w:val="nl-NL"/>
        </w:rPr>
        <w:t xml:space="preserve">nội dung của Quy chế </w:t>
      </w:r>
      <w:r w:rsidR="003031BA" w:rsidRPr="00CF1ECC">
        <w:rPr>
          <w:rFonts w:ascii="Times New Roman" w:hAnsi="Times New Roman"/>
          <w:lang w:val="nl-NL"/>
        </w:rPr>
        <w:t xml:space="preserve">hoạt động ứng phó sự cố hóa chất độc ban hành kèm theo Quyết định số 26/2016/QĐ-TTg của Thủ tướng Chính phủ </w:t>
      </w:r>
      <w:r w:rsidRPr="00CF1ECC">
        <w:rPr>
          <w:rFonts w:ascii="Times New Roman" w:hAnsi="Times New Roman"/>
          <w:lang w:val="nl-NL"/>
        </w:rPr>
        <w:t>chỉ chỉnh sửa nội dung tại Khoản 2 Điều 6 của Quy chế</w:t>
      </w:r>
      <w:r w:rsidR="003031BA">
        <w:rPr>
          <w:rFonts w:ascii="Times New Roman" w:hAnsi="Times New Roman"/>
          <w:lang w:val="nl-NL"/>
        </w:rPr>
        <w:t xml:space="preserve"> trên</w:t>
      </w:r>
      <w:r w:rsidRPr="00CF1ECC">
        <w:rPr>
          <w:rFonts w:ascii="Times New Roman" w:hAnsi="Times New Roman"/>
          <w:lang w:val="nl-NL"/>
        </w:rPr>
        <w:t xml:space="preserve">. </w:t>
      </w:r>
      <w:r w:rsidRPr="00CF1ECC">
        <w:rPr>
          <w:rFonts w:ascii="Times New Roman" w:hAnsi="Times New Roman"/>
          <w:lang w:val="nl-NL"/>
        </w:rPr>
        <w:lastRenderedPageBreak/>
        <w:t>Việc sửa đổi Quy chế trên không làm phát sinh thủ tục hành chính, đảm bảo đơn giản, minh bạch dễ hiểu, góp phần</w:t>
      </w:r>
      <w:r w:rsidR="00FE3F41" w:rsidRPr="00CF1ECC">
        <w:rPr>
          <w:rFonts w:ascii="Times New Roman" w:hAnsi="Times New Roman"/>
          <w:lang w:val="nl-NL"/>
        </w:rPr>
        <w:t xml:space="preserve"> triển khai thực hiện hiệu quả, </w:t>
      </w:r>
      <w:r w:rsidRPr="00CF1ECC">
        <w:rPr>
          <w:rFonts w:ascii="Times New Roman" w:hAnsi="Times New Roman"/>
          <w:lang w:val="nl-NL"/>
        </w:rPr>
        <w:t>đồng bộ</w:t>
      </w:r>
      <w:r w:rsidR="00FE3F41" w:rsidRPr="00CF1ECC">
        <w:rPr>
          <w:rFonts w:ascii="Times New Roman" w:hAnsi="Times New Roman"/>
          <w:lang w:val="nl-NL"/>
        </w:rPr>
        <w:t xml:space="preserve"> và gắn với thực tiễn.</w:t>
      </w:r>
    </w:p>
    <w:p w:rsidR="00DA2A7F" w:rsidRPr="00CF1ECC" w:rsidRDefault="00FE3F41" w:rsidP="00DA2A7F">
      <w:pPr>
        <w:tabs>
          <w:tab w:val="left" w:pos="0"/>
        </w:tabs>
        <w:spacing w:before="120" w:after="120"/>
        <w:jc w:val="both"/>
        <w:rPr>
          <w:rFonts w:ascii="Times New Roman" w:hAnsi="Times New Roman"/>
          <w:b/>
          <w:lang w:val="nl-NL"/>
        </w:rPr>
      </w:pPr>
      <w:r w:rsidRPr="00CF1ECC">
        <w:rPr>
          <w:rFonts w:ascii="Times New Roman" w:hAnsi="Times New Roman"/>
          <w:b/>
          <w:lang w:val="nl-NL"/>
        </w:rPr>
        <w:tab/>
        <w:t>III. QUÁ TRÌNH XÂY DỰNG DỰ THẢO QUYẾT ĐỊNHSỬA ĐỔI</w:t>
      </w:r>
    </w:p>
    <w:p w:rsidR="00484E83" w:rsidRPr="00CF1ECC" w:rsidRDefault="007C3BBF" w:rsidP="00A700A9">
      <w:pPr>
        <w:widowControl w:val="0"/>
        <w:spacing w:before="120" w:after="120"/>
        <w:ind w:firstLine="720"/>
        <w:jc w:val="both"/>
        <w:rPr>
          <w:rFonts w:ascii="Times New Roman" w:hAnsi="Times New Roman"/>
          <w:szCs w:val="28"/>
          <w:lang w:val="nl-NL"/>
        </w:rPr>
      </w:pPr>
      <w:r w:rsidRPr="00CF1ECC">
        <w:rPr>
          <w:rFonts w:ascii="Times New Roman" w:hAnsi="Times New Roman"/>
          <w:szCs w:val="28"/>
        </w:rPr>
        <w:t>N</w:t>
      </w:r>
      <w:r w:rsidR="00A700A9" w:rsidRPr="00CF1ECC">
        <w:rPr>
          <w:rFonts w:ascii="Times New Roman" w:hAnsi="Times New Roman"/>
          <w:szCs w:val="28"/>
        </w:rPr>
        <w:t xml:space="preserve">gày 23 tháng 01 năm 2018, Bộ Công Thương đã có Tờ trình số 658/TTr-BCT báo cáo và </w:t>
      </w:r>
      <w:r w:rsidR="00A700A9" w:rsidRPr="00CF1ECC">
        <w:rPr>
          <w:rFonts w:ascii="Times New Roman" w:hAnsi="Times New Roman"/>
          <w:lang w:val="nl-NL"/>
        </w:rPr>
        <w:t xml:space="preserve">đề xuất </w:t>
      </w:r>
      <w:r w:rsidR="00A700A9" w:rsidRPr="00CF1ECC">
        <w:rPr>
          <w:rFonts w:ascii="Times New Roman" w:hAnsi="Times New Roman"/>
          <w:szCs w:val="28"/>
        </w:rPr>
        <w:t xml:space="preserve">Thủ tướng Chính phủ về việc </w:t>
      </w:r>
      <w:r w:rsidR="00A700A9" w:rsidRPr="00CF1ECC">
        <w:rPr>
          <w:rFonts w:ascii="Times New Roman" w:hAnsi="Times New Roman"/>
          <w:lang w:val="nl-NL"/>
        </w:rPr>
        <w:t>chỉnh sửa khoản 2 Điều 6 của Quy chế hoạt động ứng phó sự cố hóa chất độc ban h</w:t>
      </w:r>
      <w:r w:rsidR="00A8620F">
        <w:rPr>
          <w:rFonts w:ascii="Times New Roman" w:hAnsi="Times New Roman"/>
          <w:lang w:val="nl-NL"/>
        </w:rPr>
        <w:t>ành kèm theo Quyết định số 26</w:t>
      </w:r>
      <w:r w:rsidR="00A700A9" w:rsidRPr="00CF1ECC">
        <w:rPr>
          <w:rFonts w:ascii="Times New Roman" w:hAnsi="Times New Roman"/>
          <w:lang w:val="nl-NL"/>
        </w:rPr>
        <w:t xml:space="preserve">/2016/QĐ-TTg của Thủ tướng Chính phủ. Ngày 31 tháng 01 năm 2018 Văn phòng Chính phủ có Công văn số 1125/VPCP-NC gửi Bộ Công Thương đề nghị Bộ Công Thương thực hiện một số nội dung liên quan và báo cáo Thủ tướng Chính phủ. Thực hiện văn bản trên, Bộ Công Thương đã ban hành Công văn số 1270/BCT-HC ngày 09 tháng 02 năm 2018 lấy ý kiến các Bộ, ngành liên quan và Ủy ban nhân dân các tỉnh, thành phố trực thuộc Trung ương về việc chỉnh sửa khoản 2 Điều 6 của Quy chế hoạt động ứng phó sự cố hóa chất độc </w:t>
      </w:r>
      <w:r w:rsidR="00A700A9" w:rsidRPr="00CF1ECC">
        <w:rPr>
          <w:rFonts w:ascii="Times New Roman" w:hAnsi="Times New Roman"/>
          <w:szCs w:val="28"/>
          <w:lang w:val="nl-NL"/>
        </w:rPr>
        <w:t>và đã nhận được 47/68 ý kiến góp ý của các địa phương và cơ quan liên quan</w:t>
      </w:r>
      <w:r w:rsidR="00484E83" w:rsidRPr="00CF1ECC">
        <w:rPr>
          <w:rFonts w:ascii="Times New Roman" w:hAnsi="Times New Roman"/>
          <w:szCs w:val="28"/>
          <w:lang w:val="nl-NL"/>
        </w:rPr>
        <w:t>.</w:t>
      </w:r>
    </w:p>
    <w:p w:rsidR="00A700A9" w:rsidRPr="00CF1ECC" w:rsidRDefault="00484E83" w:rsidP="00A700A9">
      <w:pPr>
        <w:widowControl w:val="0"/>
        <w:spacing w:before="120" w:after="120"/>
        <w:ind w:firstLine="720"/>
        <w:jc w:val="both"/>
        <w:rPr>
          <w:rFonts w:ascii="Times New Roman" w:hAnsi="Times New Roman"/>
          <w:szCs w:val="28"/>
          <w:lang w:val="nl-NL"/>
        </w:rPr>
      </w:pPr>
      <w:r w:rsidRPr="00CF1ECC">
        <w:rPr>
          <w:rFonts w:ascii="Times New Roman" w:hAnsi="Times New Roman"/>
          <w:szCs w:val="28"/>
          <w:lang w:val="nl-NL"/>
        </w:rPr>
        <w:t>N</w:t>
      </w:r>
      <w:r w:rsidR="00A700A9" w:rsidRPr="00CF1ECC">
        <w:rPr>
          <w:rFonts w:ascii="Times New Roman" w:hAnsi="Times New Roman"/>
          <w:szCs w:val="28"/>
          <w:lang w:val="nl-NL"/>
        </w:rPr>
        <w:t xml:space="preserve">gày </w:t>
      </w:r>
      <w:r w:rsidR="00C0194D">
        <w:rPr>
          <w:rFonts w:ascii="Times New Roman" w:hAnsi="Times New Roman"/>
          <w:szCs w:val="28"/>
          <w:lang w:val="nl-NL"/>
        </w:rPr>
        <w:t>0</w:t>
      </w:r>
      <w:r w:rsidR="00A700A9" w:rsidRPr="00CF1ECC">
        <w:rPr>
          <w:rFonts w:ascii="Times New Roman" w:hAnsi="Times New Roman"/>
          <w:szCs w:val="28"/>
          <w:lang w:val="nl-NL"/>
        </w:rPr>
        <w:t>5 t</w:t>
      </w:r>
      <w:r w:rsidRPr="00CF1ECC">
        <w:rPr>
          <w:rFonts w:ascii="Times New Roman" w:hAnsi="Times New Roman"/>
          <w:szCs w:val="28"/>
          <w:lang w:val="nl-NL"/>
        </w:rPr>
        <w:t xml:space="preserve">háng 6 năm 2018 của Bộ Tư pháp tổ chức </w:t>
      </w:r>
      <w:r w:rsidR="00A700A9" w:rsidRPr="00CF1ECC">
        <w:rPr>
          <w:rFonts w:ascii="Times New Roman" w:hAnsi="Times New Roman"/>
          <w:szCs w:val="28"/>
          <w:lang w:val="nl-NL"/>
        </w:rPr>
        <w:t xml:space="preserve">cuộc họp </w:t>
      </w:r>
      <w:r w:rsidRPr="00CF1ECC">
        <w:rPr>
          <w:rFonts w:ascii="Times New Roman" w:hAnsi="Times New Roman"/>
          <w:szCs w:val="28"/>
          <w:lang w:val="nl-NL"/>
        </w:rPr>
        <w:t xml:space="preserve">tư vấn thẩm định hồ sơ đề nghị chỉnh sửa </w:t>
      </w:r>
      <w:r w:rsidRPr="00CF1ECC">
        <w:rPr>
          <w:rFonts w:ascii="Times New Roman" w:hAnsi="Times New Roman"/>
          <w:lang w:val="nl-NL"/>
        </w:rPr>
        <w:t>khoản 2 Điều 6 của Quy chế hoạt động ứng phó sự cố hóa chất độc ban hành kèm theo Quyết định số 26/2016/QĐ-TTg của Thủ tướng Chính phủ, trong đó cơ quan chủ trì cuộc họp</w:t>
      </w:r>
      <w:r w:rsidR="00A700A9" w:rsidRPr="00CF1ECC">
        <w:rPr>
          <w:rFonts w:ascii="Times New Roman" w:hAnsi="Times New Roman"/>
          <w:szCs w:val="28"/>
          <w:lang w:val="nl-NL"/>
        </w:rPr>
        <w:t xml:space="preserve">đã đề nghị đơn vị soạn thảo của Bộ Công Thương hoàn thiện dự thảo Quyết định sửa đổi, </w:t>
      </w:r>
      <w:r w:rsidR="00A700A9" w:rsidRPr="00CF1ECC">
        <w:rPr>
          <w:rFonts w:ascii="Times New Roman" w:hAnsi="Times New Roman"/>
          <w:lang w:val="nl-NL"/>
        </w:rPr>
        <w:t>bổ sung Quyết định số 26/2016/QĐ-TTg của Thủ tướng Chính phủ ban hành Quy chế hoạt động ứng phó sự cố hóa chất độc</w:t>
      </w:r>
      <w:r w:rsidR="00A700A9" w:rsidRPr="00CF1ECC">
        <w:rPr>
          <w:rFonts w:ascii="Times New Roman" w:hAnsi="Times New Roman"/>
          <w:szCs w:val="28"/>
          <w:lang w:val="nl-NL"/>
        </w:rPr>
        <w:t xml:space="preserve"> xin ý kiến các Bộ, các cơ quan liên quan </w:t>
      </w:r>
      <w:r w:rsidR="00A700A9" w:rsidRPr="00CF1ECC">
        <w:rPr>
          <w:rFonts w:ascii="Times New Roman" w:hAnsi="Times New Roman"/>
          <w:lang w:val="nl-NL"/>
        </w:rPr>
        <w:t xml:space="preserve">và hoàn thiện hồ sơ theo quy định gửi </w:t>
      </w:r>
      <w:r w:rsidR="00A700A9" w:rsidRPr="00CF1ECC">
        <w:rPr>
          <w:rFonts w:ascii="Times New Roman" w:hAnsi="Times New Roman"/>
          <w:szCs w:val="28"/>
          <w:lang w:val="nl-NL"/>
        </w:rPr>
        <w:t>Bộ Tư pháp thẩm định để có cơ sở trình Thủ tướng Chính phủ xem xét ban hành.</w:t>
      </w:r>
    </w:p>
    <w:p w:rsidR="007C3BBF" w:rsidRPr="00CF1ECC" w:rsidRDefault="007C3BBF" w:rsidP="00A700A9">
      <w:pPr>
        <w:widowControl w:val="0"/>
        <w:spacing w:before="120" w:after="120"/>
        <w:ind w:firstLine="720"/>
        <w:jc w:val="both"/>
        <w:rPr>
          <w:rFonts w:ascii="Times New Roman" w:hAnsi="Times New Roman"/>
          <w:szCs w:val="28"/>
        </w:rPr>
      </w:pPr>
      <w:r w:rsidRPr="00CF1ECC">
        <w:rPr>
          <w:rFonts w:ascii="Times New Roman" w:hAnsi="Times New Roman"/>
          <w:szCs w:val="28"/>
          <w:lang w:val="nl-NL"/>
        </w:rPr>
        <w:t xml:space="preserve">Ngày 30 tháng 11 </w:t>
      </w:r>
      <w:r w:rsidR="008F0FA8">
        <w:rPr>
          <w:rFonts w:ascii="Times New Roman" w:hAnsi="Times New Roman"/>
          <w:szCs w:val="28"/>
          <w:lang w:val="nl-NL"/>
        </w:rPr>
        <w:t xml:space="preserve">năm 2018, </w:t>
      </w:r>
      <w:r w:rsidRPr="00CF1ECC">
        <w:rPr>
          <w:rFonts w:ascii="Times New Roman" w:hAnsi="Times New Roman"/>
          <w:szCs w:val="28"/>
          <w:lang w:val="nl-NL"/>
        </w:rPr>
        <w:t>Bộ Công Thương đã ban hành Công văn số 1021a/BCT-KH</w:t>
      </w:r>
      <w:r w:rsidR="00484E83" w:rsidRPr="00CF1ECC">
        <w:rPr>
          <w:rFonts w:ascii="Times New Roman" w:hAnsi="Times New Roman"/>
          <w:szCs w:val="28"/>
          <w:lang w:val="nl-NL"/>
        </w:rPr>
        <w:t xml:space="preserve"> đăng ký nhiệm vụ sửa đổi, </w:t>
      </w:r>
      <w:r w:rsidR="00484E83" w:rsidRPr="00CF1ECC">
        <w:rPr>
          <w:rFonts w:ascii="Times New Roman" w:hAnsi="Times New Roman"/>
          <w:lang w:val="nl-NL"/>
        </w:rPr>
        <w:t>bổ sung Quyết định số 26/2016/QĐ-TTg của Thủ tướng Chính phủ ban hành Quy chế hoạt động ứng phó sự cố hóa chất độc</w:t>
      </w:r>
      <w:r w:rsidR="00484E83" w:rsidRPr="00CF1ECC">
        <w:rPr>
          <w:rFonts w:ascii="Times New Roman" w:hAnsi="Times New Roman"/>
          <w:szCs w:val="28"/>
          <w:lang w:val="nl-NL"/>
        </w:rPr>
        <w:t xml:space="preserve"> vào Chương trình công tác của Chính phủ và Thủ tướng Chính phủ năm 2019 và đã được Thủ tướng Chính phủ đồng ý </w:t>
      </w:r>
      <w:r w:rsidR="00484E83" w:rsidRPr="00CF1ECC">
        <w:rPr>
          <w:rFonts w:ascii="Times New Roman" w:hAnsi="Times New Roman"/>
          <w:szCs w:val="28"/>
        </w:rPr>
        <w:t xml:space="preserve">tại Công văn số 430/VPCP-TH ngày 20 tháng 02 năm 2019 của </w:t>
      </w:r>
      <w:r w:rsidR="006213F5">
        <w:rPr>
          <w:rFonts w:ascii="Times New Roman" w:hAnsi="Times New Roman"/>
          <w:szCs w:val="28"/>
        </w:rPr>
        <w:t>V</w:t>
      </w:r>
      <w:r w:rsidR="00484E83" w:rsidRPr="00CF1ECC">
        <w:rPr>
          <w:rFonts w:ascii="Times New Roman" w:hAnsi="Times New Roman"/>
          <w:szCs w:val="28"/>
        </w:rPr>
        <w:t>ăn phòng Chính phủ.</w:t>
      </w:r>
    </w:p>
    <w:p w:rsidR="00484E83" w:rsidRPr="00CF1ECC" w:rsidRDefault="00484E83" w:rsidP="00A700A9">
      <w:pPr>
        <w:widowControl w:val="0"/>
        <w:spacing w:before="120" w:after="120"/>
        <w:ind w:firstLine="720"/>
        <w:jc w:val="both"/>
        <w:rPr>
          <w:rFonts w:ascii="Times New Roman" w:hAnsi="Times New Roman"/>
          <w:lang w:val="nl-NL"/>
        </w:rPr>
      </w:pPr>
      <w:r w:rsidRPr="00CF1ECC">
        <w:rPr>
          <w:rFonts w:ascii="Times New Roman" w:hAnsi="Times New Roman"/>
          <w:szCs w:val="28"/>
        </w:rPr>
        <w:t xml:space="preserve">Bộ Công Thương đã hoàn thành dự thảo </w:t>
      </w:r>
      <w:r w:rsidRPr="00CF1ECC">
        <w:rPr>
          <w:rFonts w:ascii="Times New Roman" w:hAnsi="Times New Roman"/>
          <w:szCs w:val="28"/>
          <w:lang w:val="nl-NL"/>
        </w:rPr>
        <w:t xml:space="preserve">Quyết định sửa đổi, </w:t>
      </w:r>
      <w:r w:rsidRPr="00CF1ECC">
        <w:rPr>
          <w:rFonts w:ascii="Times New Roman" w:hAnsi="Times New Roman"/>
          <w:lang w:val="nl-NL"/>
        </w:rPr>
        <w:t xml:space="preserve">bổ sung Quyết định số 26/2016/QĐ-TTg của Thủ tướng Chính phủ ban hành Quy chế hoạt động ứng phó sự cố hóa chất độc xin ý kiến tham gia của các Bộ, cơ quan ngang bộ, cơ quan thuộc Chính phủ và đăng ký trên Cổng thông tin điện tử Chính phủ, Cổng thông tin điện tử Bộ Công Thương. Trên cơ sở nghiên cứu, tổng hợp các ý kiến đóng góp, </w:t>
      </w:r>
      <w:r w:rsidR="00D76FE9" w:rsidRPr="00CF1ECC">
        <w:rPr>
          <w:rFonts w:ascii="Times New Roman" w:hAnsi="Times New Roman"/>
          <w:lang w:val="nl-NL"/>
        </w:rPr>
        <w:t>Bộ Công Thương đã nghiêm túc tiếp thu, giải trình, chỉnh lý và hoàn thiện dự thảo Quyết định.</w:t>
      </w:r>
    </w:p>
    <w:p w:rsidR="00D76FE9" w:rsidRPr="00CF1ECC" w:rsidRDefault="00D76FE9" w:rsidP="00A700A9">
      <w:pPr>
        <w:widowControl w:val="0"/>
        <w:spacing w:before="120" w:after="120"/>
        <w:ind w:firstLine="720"/>
        <w:jc w:val="both"/>
        <w:rPr>
          <w:rFonts w:ascii="Times New Roman" w:hAnsi="Times New Roman"/>
          <w:lang w:val="nl-NL"/>
        </w:rPr>
      </w:pPr>
      <w:r w:rsidRPr="00CF1ECC">
        <w:rPr>
          <w:rFonts w:ascii="Times New Roman" w:hAnsi="Times New Roman"/>
          <w:lang w:val="nl-NL"/>
        </w:rPr>
        <w:t xml:space="preserve">Ngày....tháng....năm 2019, dự thảo </w:t>
      </w:r>
      <w:r w:rsidRPr="00CF1ECC">
        <w:rPr>
          <w:rFonts w:ascii="Times New Roman" w:hAnsi="Times New Roman"/>
          <w:szCs w:val="28"/>
          <w:lang w:val="nl-NL"/>
        </w:rPr>
        <w:t xml:space="preserve">Quyết định sửa đổi, </w:t>
      </w:r>
      <w:r w:rsidRPr="00CF1ECC">
        <w:rPr>
          <w:rFonts w:ascii="Times New Roman" w:hAnsi="Times New Roman"/>
          <w:lang w:val="nl-NL"/>
        </w:rPr>
        <w:t>bổ sung Quyết định số 26/2016/QĐ-TTg của Thủ tướng Chính phủ ban hành Quy chế hoạt động ứng phó sự cố hóa chất độc đã được Hội đồng thẩm định của Bộ Tư pháp xem xét, đánh giá theo đúng quy định của Luật ban hành văn bản quy phạm pháp luật.</w:t>
      </w:r>
    </w:p>
    <w:p w:rsidR="00D76FE9" w:rsidRPr="00CF1ECC" w:rsidRDefault="00D76FE9" w:rsidP="00A700A9">
      <w:pPr>
        <w:widowControl w:val="0"/>
        <w:spacing w:before="120" w:after="120"/>
        <w:ind w:firstLine="720"/>
        <w:jc w:val="both"/>
        <w:rPr>
          <w:rFonts w:ascii="Times New Roman" w:hAnsi="Times New Roman"/>
          <w:szCs w:val="28"/>
          <w:lang w:val="nl-NL"/>
        </w:rPr>
      </w:pPr>
      <w:r w:rsidRPr="00CF1ECC">
        <w:rPr>
          <w:rFonts w:ascii="Times New Roman" w:hAnsi="Times New Roman"/>
          <w:lang w:val="nl-NL"/>
        </w:rPr>
        <w:t xml:space="preserve">Trên cơ sở tiếp thu, giải trình ý kiến của các Bộ, ngành và các cơ quan, đơn </w:t>
      </w:r>
      <w:r w:rsidRPr="00CF1ECC">
        <w:rPr>
          <w:rFonts w:ascii="Times New Roman" w:hAnsi="Times New Roman"/>
          <w:lang w:val="nl-NL"/>
        </w:rPr>
        <w:lastRenderedPageBreak/>
        <w:t xml:space="preserve">vị có liên quan; ý kiến của Hội đồng thẩm định Bộ Tư pháp, Bộ Công Thương đã hoàn thiện dự thảo </w:t>
      </w:r>
      <w:r w:rsidRPr="00CF1ECC">
        <w:rPr>
          <w:rFonts w:ascii="Times New Roman" w:hAnsi="Times New Roman"/>
          <w:szCs w:val="28"/>
          <w:lang w:val="nl-NL"/>
        </w:rPr>
        <w:t xml:space="preserve">Quyết định sửa đổi, </w:t>
      </w:r>
      <w:r w:rsidRPr="00CF1ECC">
        <w:rPr>
          <w:rFonts w:ascii="Times New Roman" w:hAnsi="Times New Roman"/>
          <w:lang w:val="nl-NL"/>
        </w:rPr>
        <w:t>bổ sung Quyết định số 26/2016/QĐ-TTg của Thủ tướng Chính phủ ban hành Quy chế hoạt động ứng phó sự cố hóa chất độc.</w:t>
      </w:r>
    </w:p>
    <w:p w:rsidR="00B60B5C" w:rsidRPr="00CF1ECC" w:rsidRDefault="00D76FE9" w:rsidP="00F715B0">
      <w:pPr>
        <w:tabs>
          <w:tab w:val="left" w:pos="0"/>
          <w:tab w:val="left" w:pos="900"/>
          <w:tab w:val="left" w:pos="1080"/>
        </w:tabs>
        <w:spacing w:after="120"/>
        <w:ind w:left="720"/>
        <w:jc w:val="both"/>
        <w:rPr>
          <w:rFonts w:ascii="Times New Roman" w:hAnsi="Times New Roman"/>
          <w:b/>
          <w:szCs w:val="28"/>
        </w:rPr>
      </w:pPr>
      <w:r w:rsidRPr="00CF1ECC">
        <w:rPr>
          <w:rFonts w:ascii="Times New Roman" w:hAnsi="Times New Roman"/>
          <w:b/>
          <w:szCs w:val="28"/>
        </w:rPr>
        <w:t>IV</w:t>
      </w:r>
      <w:r w:rsidR="00F715B0" w:rsidRPr="00CF1ECC">
        <w:rPr>
          <w:rFonts w:ascii="Times New Roman" w:hAnsi="Times New Roman"/>
          <w:b/>
          <w:szCs w:val="28"/>
        </w:rPr>
        <w:t>.</w:t>
      </w:r>
      <w:r w:rsidR="0012082E">
        <w:rPr>
          <w:rFonts w:ascii="Times New Roman" w:hAnsi="Times New Roman"/>
          <w:b/>
          <w:szCs w:val="28"/>
        </w:rPr>
        <w:t xml:space="preserve"> </w:t>
      </w:r>
      <w:r w:rsidR="00922982">
        <w:rPr>
          <w:rFonts w:ascii="Times New Roman" w:hAnsi="Times New Roman"/>
          <w:b/>
          <w:szCs w:val="28"/>
        </w:rPr>
        <w:t>TỔNG HỢP Ý KIẾN CỦA CÁC BỘ, NGÀNH VÀ ĐỊA PHƯƠNG</w:t>
      </w:r>
    </w:p>
    <w:p w:rsidR="008F0FA8" w:rsidRDefault="00D76FE9" w:rsidP="004F7DCA">
      <w:pPr>
        <w:spacing w:after="120"/>
        <w:ind w:firstLine="720"/>
        <w:jc w:val="both"/>
        <w:rPr>
          <w:rFonts w:ascii="Times New Roman" w:hAnsi="Times New Roman"/>
          <w:szCs w:val="28"/>
        </w:rPr>
      </w:pPr>
      <w:r w:rsidRPr="00CF1ECC">
        <w:rPr>
          <w:rFonts w:ascii="Times New Roman" w:hAnsi="Times New Roman"/>
          <w:szCs w:val="28"/>
        </w:rPr>
        <w:t xml:space="preserve">Trên cơ sở </w:t>
      </w:r>
      <w:r w:rsidR="000B6D7E" w:rsidRPr="00CF1ECC">
        <w:rPr>
          <w:rFonts w:ascii="Times New Roman" w:hAnsi="Times New Roman"/>
          <w:szCs w:val="28"/>
        </w:rPr>
        <w:t>nhận được 4</w:t>
      </w:r>
      <w:r w:rsidR="00BC344B" w:rsidRPr="00CF1ECC">
        <w:rPr>
          <w:rFonts w:ascii="Times New Roman" w:hAnsi="Times New Roman"/>
          <w:szCs w:val="28"/>
        </w:rPr>
        <w:t>7</w:t>
      </w:r>
      <w:r w:rsidR="00B27557" w:rsidRPr="00CF1ECC">
        <w:rPr>
          <w:rFonts w:ascii="Times New Roman" w:hAnsi="Times New Roman"/>
          <w:szCs w:val="28"/>
        </w:rPr>
        <w:t>/68</w:t>
      </w:r>
      <w:r w:rsidR="00177A6A" w:rsidRPr="00CF1ECC">
        <w:rPr>
          <w:rFonts w:ascii="Times New Roman" w:hAnsi="Times New Roman"/>
          <w:szCs w:val="28"/>
        </w:rPr>
        <w:t xml:space="preserve"> ý kiến góp ý </w:t>
      </w:r>
      <w:r w:rsidR="00B27557" w:rsidRPr="00CF1ECC">
        <w:rPr>
          <w:rFonts w:ascii="Times New Roman" w:hAnsi="Times New Roman"/>
          <w:lang w:val="nl-NL"/>
        </w:rPr>
        <w:t>các Bộ, ngành liên quan và Ủy ban nhân dân các tỉnh, thành phố trực thuộc Trung ương</w:t>
      </w:r>
      <w:r w:rsidR="00177A6A" w:rsidRPr="00CF1ECC">
        <w:rPr>
          <w:rFonts w:ascii="Times New Roman" w:hAnsi="Times New Roman"/>
          <w:szCs w:val="28"/>
        </w:rPr>
        <w:t>. Trong đó có 4</w:t>
      </w:r>
      <w:r w:rsidR="005733A6" w:rsidRPr="00CF1ECC">
        <w:rPr>
          <w:rFonts w:ascii="Times New Roman" w:hAnsi="Times New Roman"/>
          <w:szCs w:val="28"/>
        </w:rPr>
        <w:t>3</w:t>
      </w:r>
      <w:r w:rsidR="00177A6A" w:rsidRPr="00CF1ECC">
        <w:rPr>
          <w:rFonts w:ascii="Times New Roman" w:hAnsi="Times New Roman"/>
          <w:szCs w:val="28"/>
        </w:rPr>
        <w:t xml:space="preserve"> ý kiến nhất trí với Đề xuất</w:t>
      </w:r>
      <w:r w:rsidR="006E4811" w:rsidRPr="00CF1ECC">
        <w:rPr>
          <w:rFonts w:ascii="Times New Roman" w:hAnsi="Times New Roman"/>
          <w:lang w:val="nl-NL"/>
        </w:rPr>
        <w:t xml:space="preserve"> sửa đổi khoản 2 Điều 6 của Quy chế hoạt động ứng phó sự cố hóa chất độc ban hành kèm theo Quyết định số 26/2016/QĐ-TTg của Thủ tướng Chính phủ</w:t>
      </w:r>
      <w:r w:rsidR="008F0FA8">
        <w:rPr>
          <w:rFonts w:ascii="Times New Roman" w:hAnsi="Times New Roman"/>
          <w:szCs w:val="28"/>
        </w:rPr>
        <w:t xml:space="preserve"> và các ý kiến khác gồm:</w:t>
      </w:r>
    </w:p>
    <w:p w:rsidR="008F0FA8" w:rsidRDefault="008F0FA8" w:rsidP="004F7DCA">
      <w:pPr>
        <w:spacing w:after="120"/>
        <w:ind w:firstLine="720"/>
        <w:jc w:val="both"/>
        <w:rPr>
          <w:rFonts w:ascii="Times New Roman" w:hAnsi="Times New Roman"/>
          <w:szCs w:val="28"/>
        </w:rPr>
      </w:pPr>
      <w:r>
        <w:rPr>
          <w:rFonts w:ascii="Times New Roman" w:hAnsi="Times New Roman"/>
          <w:szCs w:val="28"/>
        </w:rPr>
        <w:t>……………………………</w:t>
      </w:r>
    </w:p>
    <w:p w:rsidR="008F0FA8" w:rsidRDefault="008F0FA8" w:rsidP="004F7DCA">
      <w:pPr>
        <w:spacing w:after="120"/>
        <w:ind w:firstLine="720"/>
        <w:jc w:val="both"/>
        <w:rPr>
          <w:rFonts w:ascii="Times New Roman" w:hAnsi="Times New Roman"/>
          <w:szCs w:val="28"/>
        </w:rPr>
      </w:pPr>
      <w:r>
        <w:rPr>
          <w:rFonts w:ascii="Times New Roman" w:hAnsi="Times New Roman"/>
          <w:szCs w:val="28"/>
        </w:rPr>
        <w:t>……………………………</w:t>
      </w:r>
    </w:p>
    <w:p w:rsidR="008F0FA8" w:rsidRDefault="008F0FA8" w:rsidP="004F7DCA">
      <w:pPr>
        <w:spacing w:after="120"/>
        <w:ind w:firstLine="720"/>
        <w:jc w:val="both"/>
        <w:rPr>
          <w:rFonts w:ascii="Times New Roman" w:hAnsi="Times New Roman"/>
          <w:szCs w:val="28"/>
        </w:rPr>
      </w:pPr>
      <w:r>
        <w:rPr>
          <w:rFonts w:ascii="Times New Roman" w:hAnsi="Times New Roman"/>
          <w:szCs w:val="28"/>
        </w:rPr>
        <w:t>……………………………</w:t>
      </w:r>
    </w:p>
    <w:p w:rsidR="008F0FA8" w:rsidRDefault="008F0FA8" w:rsidP="008F0FA8">
      <w:pPr>
        <w:spacing w:after="120"/>
        <w:ind w:firstLine="720"/>
        <w:jc w:val="both"/>
        <w:rPr>
          <w:rFonts w:ascii="Times New Roman" w:hAnsi="Times New Roman"/>
          <w:szCs w:val="28"/>
        </w:rPr>
      </w:pPr>
      <w:r>
        <w:rPr>
          <w:rFonts w:ascii="Times New Roman" w:hAnsi="Times New Roman"/>
          <w:szCs w:val="28"/>
        </w:rPr>
        <w:t>Tổng hợp các ý kiến của các Bộ, ngành, cơ quan quan như Phụ lục gửi kèm theo.</w:t>
      </w:r>
    </w:p>
    <w:p w:rsidR="0071184E" w:rsidRPr="0071184E" w:rsidRDefault="0071184E" w:rsidP="004F7DCA">
      <w:pPr>
        <w:spacing w:after="120"/>
        <w:ind w:firstLine="720"/>
        <w:jc w:val="both"/>
        <w:rPr>
          <w:rFonts w:ascii="Times New Roman" w:hAnsi="Times New Roman"/>
          <w:b/>
          <w:szCs w:val="28"/>
        </w:rPr>
      </w:pPr>
      <w:r w:rsidRPr="0071184E">
        <w:rPr>
          <w:rFonts w:ascii="Times New Roman" w:hAnsi="Times New Roman"/>
          <w:b/>
          <w:lang w:val="nl-NL"/>
        </w:rPr>
        <w:t>V. Ý KIẾN CỦA BỘ CÔNG THƯƠNG</w:t>
      </w:r>
    </w:p>
    <w:p w:rsidR="00D76FE9" w:rsidRPr="00C0194D" w:rsidRDefault="00F1359F" w:rsidP="00C0194D">
      <w:pPr>
        <w:jc w:val="both"/>
        <w:rPr>
          <w:rFonts w:ascii="Times New Roman" w:hAnsi="Times New Roman"/>
          <w:szCs w:val="28"/>
        </w:rPr>
      </w:pPr>
      <w:r w:rsidRPr="00CF1ECC">
        <w:rPr>
          <w:rFonts w:ascii="Times New Roman" w:hAnsi="Times New Roman"/>
          <w:szCs w:val="28"/>
        </w:rPr>
        <w:tab/>
      </w:r>
      <w:r w:rsidR="0071184E">
        <w:rPr>
          <w:rFonts w:ascii="Times New Roman" w:hAnsi="Times New Roman"/>
          <w:szCs w:val="28"/>
        </w:rPr>
        <w:t>Trên cơ sở ý kiến của các Bộ, ngành, cơ quan liên quan</w:t>
      </w:r>
      <w:r w:rsidR="00DA2D5F" w:rsidRPr="00C0194D">
        <w:rPr>
          <w:rFonts w:ascii="Times New Roman" w:hAnsi="Times New Roman"/>
          <w:szCs w:val="28"/>
        </w:rPr>
        <w:t xml:space="preserve">, </w:t>
      </w:r>
      <w:r w:rsidR="0071184E">
        <w:rPr>
          <w:rFonts w:ascii="Times New Roman" w:hAnsi="Times New Roman"/>
          <w:szCs w:val="28"/>
        </w:rPr>
        <w:t xml:space="preserve">ý kiến thẩm định của Bộ Tư pháp, </w:t>
      </w:r>
      <w:r w:rsidR="00C87958" w:rsidRPr="00C0194D">
        <w:rPr>
          <w:rFonts w:ascii="Times New Roman" w:hAnsi="Times New Roman"/>
          <w:szCs w:val="28"/>
        </w:rPr>
        <w:t xml:space="preserve">Bộ Công Thương </w:t>
      </w:r>
      <w:r w:rsidR="0071184E">
        <w:rPr>
          <w:rFonts w:ascii="Times New Roman" w:hAnsi="Times New Roman"/>
          <w:szCs w:val="28"/>
        </w:rPr>
        <w:t>đã hoàn thiện</w:t>
      </w:r>
      <w:r w:rsidR="00C0194D" w:rsidRPr="00C0194D">
        <w:rPr>
          <w:rFonts w:ascii="Times New Roman" w:hAnsi="Times New Roman"/>
          <w:lang w:val="nl-NL"/>
        </w:rPr>
        <w:t xml:space="preserve"> dự thảo Quyết định sửa đổi, bổ sung một số điều của Quy chế hoạt động ứng phó sự cố hóa chất độc ban hành kèm theo Quyết định số 26/2016/QĐ-TTg của Thủ tướng Chính phủ, </w:t>
      </w:r>
      <w:r w:rsidR="00177A6A" w:rsidRPr="00C0194D">
        <w:rPr>
          <w:rFonts w:ascii="Times New Roman" w:hAnsi="Times New Roman"/>
          <w:szCs w:val="28"/>
        </w:rPr>
        <w:t>kính trình Thủ tướng Chính phủ xem xét,</w:t>
      </w:r>
      <w:r w:rsidR="00D76FE9" w:rsidRPr="00C0194D">
        <w:rPr>
          <w:rFonts w:ascii="Times New Roman" w:hAnsi="Times New Roman"/>
          <w:szCs w:val="28"/>
        </w:rPr>
        <w:t xml:space="preserve"> quyết định</w:t>
      </w:r>
      <w:r w:rsidR="00177A6A" w:rsidRPr="00C0194D">
        <w:rPr>
          <w:rFonts w:ascii="Times New Roman" w:hAnsi="Times New Roman"/>
          <w:szCs w:val="28"/>
        </w:rPr>
        <w:t>./</w:t>
      </w:r>
      <w:r w:rsidR="00D76FE9" w:rsidRPr="00C0194D">
        <w:rPr>
          <w:rFonts w:ascii="Times New Roman" w:hAnsi="Times New Roman"/>
          <w:szCs w:val="28"/>
        </w:rPr>
        <w:t>.</w:t>
      </w:r>
    </w:p>
    <w:p w:rsidR="00177A6A" w:rsidRPr="00CF1ECC" w:rsidRDefault="00A8620F" w:rsidP="00F1359F">
      <w:pPr>
        <w:tabs>
          <w:tab w:val="left" w:pos="0"/>
        </w:tabs>
        <w:spacing w:after="120"/>
        <w:jc w:val="both"/>
        <w:rPr>
          <w:i/>
        </w:rPr>
      </w:pPr>
      <w:r>
        <w:rPr>
          <w:rFonts w:ascii="Times New Roman" w:hAnsi="Times New Roman"/>
          <w:i/>
          <w:szCs w:val="28"/>
        </w:rPr>
        <w:tab/>
      </w:r>
      <w:r w:rsidR="00D76FE9" w:rsidRPr="00CF1ECC">
        <w:rPr>
          <w:rFonts w:ascii="Times New Roman" w:hAnsi="Times New Roman"/>
          <w:i/>
          <w:szCs w:val="28"/>
        </w:rPr>
        <w:t xml:space="preserve">Xin gửi kèm theo các văn bản sau: (1) </w:t>
      </w:r>
      <w:r w:rsidR="00D76FE9" w:rsidRPr="00CF1ECC">
        <w:rPr>
          <w:rFonts w:ascii="Times New Roman" w:hAnsi="Times New Roman"/>
          <w:i/>
          <w:lang w:val="nl-NL"/>
        </w:rPr>
        <w:t xml:space="preserve">dự thảo </w:t>
      </w:r>
      <w:r w:rsidR="00D76FE9" w:rsidRPr="00CF1ECC">
        <w:rPr>
          <w:rFonts w:ascii="Times New Roman" w:hAnsi="Times New Roman"/>
          <w:i/>
          <w:szCs w:val="28"/>
          <w:lang w:val="nl-NL"/>
        </w:rPr>
        <w:t xml:space="preserve">Quyết định sửa đổi, </w:t>
      </w:r>
      <w:r w:rsidR="00D06F22">
        <w:rPr>
          <w:rFonts w:ascii="Times New Roman" w:hAnsi="Times New Roman"/>
          <w:i/>
          <w:lang w:val="nl-NL"/>
        </w:rPr>
        <w:t>bổ sung Quyết định số 26</w:t>
      </w:r>
      <w:r w:rsidR="00D76FE9" w:rsidRPr="00CF1ECC">
        <w:rPr>
          <w:rFonts w:ascii="Times New Roman" w:hAnsi="Times New Roman"/>
          <w:i/>
          <w:lang w:val="nl-NL"/>
        </w:rPr>
        <w:t>/2016/QĐ-TTg của Thủ tướng Chính phủ ban hành Quy chế hoạt động ứng phó sự cố hóa chất độc; (2) Báo cáo tiếp thu, giải trình ý kiến của Hội đồng thẩm định của Bộ Tư pháp; (3) Bản tổng hợp tiếp thu, giải trình ý kiến của các Bộ, ngành, cơ quan liên quan</w:t>
      </w:r>
      <w:r w:rsidR="00CF1ECC" w:rsidRPr="00CF1ECC">
        <w:rPr>
          <w:rFonts w:ascii="Times New Roman" w:hAnsi="Times New Roman"/>
          <w:i/>
          <w:lang w:val="nl-NL"/>
        </w:rPr>
        <w:t>; (4) Báo cáo đánh giá tác động đối với nội dung sửa đổi trong dự thảo Quyết định sửa đổi</w:t>
      </w:r>
      <w:r w:rsidR="00D76FE9" w:rsidRPr="00CF1ECC">
        <w:rPr>
          <w:rFonts w:ascii="Times New Roman" w:hAnsi="Times New Roman"/>
          <w:i/>
          <w:lang w:val="nl-NL"/>
        </w:rPr>
        <w:t>.</w:t>
      </w:r>
    </w:p>
    <w:tbl>
      <w:tblPr>
        <w:tblW w:w="0" w:type="auto"/>
        <w:jc w:val="center"/>
        <w:tblLook w:val="01E0"/>
      </w:tblPr>
      <w:tblGrid>
        <w:gridCol w:w="4294"/>
        <w:gridCol w:w="4862"/>
      </w:tblGrid>
      <w:tr w:rsidR="00177A6A" w:rsidRPr="00CF1ECC" w:rsidTr="004C6FEE">
        <w:trPr>
          <w:jc w:val="center"/>
        </w:trPr>
        <w:tc>
          <w:tcPr>
            <w:tcW w:w="4294" w:type="dxa"/>
          </w:tcPr>
          <w:p w:rsidR="00177A6A" w:rsidRPr="00CF1ECC" w:rsidRDefault="00177A6A" w:rsidP="004C6FEE">
            <w:pPr>
              <w:spacing w:before="20"/>
              <w:rPr>
                <w:rFonts w:ascii="Times New Roman" w:hAnsi="Times New Roman"/>
                <w:b/>
                <w:i/>
                <w:sz w:val="24"/>
                <w:szCs w:val="24"/>
              </w:rPr>
            </w:pPr>
            <w:r w:rsidRPr="00CF1ECC">
              <w:rPr>
                <w:rFonts w:ascii="Times New Roman" w:hAnsi="Times New Roman"/>
                <w:b/>
                <w:i/>
                <w:sz w:val="24"/>
                <w:szCs w:val="24"/>
              </w:rPr>
              <w:t>Nơi nhận:</w:t>
            </w:r>
          </w:p>
          <w:p w:rsidR="00177A6A" w:rsidRPr="00CF1ECC" w:rsidRDefault="00177A6A" w:rsidP="004C6FEE">
            <w:pPr>
              <w:rPr>
                <w:rFonts w:ascii="Times New Roman" w:hAnsi="Times New Roman"/>
                <w:sz w:val="22"/>
                <w:szCs w:val="22"/>
              </w:rPr>
            </w:pPr>
            <w:r w:rsidRPr="00CF1ECC">
              <w:rPr>
                <w:rFonts w:ascii="Times New Roman" w:hAnsi="Times New Roman"/>
                <w:sz w:val="22"/>
                <w:szCs w:val="22"/>
              </w:rPr>
              <w:t>- Như trên;</w:t>
            </w:r>
          </w:p>
          <w:p w:rsidR="00177A6A" w:rsidRPr="00CF1ECC" w:rsidRDefault="00177A6A" w:rsidP="004C6FEE">
            <w:pPr>
              <w:rPr>
                <w:rFonts w:ascii="Times New Roman" w:hAnsi="Times New Roman"/>
                <w:sz w:val="22"/>
                <w:szCs w:val="22"/>
              </w:rPr>
            </w:pPr>
            <w:r w:rsidRPr="00CF1ECC">
              <w:rPr>
                <w:rFonts w:ascii="Times New Roman" w:hAnsi="Times New Roman"/>
                <w:sz w:val="22"/>
                <w:szCs w:val="22"/>
              </w:rPr>
              <w:t>- Văn phòng Chính phủ;</w:t>
            </w:r>
          </w:p>
          <w:p w:rsidR="00177A6A" w:rsidRPr="00CF1ECC" w:rsidRDefault="00177A6A" w:rsidP="004C6FEE">
            <w:pPr>
              <w:rPr>
                <w:rFonts w:ascii="Times New Roman" w:hAnsi="Times New Roman"/>
                <w:sz w:val="22"/>
                <w:szCs w:val="22"/>
              </w:rPr>
            </w:pPr>
            <w:r w:rsidRPr="00CF1ECC">
              <w:rPr>
                <w:rFonts w:ascii="Times New Roman" w:hAnsi="Times New Roman"/>
                <w:sz w:val="22"/>
                <w:szCs w:val="22"/>
              </w:rPr>
              <w:t>- Bộ trưởng (để báo cáo);</w:t>
            </w:r>
          </w:p>
          <w:p w:rsidR="00177A6A" w:rsidRPr="00CF1ECC" w:rsidRDefault="00177A6A" w:rsidP="004C6FEE">
            <w:pPr>
              <w:pStyle w:val="BodyTextIndent"/>
              <w:spacing w:before="0"/>
              <w:ind w:firstLine="0"/>
              <w:rPr>
                <w:rFonts w:ascii="Times New Roman" w:hAnsi="Times New Roman"/>
              </w:rPr>
            </w:pPr>
            <w:r w:rsidRPr="00CF1ECC">
              <w:rPr>
                <w:rFonts w:ascii="Times New Roman" w:hAnsi="Times New Roman"/>
                <w:sz w:val="22"/>
                <w:szCs w:val="22"/>
              </w:rPr>
              <w:t>- Lưu: VT, HC</w:t>
            </w:r>
            <w:r w:rsidRPr="00CF1ECC">
              <w:rPr>
                <w:rFonts w:ascii="Times New Roman" w:hAnsi="Times New Roman"/>
                <w:sz w:val="22"/>
              </w:rPr>
              <w:t>.</w:t>
            </w:r>
          </w:p>
        </w:tc>
        <w:tc>
          <w:tcPr>
            <w:tcW w:w="4862" w:type="dxa"/>
          </w:tcPr>
          <w:p w:rsidR="00177A6A" w:rsidRPr="00CF1ECC" w:rsidRDefault="00177A6A" w:rsidP="004C6FEE">
            <w:pPr>
              <w:pStyle w:val="BodyTextIndent"/>
              <w:spacing w:before="0"/>
              <w:ind w:firstLine="0"/>
              <w:jc w:val="center"/>
              <w:rPr>
                <w:rFonts w:ascii="Times New Roman" w:hAnsi="Times New Roman"/>
                <w:b/>
              </w:rPr>
            </w:pPr>
            <w:r w:rsidRPr="00CF1ECC">
              <w:rPr>
                <w:rFonts w:ascii="Times New Roman" w:hAnsi="Times New Roman"/>
                <w:b/>
              </w:rPr>
              <w:t>KT.BỘ TRƯỞNG</w:t>
            </w:r>
          </w:p>
          <w:p w:rsidR="00177A6A" w:rsidRPr="00CF1ECC" w:rsidRDefault="00177A6A" w:rsidP="004C6FEE">
            <w:pPr>
              <w:pStyle w:val="BodyTextIndent"/>
              <w:spacing w:before="0"/>
              <w:ind w:firstLine="0"/>
              <w:jc w:val="center"/>
              <w:rPr>
                <w:rFonts w:ascii="Times New Roman" w:hAnsi="Times New Roman"/>
                <w:b/>
              </w:rPr>
            </w:pPr>
            <w:r w:rsidRPr="00CF1ECC">
              <w:rPr>
                <w:rFonts w:ascii="Times New Roman" w:hAnsi="Times New Roman"/>
                <w:b/>
              </w:rPr>
              <w:t>THỨ TRƯỞNG</w:t>
            </w:r>
          </w:p>
          <w:p w:rsidR="00177A6A" w:rsidRPr="00CF1ECC" w:rsidRDefault="00177A6A" w:rsidP="004C6FEE">
            <w:pPr>
              <w:pStyle w:val="BodyTextIndent"/>
              <w:spacing w:before="0"/>
              <w:ind w:firstLine="0"/>
              <w:jc w:val="center"/>
              <w:rPr>
                <w:rFonts w:ascii="Times New Roman" w:hAnsi="Times New Roman"/>
                <w:b/>
              </w:rPr>
            </w:pPr>
          </w:p>
          <w:p w:rsidR="00177A6A" w:rsidRPr="00CF1ECC" w:rsidRDefault="00177A6A" w:rsidP="004C6FEE">
            <w:pPr>
              <w:pStyle w:val="BodyTextIndent"/>
              <w:spacing w:before="0"/>
              <w:ind w:firstLine="0"/>
              <w:jc w:val="center"/>
              <w:rPr>
                <w:rFonts w:ascii="Times New Roman" w:hAnsi="Times New Roman"/>
                <w:b/>
              </w:rPr>
            </w:pPr>
          </w:p>
          <w:p w:rsidR="00177A6A" w:rsidRDefault="00177A6A" w:rsidP="004C6FEE">
            <w:pPr>
              <w:pStyle w:val="BodyTextIndent"/>
              <w:spacing w:before="0"/>
              <w:ind w:firstLine="0"/>
              <w:jc w:val="center"/>
              <w:rPr>
                <w:rFonts w:ascii="Times New Roman" w:hAnsi="Times New Roman"/>
                <w:b/>
              </w:rPr>
            </w:pPr>
          </w:p>
          <w:p w:rsidR="00A8620F" w:rsidRDefault="00A8620F" w:rsidP="004C6FEE">
            <w:pPr>
              <w:pStyle w:val="BodyTextIndent"/>
              <w:spacing w:before="0"/>
              <w:ind w:firstLine="0"/>
              <w:jc w:val="center"/>
              <w:rPr>
                <w:rFonts w:ascii="Times New Roman" w:hAnsi="Times New Roman"/>
                <w:b/>
              </w:rPr>
            </w:pPr>
          </w:p>
          <w:p w:rsidR="00922982" w:rsidRPr="00CF1ECC" w:rsidRDefault="00922982" w:rsidP="004C6FEE">
            <w:pPr>
              <w:pStyle w:val="BodyTextIndent"/>
              <w:spacing w:before="0"/>
              <w:ind w:firstLine="0"/>
              <w:jc w:val="center"/>
              <w:rPr>
                <w:rFonts w:ascii="Times New Roman" w:hAnsi="Times New Roman"/>
                <w:b/>
              </w:rPr>
            </w:pPr>
          </w:p>
          <w:p w:rsidR="00177A6A" w:rsidRPr="00CF1ECC" w:rsidRDefault="00177A6A" w:rsidP="004C6FEE">
            <w:pPr>
              <w:pStyle w:val="BodyTextIndent"/>
              <w:spacing w:before="0"/>
              <w:ind w:firstLine="0"/>
              <w:jc w:val="center"/>
              <w:rPr>
                <w:rFonts w:ascii="Times New Roman" w:hAnsi="Times New Roman"/>
                <w:b/>
              </w:rPr>
            </w:pPr>
            <w:r w:rsidRPr="00CF1ECC">
              <w:rPr>
                <w:rFonts w:ascii="Times New Roman" w:hAnsi="Times New Roman"/>
                <w:b/>
              </w:rPr>
              <w:t>Đ</w:t>
            </w:r>
            <w:r w:rsidR="00F715B0" w:rsidRPr="00CF1ECC">
              <w:rPr>
                <w:rFonts w:ascii="Times New Roman" w:hAnsi="Times New Roman"/>
                <w:b/>
              </w:rPr>
              <w:t>ặng Hoàng An</w:t>
            </w:r>
          </w:p>
        </w:tc>
      </w:tr>
    </w:tbl>
    <w:p w:rsidR="00100390" w:rsidRPr="00CF1ECC" w:rsidRDefault="00100390" w:rsidP="00922982">
      <w:pPr>
        <w:rPr>
          <w:rFonts w:ascii="Times New Roman" w:hAnsi="Times New Roman"/>
          <w:szCs w:val="28"/>
          <w:lang w:val="nl-NL"/>
        </w:rPr>
      </w:pPr>
    </w:p>
    <w:sectPr w:rsidR="00100390" w:rsidRPr="00CF1ECC" w:rsidSect="004C6FEE">
      <w:headerReference w:type="even" r:id="rId7"/>
      <w:footerReference w:type="even" r:id="rId8"/>
      <w:footerReference w:type="default" r:id="rId9"/>
      <w:pgSz w:w="11909" w:h="16834" w:code="9"/>
      <w:pgMar w:top="1021" w:right="1021" w:bottom="1021" w:left="1588" w:header="720" w:footer="720" w:gutter="0"/>
      <w:paperSrc w:first="7" w:other="7"/>
      <w:cols w:space="720"/>
      <w:titlePg/>
      <w:docGrid w:linePitch="1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47" w:rsidRDefault="00570247" w:rsidP="00334DF5">
      <w:r>
        <w:separator/>
      </w:r>
    </w:p>
  </w:endnote>
  <w:endnote w:type="continuationSeparator" w:id="1">
    <w:p w:rsidR="00570247" w:rsidRDefault="00570247" w:rsidP="0033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E" w:rsidRDefault="003149A1" w:rsidP="004C6FEE">
    <w:pPr>
      <w:pStyle w:val="Footer"/>
      <w:framePr w:wrap="around" w:vAnchor="text" w:hAnchor="margin" w:xAlign="center" w:y="1"/>
      <w:rPr>
        <w:rStyle w:val="PageNumber"/>
      </w:rPr>
    </w:pPr>
    <w:r>
      <w:rPr>
        <w:rStyle w:val="PageNumber"/>
      </w:rPr>
      <w:fldChar w:fldCharType="begin"/>
    </w:r>
    <w:r w:rsidR="00C87958">
      <w:rPr>
        <w:rStyle w:val="PageNumber"/>
      </w:rPr>
      <w:instrText xml:space="preserve">PAGE  </w:instrText>
    </w:r>
    <w:r>
      <w:rPr>
        <w:rStyle w:val="PageNumber"/>
      </w:rPr>
      <w:fldChar w:fldCharType="end"/>
    </w:r>
  </w:p>
  <w:p w:rsidR="004C6FEE" w:rsidRDefault="004C6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E" w:rsidRPr="00670B43" w:rsidRDefault="003149A1">
    <w:pPr>
      <w:pStyle w:val="Footer"/>
      <w:jc w:val="right"/>
      <w:rPr>
        <w:rFonts w:ascii="Times New Roman" w:hAnsi="Times New Roman"/>
      </w:rPr>
    </w:pPr>
    <w:r w:rsidRPr="00670B43">
      <w:rPr>
        <w:rFonts w:ascii="Times New Roman" w:hAnsi="Times New Roman"/>
      </w:rPr>
      <w:fldChar w:fldCharType="begin"/>
    </w:r>
    <w:r w:rsidR="00C87958" w:rsidRPr="00670B43">
      <w:rPr>
        <w:rFonts w:ascii="Times New Roman" w:hAnsi="Times New Roman"/>
      </w:rPr>
      <w:instrText xml:space="preserve"> PAGE   \* MERGEFORMAT </w:instrText>
    </w:r>
    <w:r w:rsidRPr="00670B43">
      <w:rPr>
        <w:rFonts w:ascii="Times New Roman" w:hAnsi="Times New Roman"/>
      </w:rPr>
      <w:fldChar w:fldCharType="separate"/>
    </w:r>
    <w:r w:rsidR="008F0FA8">
      <w:rPr>
        <w:rFonts w:ascii="Times New Roman" w:hAnsi="Times New Roman"/>
        <w:noProof/>
      </w:rPr>
      <w:t>4</w:t>
    </w:r>
    <w:r w:rsidRPr="00670B43">
      <w:rPr>
        <w:rFonts w:ascii="Times New Roman" w:hAnsi="Times New Roman"/>
      </w:rPr>
      <w:fldChar w:fldCharType="end"/>
    </w:r>
  </w:p>
  <w:p w:rsidR="004C6FEE" w:rsidRDefault="004C6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47" w:rsidRDefault="00570247" w:rsidP="00334DF5">
      <w:r>
        <w:separator/>
      </w:r>
    </w:p>
  </w:footnote>
  <w:footnote w:type="continuationSeparator" w:id="1">
    <w:p w:rsidR="00570247" w:rsidRDefault="00570247" w:rsidP="0033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FEE" w:rsidRDefault="003149A1" w:rsidP="004C6FEE">
    <w:pPr>
      <w:pStyle w:val="Header"/>
      <w:framePr w:wrap="around" w:vAnchor="text" w:hAnchor="margin" w:xAlign="center" w:y="1"/>
      <w:rPr>
        <w:rStyle w:val="PageNumber"/>
      </w:rPr>
    </w:pPr>
    <w:r>
      <w:rPr>
        <w:rStyle w:val="PageNumber"/>
      </w:rPr>
      <w:fldChar w:fldCharType="begin"/>
    </w:r>
    <w:r w:rsidR="00C87958">
      <w:rPr>
        <w:rStyle w:val="PageNumber"/>
      </w:rPr>
      <w:instrText xml:space="preserve">PAGE  </w:instrText>
    </w:r>
    <w:r>
      <w:rPr>
        <w:rStyle w:val="PageNumber"/>
      </w:rPr>
      <w:fldChar w:fldCharType="end"/>
    </w:r>
  </w:p>
  <w:p w:rsidR="004C6FEE" w:rsidRDefault="004C6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317"/>
    <w:multiLevelType w:val="hybridMultilevel"/>
    <w:tmpl w:val="59207FE6"/>
    <w:lvl w:ilvl="0" w:tplc="7C961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C43552"/>
    <w:multiLevelType w:val="hybridMultilevel"/>
    <w:tmpl w:val="601C74A4"/>
    <w:lvl w:ilvl="0" w:tplc="5FA4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616F9F"/>
    <w:multiLevelType w:val="hybridMultilevel"/>
    <w:tmpl w:val="736A1024"/>
    <w:lvl w:ilvl="0" w:tplc="74600A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16F00BE"/>
    <w:multiLevelType w:val="hybridMultilevel"/>
    <w:tmpl w:val="9CBE8D5C"/>
    <w:lvl w:ilvl="0" w:tplc="A3F6A1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B1516D"/>
    <w:multiLevelType w:val="hybridMultilevel"/>
    <w:tmpl w:val="B1EC62C8"/>
    <w:lvl w:ilvl="0" w:tplc="0456C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7A087D"/>
    <w:multiLevelType w:val="hybridMultilevel"/>
    <w:tmpl w:val="1720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029E1"/>
    <w:multiLevelType w:val="hybridMultilevel"/>
    <w:tmpl w:val="8416B872"/>
    <w:lvl w:ilvl="0" w:tplc="4CC481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F95CD9"/>
    <w:multiLevelType w:val="hybridMultilevel"/>
    <w:tmpl w:val="B44A04EC"/>
    <w:lvl w:ilvl="0" w:tplc="01D45F7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7A6A"/>
    <w:rsid w:val="00013BD8"/>
    <w:rsid w:val="000152A2"/>
    <w:rsid w:val="00035AC9"/>
    <w:rsid w:val="00074027"/>
    <w:rsid w:val="00077B7A"/>
    <w:rsid w:val="000B1EB3"/>
    <w:rsid w:val="000B6D7E"/>
    <w:rsid w:val="000C36EC"/>
    <w:rsid w:val="00100390"/>
    <w:rsid w:val="0012082E"/>
    <w:rsid w:val="00126F96"/>
    <w:rsid w:val="00130DA9"/>
    <w:rsid w:val="00136D83"/>
    <w:rsid w:val="00177A6A"/>
    <w:rsid w:val="00185D9A"/>
    <w:rsid w:val="001C5AAD"/>
    <w:rsid w:val="001C6EAC"/>
    <w:rsid w:val="002760F0"/>
    <w:rsid w:val="0029152A"/>
    <w:rsid w:val="0029183E"/>
    <w:rsid w:val="002C23FD"/>
    <w:rsid w:val="003031BA"/>
    <w:rsid w:val="003149A1"/>
    <w:rsid w:val="00316250"/>
    <w:rsid w:val="0032310C"/>
    <w:rsid w:val="00327FCE"/>
    <w:rsid w:val="00334DF5"/>
    <w:rsid w:val="00334E71"/>
    <w:rsid w:val="0035378D"/>
    <w:rsid w:val="004233EF"/>
    <w:rsid w:val="00444277"/>
    <w:rsid w:val="00484E83"/>
    <w:rsid w:val="004C6FEE"/>
    <w:rsid w:val="004F7DCA"/>
    <w:rsid w:val="005565FF"/>
    <w:rsid w:val="00570247"/>
    <w:rsid w:val="005733A6"/>
    <w:rsid w:val="006213F5"/>
    <w:rsid w:val="00641286"/>
    <w:rsid w:val="0065311E"/>
    <w:rsid w:val="006A700A"/>
    <w:rsid w:val="006B7F7F"/>
    <w:rsid w:val="006C218E"/>
    <w:rsid w:val="006C7C76"/>
    <w:rsid w:val="006D25F0"/>
    <w:rsid w:val="006E4811"/>
    <w:rsid w:val="006F3A7B"/>
    <w:rsid w:val="007018A3"/>
    <w:rsid w:val="00710C23"/>
    <w:rsid w:val="0071184E"/>
    <w:rsid w:val="00755374"/>
    <w:rsid w:val="007C3BBF"/>
    <w:rsid w:val="007D72AD"/>
    <w:rsid w:val="007E142E"/>
    <w:rsid w:val="007F303D"/>
    <w:rsid w:val="007F4611"/>
    <w:rsid w:val="00811B89"/>
    <w:rsid w:val="008375A0"/>
    <w:rsid w:val="00837964"/>
    <w:rsid w:val="0088118C"/>
    <w:rsid w:val="008F0FA8"/>
    <w:rsid w:val="00902702"/>
    <w:rsid w:val="00922982"/>
    <w:rsid w:val="009327CB"/>
    <w:rsid w:val="009519CE"/>
    <w:rsid w:val="00985D5E"/>
    <w:rsid w:val="009F1006"/>
    <w:rsid w:val="009F15E4"/>
    <w:rsid w:val="00A41745"/>
    <w:rsid w:val="00A4379B"/>
    <w:rsid w:val="00A700A9"/>
    <w:rsid w:val="00A8620F"/>
    <w:rsid w:val="00AA2E74"/>
    <w:rsid w:val="00AC71E3"/>
    <w:rsid w:val="00B055DE"/>
    <w:rsid w:val="00B10B90"/>
    <w:rsid w:val="00B13C0F"/>
    <w:rsid w:val="00B27557"/>
    <w:rsid w:val="00B409B4"/>
    <w:rsid w:val="00B60B5C"/>
    <w:rsid w:val="00B84288"/>
    <w:rsid w:val="00BC344B"/>
    <w:rsid w:val="00C0194D"/>
    <w:rsid w:val="00C6019B"/>
    <w:rsid w:val="00C845FB"/>
    <w:rsid w:val="00C87958"/>
    <w:rsid w:val="00CD08FE"/>
    <w:rsid w:val="00CF1ECC"/>
    <w:rsid w:val="00CF6044"/>
    <w:rsid w:val="00D06F22"/>
    <w:rsid w:val="00D218BC"/>
    <w:rsid w:val="00D46D66"/>
    <w:rsid w:val="00D76FE9"/>
    <w:rsid w:val="00D8215E"/>
    <w:rsid w:val="00DA2A7F"/>
    <w:rsid w:val="00DA2D5F"/>
    <w:rsid w:val="00DF5796"/>
    <w:rsid w:val="00E14505"/>
    <w:rsid w:val="00E165FD"/>
    <w:rsid w:val="00E24C03"/>
    <w:rsid w:val="00E277AC"/>
    <w:rsid w:val="00E37AEA"/>
    <w:rsid w:val="00E905E4"/>
    <w:rsid w:val="00EB2CFE"/>
    <w:rsid w:val="00EF55C5"/>
    <w:rsid w:val="00F1359F"/>
    <w:rsid w:val="00F211FB"/>
    <w:rsid w:val="00F314E8"/>
    <w:rsid w:val="00F31E67"/>
    <w:rsid w:val="00F349EE"/>
    <w:rsid w:val="00F715B0"/>
    <w:rsid w:val="00F85DD0"/>
    <w:rsid w:val="00F86CD4"/>
    <w:rsid w:val="00FA46C7"/>
    <w:rsid w:val="00FD1B12"/>
    <w:rsid w:val="00FE3F41"/>
    <w:rsid w:val="00FF0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6A"/>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177A6A"/>
    <w:pPr>
      <w:keepNext/>
      <w:jc w:val="center"/>
      <w:outlineLvl w:val="1"/>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7A6A"/>
    <w:rPr>
      <w:rFonts w:ascii=".VnTimeH" w:eastAsia="Times New Roman" w:hAnsi=".VnTimeH" w:cs="Times New Roman"/>
      <w:b/>
      <w:bCs/>
      <w:sz w:val="28"/>
      <w:szCs w:val="20"/>
    </w:rPr>
  </w:style>
  <w:style w:type="paragraph" w:styleId="Footer">
    <w:name w:val="footer"/>
    <w:basedOn w:val="Normal"/>
    <w:link w:val="FooterChar"/>
    <w:uiPriority w:val="99"/>
    <w:rsid w:val="00177A6A"/>
    <w:pPr>
      <w:tabs>
        <w:tab w:val="center" w:pos="4320"/>
        <w:tab w:val="right" w:pos="8640"/>
      </w:tabs>
    </w:pPr>
  </w:style>
  <w:style w:type="character" w:customStyle="1" w:styleId="FooterChar">
    <w:name w:val="Footer Char"/>
    <w:basedOn w:val="DefaultParagraphFont"/>
    <w:link w:val="Footer"/>
    <w:uiPriority w:val="99"/>
    <w:rsid w:val="00177A6A"/>
    <w:rPr>
      <w:rFonts w:ascii=".VnTime" w:eastAsia="Times New Roman" w:hAnsi=".VnTime" w:cs="Times New Roman"/>
      <w:sz w:val="28"/>
      <w:szCs w:val="20"/>
    </w:rPr>
  </w:style>
  <w:style w:type="character" w:styleId="PageNumber">
    <w:name w:val="page number"/>
    <w:basedOn w:val="DefaultParagraphFont"/>
    <w:rsid w:val="00177A6A"/>
  </w:style>
  <w:style w:type="paragraph" w:styleId="BodyTextIndent">
    <w:name w:val="Body Text Indent"/>
    <w:basedOn w:val="Normal"/>
    <w:link w:val="BodyTextIndentChar"/>
    <w:rsid w:val="00177A6A"/>
    <w:pPr>
      <w:spacing w:before="120"/>
      <w:ind w:firstLine="720"/>
      <w:jc w:val="both"/>
    </w:pPr>
    <w:rPr>
      <w:szCs w:val="28"/>
      <w:lang w:val="en-GB"/>
    </w:rPr>
  </w:style>
  <w:style w:type="character" w:customStyle="1" w:styleId="BodyTextIndentChar">
    <w:name w:val="Body Text Indent Char"/>
    <w:basedOn w:val="DefaultParagraphFont"/>
    <w:link w:val="BodyTextIndent"/>
    <w:rsid w:val="00177A6A"/>
    <w:rPr>
      <w:rFonts w:ascii=".VnTime" w:eastAsia="Times New Roman" w:hAnsi=".VnTime" w:cs="Times New Roman"/>
      <w:sz w:val="28"/>
      <w:szCs w:val="28"/>
      <w:lang w:val="en-GB"/>
    </w:rPr>
  </w:style>
  <w:style w:type="paragraph" w:styleId="Header">
    <w:name w:val="header"/>
    <w:basedOn w:val="Normal"/>
    <w:link w:val="HeaderChar"/>
    <w:rsid w:val="00177A6A"/>
    <w:pPr>
      <w:tabs>
        <w:tab w:val="center" w:pos="4320"/>
        <w:tab w:val="right" w:pos="8640"/>
      </w:tabs>
    </w:pPr>
  </w:style>
  <w:style w:type="character" w:customStyle="1" w:styleId="HeaderChar">
    <w:name w:val="Header Char"/>
    <w:basedOn w:val="DefaultParagraphFont"/>
    <w:link w:val="Header"/>
    <w:rsid w:val="00177A6A"/>
    <w:rPr>
      <w:rFonts w:ascii=".VnTime" w:eastAsia="Times New Roman" w:hAnsi=".VnTime" w:cs="Times New Roman"/>
      <w:sz w:val="28"/>
      <w:szCs w:val="20"/>
    </w:rPr>
  </w:style>
  <w:style w:type="paragraph" w:styleId="ListParagraph">
    <w:name w:val="List Paragraph"/>
    <w:basedOn w:val="Normal"/>
    <w:uiPriority w:val="34"/>
    <w:qFormat/>
    <w:rsid w:val="00B60B5C"/>
    <w:pPr>
      <w:ind w:left="720"/>
      <w:contextualSpacing/>
    </w:pPr>
  </w:style>
  <w:style w:type="paragraph" w:styleId="BalloonText">
    <w:name w:val="Balloon Text"/>
    <w:basedOn w:val="Normal"/>
    <w:link w:val="BalloonTextChar"/>
    <w:uiPriority w:val="99"/>
    <w:semiHidden/>
    <w:unhideWhenUsed/>
    <w:rsid w:val="0029152A"/>
    <w:rPr>
      <w:rFonts w:ascii="Tahoma" w:hAnsi="Tahoma" w:cs="Tahoma"/>
      <w:sz w:val="16"/>
      <w:szCs w:val="16"/>
    </w:rPr>
  </w:style>
  <w:style w:type="character" w:customStyle="1" w:styleId="BalloonTextChar">
    <w:name w:val="Balloon Text Char"/>
    <w:basedOn w:val="DefaultParagraphFont"/>
    <w:link w:val="BalloonText"/>
    <w:uiPriority w:val="99"/>
    <w:semiHidden/>
    <w:rsid w:val="0029152A"/>
    <w:rPr>
      <w:rFonts w:ascii="Tahoma" w:eastAsia="Times New Roman" w:hAnsi="Tahoma" w:cs="Tahoma"/>
      <w:sz w:val="16"/>
      <w:szCs w:val="16"/>
    </w:rPr>
  </w:style>
  <w:style w:type="paragraph" w:styleId="BodyText">
    <w:name w:val="Body Text"/>
    <w:basedOn w:val="Normal"/>
    <w:link w:val="BodyTextChar"/>
    <w:uiPriority w:val="99"/>
    <w:semiHidden/>
    <w:unhideWhenUsed/>
    <w:rsid w:val="00100390"/>
    <w:pPr>
      <w:spacing w:after="120"/>
    </w:pPr>
  </w:style>
  <w:style w:type="character" w:customStyle="1" w:styleId="BodyTextChar">
    <w:name w:val="Body Text Char"/>
    <w:basedOn w:val="DefaultParagraphFont"/>
    <w:link w:val="BodyText"/>
    <w:uiPriority w:val="99"/>
    <w:semiHidden/>
    <w:rsid w:val="00100390"/>
    <w:rPr>
      <w:rFonts w:ascii=".VnTime" w:eastAsia="Times New Roman" w:hAnsi=".VnTime" w:cs="Times New Roman"/>
      <w:sz w:val="28"/>
      <w:szCs w:val="20"/>
    </w:rPr>
  </w:style>
  <w:style w:type="paragraph" w:styleId="NormalWeb">
    <w:name w:val="Normal (Web)"/>
    <w:basedOn w:val="Normal"/>
    <w:uiPriority w:val="99"/>
    <w:rsid w:val="00100390"/>
    <w:pPr>
      <w:spacing w:before="100" w:beforeAutospacing="1" w:after="100" w:afterAutospacing="1"/>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Trankimlien</cp:lastModifiedBy>
  <cp:revision>44</cp:revision>
  <cp:lastPrinted>2019-04-19T02:56:00Z</cp:lastPrinted>
  <dcterms:created xsi:type="dcterms:W3CDTF">2018-06-20T03:13:00Z</dcterms:created>
  <dcterms:modified xsi:type="dcterms:W3CDTF">2019-04-22T07:15:00Z</dcterms:modified>
</cp:coreProperties>
</file>