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40.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77"/>
        <w:gridCol w:w="5463"/>
        <w:tblGridChange w:id="0">
          <w:tblGrid>
            <w:gridCol w:w="4077"/>
            <w:gridCol w:w="5463"/>
          </w:tblGrid>
        </w:tblGridChange>
      </w:tblGrid>
      <w:tr>
        <w:trPr>
          <w:trHeight w:val="1620" w:hRule="atLeast"/>
        </w:trPr>
        <w:tc>
          <w:tcPr/>
          <w:p w:rsidR="00000000" w:rsidDel="00000000" w:rsidP="00000000" w:rsidRDefault="00000000" w:rsidRPr="00000000" w14:paraId="00000002">
            <w:pPr>
              <w:jc w:val="center"/>
              <w:rPr>
                <w:b w:val="1"/>
                <w:sz w:val="25"/>
                <w:szCs w:val="25"/>
              </w:rPr>
            </w:pPr>
            <w:r w:rsidDel="00000000" w:rsidR="00000000" w:rsidRPr="00000000">
              <w:rPr>
                <w:b w:val="1"/>
                <w:sz w:val="25"/>
                <w:szCs w:val="25"/>
                <w:rtl w:val="0"/>
              </w:rPr>
              <w:t xml:space="preserve">PHÒNG THƯƠNG MẠI</w:t>
            </w:r>
          </w:p>
          <w:p w:rsidR="00000000" w:rsidDel="00000000" w:rsidP="00000000" w:rsidRDefault="00000000" w:rsidRPr="00000000" w14:paraId="00000003">
            <w:pPr>
              <w:jc w:val="center"/>
              <w:rPr>
                <w:b w:val="1"/>
                <w:sz w:val="25"/>
                <w:szCs w:val="25"/>
              </w:rPr>
            </w:pPr>
            <w:bookmarkStart w:colFirst="0" w:colLast="0" w:name="_gjdgxs" w:id="0"/>
            <w:bookmarkEnd w:id="0"/>
            <w:r w:rsidDel="00000000" w:rsidR="00000000" w:rsidRPr="00000000">
              <w:rPr>
                <w:b w:val="1"/>
                <w:sz w:val="25"/>
                <w:szCs w:val="25"/>
                <w:rtl w:val="0"/>
              </w:rPr>
              <w:t xml:space="preserve">VÀ CÔNG NGHIỆP VIỆT NAM</w:t>
            </w:r>
          </w:p>
          <w:p w:rsidR="00000000" w:rsidDel="00000000" w:rsidP="00000000" w:rsidRDefault="00000000" w:rsidRPr="00000000" w14:paraId="00000004">
            <w:pPr>
              <w:jc w:val="center"/>
              <w:rPr>
                <w:b w:val="1"/>
                <w:sz w:val="25"/>
                <w:szCs w:val="25"/>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63500</wp:posOffset>
                      </wp:positionV>
                      <wp:extent cx="2112645" cy="22225"/>
                      <wp:effectExtent b="0" l="0" r="0" t="0"/>
                      <wp:wrapNone/>
                      <wp:docPr id="2" name=""/>
                      <a:graphic>
                        <a:graphicData uri="http://schemas.microsoft.com/office/word/2010/wordprocessingShape">
                          <wps:wsp>
                            <wps:cNvCnPr/>
                            <wps:spPr>
                              <a:xfrm>
                                <a:off x="4294440" y="3780000"/>
                                <a:ext cx="2103120"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63500</wp:posOffset>
                      </wp:positionV>
                      <wp:extent cx="2112645" cy="2222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112645" cy="22225"/>
                              </a:xfrm>
                              <a:prstGeom prst="rect"/>
                              <a:ln/>
                            </pic:spPr>
                          </pic:pic>
                        </a:graphicData>
                      </a:graphic>
                    </wp:anchor>
                  </w:drawing>
                </mc:Fallback>
              </mc:AlternateContent>
            </w:r>
          </w:p>
          <w:p w:rsidR="00000000" w:rsidDel="00000000" w:rsidP="00000000" w:rsidRDefault="00000000" w:rsidRPr="00000000" w14:paraId="00000005">
            <w:pPr>
              <w:jc w:val="center"/>
              <w:rPr>
                <w:b w:val="1"/>
                <w:sz w:val="25"/>
                <w:szCs w:val="25"/>
              </w:rPr>
            </w:pPr>
            <w:bookmarkStart w:colFirst="0" w:colLast="0" w:name="_30j0zll" w:id="1"/>
            <w:bookmarkEnd w:id="1"/>
            <w:r w:rsidDel="00000000" w:rsidR="00000000" w:rsidRPr="00000000">
              <w:rPr>
                <w:b w:val="1"/>
                <w:sz w:val="25"/>
                <w:szCs w:val="25"/>
                <w:rtl w:val="0"/>
              </w:rPr>
              <w:t xml:space="preserve">Số: </w:t>
            </w:r>
            <w:r w:rsidDel="00000000" w:rsidR="00000000" w:rsidRPr="00000000">
              <w:rPr>
                <w:b w:val="1"/>
                <w:sz w:val="32"/>
                <w:szCs w:val="32"/>
                <w:rtl w:val="0"/>
              </w:rPr>
              <w:t xml:space="preserve">0588 </w:t>
            </w:r>
            <w:r w:rsidDel="00000000" w:rsidR="00000000" w:rsidRPr="00000000">
              <w:rPr>
                <w:b w:val="1"/>
                <w:sz w:val="25"/>
                <w:szCs w:val="25"/>
                <w:rtl w:val="0"/>
              </w:rPr>
              <w:t xml:space="preserve"> /PTM-PC</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V/v góp ý Dự thảo Quyết định sửa đổi Quyết định danh mục hàng hoá, dịch vụ đăng ký hợp đồng theo mẫu</w:t>
            </w:r>
          </w:p>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jc w:val="center"/>
              <w:rPr>
                <w:b w:val="1"/>
                <w:sz w:val="25"/>
                <w:szCs w:val="25"/>
              </w:rPr>
            </w:pPr>
            <w:r w:rsidDel="00000000" w:rsidR="00000000" w:rsidRPr="00000000">
              <w:rPr>
                <w:b w:val="1"/>
                <w:sz w:val="25"/>
                <w:szCs w:val="25"/>
                <w:rtl w:val="0"/>
              </w:rPr>
              <w:t xml:space="preserve">CỘNG HÒA XÃ HỘI CHỦ NGHĨA VIỆT NAM</w:t>
            </w:r>
          </w:p>
          <w:p w:rsidR="00000000" w:rsidDel="00000000" w:rsidP="00000000" w:rsidRDefault="00000000" w:rsidRPr="00000000" w14:paraId="00000009">
            <w:pPr>
              <w:jc w:val="center"/>
              <w:rPr>
                <w:b w:val="1"/>
                <w:sz w:val="26"/>
                <w:szCs w:val="26"/>
              </w:rPr>
            </w:pPr>
            <w:r w:rsidDel="00000000" w:rsidR="00000000" w:rsidRPr="00000000">
              <w:rPr>
                <w:b w:val="1"/>
                <w:sz w:val="25"/>
                <w:szCs w:val="25"/>
                <w:rtl w:val="0"/>
              </w:rPr>
              <w:t xml:space="preserve">Độc lập – Tự do – Hạnh phúc</w:t>
            </w:r>
            <w:r w:rsidDel="00000000" w:rsidR="00000000" w:rsidRPr="00000000">
              <w:rPr>
                <w:rtl w:val="0"/>
              </w:rPr>
            </w:r>
          </w:p>
          <w:p w:rsidR="00000000" w:rsidDel="00000000" w:rsidP="00000000" w:rsidRDefault="00000000" w:rsidRPr="00000000" w14:paraId="0000000A">
            <w:pPr>
              <w:jc w:val="center"/>
              <w:rPr>
                <w:b w:val="1"/>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63500</wp:posOffset>
                      </wp:positionV>
                      <wp:extent cx="1810616" cy="22225"/>
                      <wp:effectExtent b="0" l="0" r="0" t="0"/>
                      <wp:wrapNone/>
                      <wp:docPr id="1" name=""/>
                      <a:graphic>
                        <a:graphicData uri="http://schemas.microsoft.com/office/word/2010/wordprocessingShape">
                          <wps:wsp>
                            <wps:cNvCnPr/>
                            <wps:spPr>
                              <a:xfrm>
                                <a:off x="4445455" y="3780000"/>
                                <a:ext cx="1801091"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63500</wp:posOffset>
                      </wp:positionV>
                      <wp:extent cx="1810616" cy="222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10616" cy="22225"/>
                              </a:xfrm>
                              <a:prstGeom prst="rect"/>
                              <a:ln/>
                            </pic:spPr>
                          </pic:pic>
                        </a:graphicData>
                      </a:graphic>
                    </wp:anchor>
                  </w:drawing>
                </mc:Fallback>
              </mc:AlternateContent>
            </w:r>
          </w:p>
          <w:p w:rsidR="00000000" w:rsidDel="00000000" w:rsidP="00000000" w:rsidRDefault="00000000" w:rsidRPr="00000000" w14:paraId="0000000B">
            <w:pPr>
              <w:jc w:val="center"/>
              <w:rPr>
                <w:i w:val="1"/>
                <w:sz w:val="26"/>
                <w:szCs w:val="26"/>
              </w:rPr>
            </w:pPr>
            <w:r w:rsidDel="00000000" w:rsidR="00000000" w:rsidRPr="00000000">
              <w:rPr>
                <w:i w:val="1"/>
                <w:sz w:val="26"/>
                <w:szCs w:val="26"/>
                <w:rtl w:val="0"/>
              </w:rPr>
              <w:t xml:space="preserve">Hà Nội, ngày 28 tháng  03 năm 2019</w:t>
            </w:r>
          </w:p>
        </w:tc>
      </w:tr>
    </w:tbl>
    <w:p w:rsidR="00000000" w:rsidDel="00000000" w:rsidP="00000000" w:rsidRDefault="00000000" w:rsidRPr="00000000" w14:paraId="0000000C">
      <w:pPr>
        <w:spacing w:line="312" w:lineRule="auto"/>
        <w:jc w:val="center"/>
        <w:rPr>
          <w:b w:val="1"/>
          <w:sz w:val="30"/>
          <w:szCs w:val="30"/>
        </w:rPr>
      </w:pPr>
      <w:r w:rsidDel="00000000" w:rsidR="00000000" w:rsidRPr="00000000">
        <w:rPr>
          <w:b w:val="1"/>
          <w:sz w:val="30"/>
          <w:szCs w:val="30"/>
          <w:rtl w:val="0"/>
        </w:rPr>
        <w:t xml:space="preserve">Kính gửi: Cục Cạnh tranh và Bảo vệ người tiêu dùng</w:t>
      </w:r>
    </w:p>
    <w:p w:rsidR="00000000" w:rsidDel="00000000" w:rsidP="00000000" w:rsidRDefault="00000000" w:rsidRPr="00000000" w14:paraId="0000000D">
      <w:pPr>
        <w:spacing w:after="120" w:before="120" w:line="312" w:lineRule="auto"/>
        <w:ind w:firstLine="720"/>
        <w:jc w:val="both"/>
        <w:rPr/>
      </w:pPr>
      <w:r w:rsidDel="00000000" w:rsidR="00000000" w:rsidRPr="00000000">
        <w:rPr>
          <w:rtl w:val="0"/>
        </w:rPr>
        <w:t xml:space="preserve">Trả lời Công văn số 1139/BCT-CT của Bộ Công Thương về việc đề nghị tham gia đóng góp ý kiến </w:t>
      </w:r>
      <w:r w:rsidDel="00000000" w:rsidR="00000000" w:rsidRPr="00000000">
        <w:rPr>
          <w:b w:val="1"/>
          <w:i w:val="1"/>
          <w:rtl w:val="0"/>
        </w:rPr>
        <w:t xml:space="preserve">Dự thảo Quyết định sửa đổi Quyết định số 35/2015/QĐ-TTg ngày 20 tháng 8 năm 2015 về việc sửa đổi, bổ sung Quyết định số 02/2012/QĐ-TTG ngày 13 tháng 01 năm 2012 của Thủ tướng Chính phủ về việc ban hành danh mục hàng hóa, dịch vụ thiết yếu phải đăng ký hợp đồng theo mẫu, điều kiện giao dịch chung</w:t>
      </w:r>
      <w:r w:rsidDel="00000000" w:rsidR="00000000" w:rsidRPr="00000000">
        <w:rPr>
          <w:rtl w:val="0"/>
        </w:rPr>
        <w:t xml:space="preserve"> (sau đây gọi tắt là Dự thảo), Phòng Thương mại và Công nghiệp Việt Nam (VCCI), sau khi tham vấn ý kiến của các doanh nghiệp và chuyên gia, có một số ý kiến như sau:</w:t>
      </w:r>
    </w:p>
    <w:p w:rsidR="00000000" w:rsidDel="00000000" w:rsidP="00000000" w:rsidRDefault="00000000" w:rsidRPr="00000000" w14:paraId="0000000E">
      <w:pPr>
        <w:spacing w:after="120" w:before="120" w:line="324" w:lineRule="auto"/>
        <w:ind w:firstLine="720"/>
        <w:jc w:val="both"/>
        <w:rPr/>
      </w:pPr>
      <w:r w:rsidDel="00000000" w:rsidR="00000000" w:rsidRPr="00000000">
        <w:rPr>
          <w:rtl w:val="0"/>
        </w:rPr>
        <w:t xml:space="preserve">Mục 9, Danh mục hàng hóa, dịch vụ thiết yếu phải đăng ký hợp đồng theo mẫu, điều kiện giao dịch chung ban hành kèm theo Quyết định số 02/2012/QĐ-TTg quy định “</w:t>
      </w:r>
      <w:r w:rsidDel="00000000" w:rsidR="00000000" w:rsidRPr="00000000">
        <w:rPr>
          <w:i w:val="1"/>
          <w:rtl w:val="0"/>
        </w:rPr>
        <w:t xml:space="preserve">Mua bán căn hộ chung cư, các dịch vụ sinh hoạt do đơn vị quản lý khu chung cư cung cấp</w:t>
      </w:r>
      <w:r w:rsidDel="00000000" w:rsidR="00000000" w:rsidRPr="00000000">
        <w:rPr>
          <w:rtl w:val="0"/>
        </w:rPr>
        <w:t xml:space="preserve">” thuộc diện phải đăng ký hợp đồng mẫu, điều kiện giao dịch chung. Dự thảo Quyết định vẫn duy trì mục này, tức là các doanh nghiệp kinh doanh trong lĩnh vực bất động sản vẫn phải thực hiện nghĩa vụ đăng ký hợp đồng mẫu.</w:t>
      </w:r>
    </w:p>
    <w:p w:rsidR="00000000" w:rsidDel="00000000" w:rsidP="00000000" w:rsidRDefault="00000000" w:rsidRPr="00000000" w14:paraId="0000000F">
      <w:pPr>
        <w:spacing w:after="120" w:before="120" w:line="324" w:lineRule="auto"/>
        <w:ind w:firstLine="720"/>
        <w:jc w:val="both"/>
        <w:rPr/>
      </w:pPr>
      <w:r w:rsidDel="00000000" w:rsidR="00000000" w:rsidRPr="00000000">
        <w:rPr>
          <w:rtl w:val="0"/>
        </w:rPr>
        <w:t xml:space="preserve">Năm 2015, Chính phủ ban hành Nghị định 76/2015/NĐ-CP quy định chi tiết Luật Kinh doanh bất động sản, trong đó đã có ban hành hợp đồng mẫu trong kinh doanh bất động sản (Điều 6, Điều 7 và các Phụ lục đính kèm Nghị định này). Như vậy, hiện nay, các doanh nghiệp kinh doanh bất động sản đã phải áp dụng hợp đồng mẫu theo Nghị định 76 lại vừa phải đăng ký hợp đồng mẫu với Bộ Công Thương. Đây là sự chồng chéo không cần thiết.</w:t>
      </w:r>
    </w:p>
    <w:p w:rsidR="00000000" w:rsidDel="00000000" w:rsidP="00000000" w:rsidRDefault="00000000" w:rsidRPr="00000000" w14:paraId="00000010">
      <w:pPr>
        <w:spacing w:after="120" w:before="120" w:line="324" w:lineRule="auto"/>
        <w:ind w:firstLine="720"/>
        <w:jc w:val="both"/>
        <w:rPr/>
      </w:pPr>
      <w:r w:rsidDel="00000000" w:rsidR="00000000" w:rsidRPr="00000000">
        <w:rPr>
          <w:rtl w:val="0"/>
        </w:rPr>
        <w:t xml:space="preserve">Do đó, đề nghị cơ quan soạn thảo cân nhắc, bỏ nội dung phải đăng ký các hợp đồng mẫu trong lĩnh vực kinh doanh bất động sản tại Mục 9 của Danh mục hàng hóa, dịch vụ thiết yếu phải đăng ký hợp đồng theo mẫu, điều kiện giao dịch chung ban hành kèm theo Quyết định số 02/2012/QĐ-TTg.</w:t>
      </w:r>
    </w:p>
    <w:p w:rsidR="00000000" w:rsidDel="00000000" w:rsidP="00000000" w:rsidRDefault="00000000" w:rsidRPr="00000000" w14:paraId="00000011">
      <w:pPr>
        <w:spacing w:after="120" w:before="120" w:line="324" w:lineRule="auto"/>
        <w:ind w:firstLine="720"/>
        <w:jc w:val="both"/>
        <w:rPr/>
      </w:pPr>
      <w:r w:rsidDel="00000000" w:rsidR="00000000" w:rsidRPr="00000000">
        <w:rPr>
          <w:rtl w:val="0"/>
        </w:rPr>
        <w:t xml:space="preserve">Trên đây là một số ý kiến ban đầu của Phòng Thương mại và Công nghiệp Việt Nam đối với </w:t>
      </w:r>
      <w:r w:rsidDel="00000000" w:rsidR="00000000" w:rsidRPr="00000000">
        <w:rPr>
          <w:b w:val="1"/>
          <w:i w:val="1"/>
          <w:rtl w:val="0"/>
        </w:rPr>
        <w:t xml:space="preserve">Dự thảo Quyết định sửa đổi Quyết định số 35/2015/QĐ-TTg về việc ban hành danh mục hàng hóa, dịch vụ thiết yếu phải đăng ký hợp đồng theo mẫu, điều kiện giao dịch chung</w:t>
      </w:r>
      <w:r w:rsidDel="00000000" w:rsidR="00000000" w:rsidRPr="00000000">
        <w:rPr>
          <w:rtl w:val="0"/>
        </w:rPr>
        <w:t xml:space="preserve">. Rất mong Quý Cơ quan cân nhắc trong quá trình hoàn thiện nội dung Dự thảo.</w:t>
      </w:r>
    </w:p>
    <w:p w:rsidR="00000000" w:rsidDel="00000000" w:rsidP="00000000" w:rsidRDefault="00000000" w:rsidRPr="00000000" w14:paraId="00000012">
      <w:pPr>
        <w:spacing w:after="120" w:before="120" w:line="324" w:lineRule="auto"/>
        <w:ind w:firstLine="720"/>
        <w:jc w:val="both"/>
        <w:rPr/>
      </w:pPr>
      <w:r w:rsidDel="00000000" w:rsidR="00000000" w:rsidRPr="00000000">
        <w:rPr>
          <w:rtl w:val="0"/>
        </w:rPr>
        <w:t xml:space="preserve">Trân trọng cảm ơn sự hợp tác của Quý Cơ quan./.</w:t>
      </w:r>
    </w:p>
    <w:tbl>
      <w:tblPr>
        <w:tblStyle w:val="Table2"/>
        <w:tblW w:w="9180.0" w:type="dxa"/>
        <w:jc w:val="left"/>
        <w:tblInd w:w="0.0" w:type="dxa"/>
        <w:tblLayout w:type="fixed"/>
        <w:tblLook w:val="0400"/>
      </w:tblPr>
      <w:tblGrid>
        <w:gridCol w:w="3936"/>
        <w:gridCol w:w="5244"/>
        <w:tblGridChange w:id="0">
          <w:tblGrid>
            <w:gridCol w:w="3936"/>
            <w:gridCol w:w="5244"/>
          </w:tblGrid>
        </w:tblGridChange>
      </w:tblGrid>
      <w:tr>
        <w:tc>
          <w:tcPr>
            <w:shd w:fill="auto" w:val="clear"/>
          </w:tcPr>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i w:val="1"/>
                <w:sz w:val="26"/>
                <w:szCs w:val="26"/>
              </w:rPr>
            </w:pPr>
            <w:r w:rsidDel="00000000" w:rsidR="00000000" w:rsidRPr="00000000">
              <w:rPr>
                <w:b w:val="1"/>
                <w:i w:val="1"/>
                <w:sz w:val="26"/>
                <w:szCs w:val="26"/>
                <w:rtl w:val="0"/>
              </w:rPr>
              <w:t xml:space="preserve">Nơi nhận:</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567" w:hanging="283"/>
              <w:jc w:val="both"/>
              <w:rPr>
                <w:color w:val="000000"/>
              </w:rPr>
            </w:pPr>
            <w:r w:rsidDel="00000000" w:rsidR="00000000" w:rsidRPr="00000000">
              <w:rPr>
                <w:color w:val="000000"/>
                <w:sz w:val="24"/>
                <w:szCs w:val="24"/>
                <w:rtl w:val="0"/>
              </w:rPr>
              <w:t xml:space="preserve">Như trên;</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567" w:hanging="283"/>
              <w:jc w:val="both"/>
              <w:rPr>
                <w:color w:val="000000"/>
              </w:rPr>
            </w:pPr>
            <w:r w:rsidDel="00000000" w:rsidR="00000000" w:rsidRPr="00000000">
              <w:rPr>
                <w:color w:val="000000"/>
                <w:sz w:val="24"/>
                <w:szCs w:val="24"/>
                <w:rtl w:val="0"/>
              </w:rPr>
              <w:t xml:space="preserve">Ban Thường trực (để b/c);</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567" w:hanging="283"/>
              <w:jc w:val="both"/>
              <w:rPr>
                <w:color w:val="000000"/>
              </w:rPr>
            </w:pPr>
            <w:r w:rsidDel="00000000" w:rsidR="00000000" w:rsidRPr="00000000">
              <w:rPr>
                <w:color w:val="000000"/>
                <w:sz w:val="24"/>
                <w:szCs w:val="24"/>
                <w:rtl w:val="0"/>
              </w:rPr>
              <w:t xml:space="preserve">Lưu VP (TH, VT), PC.</w:t>
            </w:r>
            <w:r w:rsidDel="00000000" w:rsidR="00000000" w:rsidRPr="00000000">
              <w:rPr>
                <w:rtl w:val="0"/>
              </w:rPr>
            </w:r>
          </w:p>
        </w:tc>
        <w:tc>
          <w:tcPr>
            <w:shd w:fill="auto" w:val="clear"/>
          </w:tcPr>
          <w:p w:rsidR="00000000" w:rsidDel="00000000" w:rsidP="00000000" w:rsidRDefault="00000000" w:rsidRPr="00000000" w14:paraId="00000018">
            <w:pPr>
              <w:jc w:val="center"/>
              <w:rPr>
                <w:b w:val="1"/>
                <w:sz w:val="27"/>
                <w:szCs w:val="27"/>
              </w:rPr>
            </w:pPr>
            <w:r w:rsidDel="00000000" w:rsidR="00000000" w:rsidRPr="00000000">
              <w:rPr>
                <w:b w:val="1"/>
                <w:sz w:val="27"/>
                <w:szCs w:val="27"/>
                <w:rtl w:val="0"/>
              </w:rPr>
              <w:t xml:space="preserve">TL. CHỦ TỊCH</w:t>
            </w:r>
          </w:p>
          <w:p w:rsidR="00000000" w:rsidDel="00000000" w:rsidP="00000000" w:rsidRDefault="00000000" w:rsidRPr="00000000" w14:paraId="00000019">
            <w:pPr>
              <w:jc w:val="center"/>
              <w:rPr>
                <w:b w:val="1"/>
                <w:sz w:val="27"/>
                <w:szCs w:val="27"/>
              </w:rPr>
            </w:pPr>
            <w:r w:rsidDel="00000000" w:rsidR="00000000" w:rsidRPr="00000000">
              <w:rPr>
                <w:b w:val="1"/>
                <w:sz w:val="27"/>
                <w:szCs w:val="27"/>
                <w:rtl w:val="0"/>
              </w:rPr>
              <w:t xml:space="preserve">TRƯỞNG BAN PHÁP CHẾ</w:t>
            </w:r>
          </w:p>
          <w:p w:rsidR="00000000" w:rsidDel="00000000" w:rsidP="00000000" w:rsidRDefault="00000000" w:rsidRPr="00000000" w14:paraId="0000001A">
            <w:pPr>
              <w:jc w:val="center"/>
              <w:rPr>
                <w:b w:val="1"/>
                <w:sz w:val="27"/>
                <w:szCs w:val="27"/>
              </w:rPr>
            </w:pPr>
            <w:r w:rsidDel="00000000" w:rsidR="00000000" w:rsidRPr="00000000">
              <w:rPr>
                <w:rtl w:val="0"/>
              </w:rPr>
            </w:r>
          </w:p>
          <w:p w:rsidR="00000000" w:rsidDel="00000000" w:rsidP="00000000" w:rsidRDefault="00000000" w:rsidRPr="00000000" w14:paraId="0000001B">
            <w:pPr>
              <w:jc w:val="center"/>
              <w:rPr>
                <w:i w:val="1"/>
                <w:sz w:val="27"/>
                <w:szCs w:val="27"/>
              </w:rPr>
            </w:pPr>
            <w:r w:rsidDel="00000000" w:rsidR="00000000" w:rsidRPr="00000000">
              <w:rPr>
                <w:i w:val="1"/>
                <w:sz w:val="27"/>
                <w:szCs w:val="27"/>
                <w:rtl w:val="0"/>
              </w:rPr>
              <w:t xml:space="preserve">(đã ký)</w:t>
            </w:r>
          </w:p>
          <w:p w:rsidR="00000000" w:rsidDel="00000000" w:rsidP="00000000" w:rsidRDefault="00000000" w:rsidRPr="00000000" w14:paraId="0000001C">
            <w:pPr>
              <w:jc w:val="center"/>
              <w:rPr>
                <w:b w:val="1"/>
                <w:sz w:val="27"/>
                <w:szCs w:val="27"/>
              </w:rPr>
            </w:pPr>
            <w:r w:rsidDel="00000000" w:rsidR="00000000" w:rsidRPr="00000000">
              <w:rPr>
                <w:rtl w:val="0"/>
              </w:rPr>
            </w:r>
          </w:p>
          <w:p w:rsidR="00000000" w:rsidDel="00000000" w:rsidP="00000000" w:rsidRDefault="00000000" w:rsidRPr="00000000" w14:paraId="0000001D">
            <w:pPr>
              <w:jc w:val="center"/>
              <w:rPr>
                <w:b w:val="1"/>
                <w:sz w:val="27"/>
                <w:szCs w:val="27"/>
              </w:rPr>
            </w:pPr>
            <w:r w:rsidDel="00000000" w:rsidR="00000000" w:rsidRPr="00000000">
              <w:rPr>
                <w:rtl w:val="0"/>
              </w:rPr>
            </w:r>
          </w:p>
          <w:p w:rsidR="00000000" w:rsidDel="00000000" w:rsidP="00000000" w:rsidRDefault="00000000" w:rsidRPr="00000000" w14:paraId="0000001E">
            <w:pPr>
              <w:jc w:val="center"/>
              <w:rPr>
                <w:b w:val="1"/>
                <w:sz w:val="27"/>
                <w:szCs w:val="27"/>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b w:val="1"/>
                <w:sz w:val="27"/>
                <w:szCs w:val="27"/>
                <w:rtl w:val="0"/>
              </w:rPr>
              <w:t xml:space="preserve">Đậu Anh Tuấn</w:t>
            </w: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sectPr>
      <w:footerReference r:id="rId8" w:type="default"/>
      <w:pgSz w:h="16819" w:w="11894"/>
      <w:pgMar w:bottom="1152" w:top="1152" w:left="187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