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06F" w:rsidRDefault="00A7506F" w:rsidP="00A7506F">
      <w:pPr>
        <w:spacing w:line="276" w:lineRule="auto"/>
        <w:jc w:val="center"/>
        <w:rPr>
          <w:rFonts w:asciiTheme="majorHAnsi" w:hAnsiTheme="majorHAnsi" w:cstheme="majorHAnsi"/>
          <w:b/>
          <w:sz w:val="28"/>
          <w:szCs w:val="28"/>
          <w:lang w:val="nl-NL"/>
        </w:rPr>
      </w:pPr>
      <w:r>
        <w:rPr>
          <w:rFonts w:asciiTheme="majorHAnsi" w:hAnsiTheme="majorHAnsi" w:cstheme="majorHAnsi"/>
          <w:b/>
          <w:sz w:val="28"/>
          <w:szCs w:val="28"/>
          <w:lang w:val="nl-NL"/>
        </w:rPr>
        <w:t>PHỤ LỤC</w:t>
      </w:r>
      <w:r w:rsidR="005560A4">
        <w:rPr>
          <w:rFonts w:asciiTheme="majorHAnsi" w:hAnsiTheme="majorHAnsi" w:cstheme="majorHAnsi"/>
          <w:b/>
          <w:sz w:val="28"/>
          <w:szCs w:val="28"/>
          <w:lang w:val="nl-NL"/>
        </w:rPr>
        <w:t xml:space="preserve"> 2</w:t>
      </w:r>
    </w:p>
    <w:p w:rsidR="00A7506F" w:rsidRPr="004F7C8E" w:rsidRDefault="00A7506F" w:rsidP="00A7506F">
      <w:pPr>
        <w:spacing w:line="276" w:lineRule="auto"/>
        <w:jc w:val="center"/>
        <w:rPr>
          <w:rFonts w:asciiTheme="majorHAnsi" w:hAnsiTheme="majorHAnsi" w:cstheme="majorHAnsi"/>
          <w:b/>
          <w:sz w:val="28"/>
          <w:szCs w:val="28"/>
          <w:lang w:val="nl-NL"/>
        </w:rPr>
      </w:pPr>
      <w:r>
        <w:rPr>
          <w:rFonts w:asciiTheme="majorHAnsi" w:hAnsiTheme="majorHAnsi" w:cstheme="majorHAnsi"/>
          <w:b/>
          <w:sz w:val="28"/>
          <w:szCs w:val="28"/>
          <w:lang w:val="nl-NL"/>
        </w:rPr>
        <w:t>BÁO CÁO ĐÁNH GIÁ TÁC ĐỘNG CỦA HIỆP ĐỊNH THƯƠNG MẠI TỰ DO ASEAN – HỒNG KÔNG</w:t>
      </w:r>
      <w:r>
        <w:rPr>
          <w:rFonts w:asciiTheme="majorHAnsi" w:hAnsiTheme="majorHAnsi" w:cstheme="majorHAnsi"/>
          <w:b/>
          <w:sz w:val="28"/>
          <w:szCs w:val="28"/>
          <w:lang w:val="nl-NL"/>
        </w:rPr>
        <w:tab/>
      </w:r>
    </w:p>
    <w:p w:rsidR="00A7506F" w:rsidRPr="00AB48E8" w:rsidRDefault="00A7506F" w:rsidP="00A7506F">
      <w:pPr>
        <w:widowControl w:val="0"/>
        <w:spacing w:before="120" w:after="120" w:line="271" w:lineRule="auto"/>
        <w:ind w:firstLine="709"/>
        <w:jc w:val="center"/>
        <w:rPr>
          <w:rFonts w:asciiTheme="majorHAnsi" w:hAnsiTheme="majorHAnsi" w:cstheme="majorHAnsi"/>
          <w:i/>
          <w:sz w:val="28"/>
          <w:szCs w:val="28"/>
          <w:lang w:val="nl-NL"/>
        </w:rPr>
      </w:pPr>
      <w:r w:rsidRPr="00024FA2">
        <w:rPr>
          <w:rFonts w:asciiTheme="majorHAnsi" w:hAnsiTheme="majorHAnsi" w:cstheme="majorHAnsi"/>
          <w:i/>
          <w:sz w:val="28"/>
          <w:szCs w:val="28"/>
          <w:lang w:val="nl-NL"/>
        </w:rPr>
        <w:t xml:space="preserve">(Kèm theo Tờ trình Chính phủ số  </w:t>
      </w:r>
      <w:r>
        <w:rPr>
          <w:rFonts w:asciiTheme="majorHAnsi" w:hAnsiTheme="majorHAnsi" w:cstheme="majorHAnsi"/>
          <w:i/>
          <w:sz w:val="28"/>
          <w:szCs w:val="28"/>
          <w:lang w:val="nl-NL"/>
        </w:rPr>
        <w:t xml:space="preserve">  </w:t>
      </w:r>
      <w:r w:rsidRPr="00024FA2">
        <w:rPr>
          <w:rFonts w:asciiTheme="majorHAnsi" w:hAnsiTheme="majorHAnsi" w:cstheme="majorHAnsi"/>
          <w:i/>
          <w:sz w:val="28"/>
          <w:szCs w:val="28"/>
          <w:lang w:val="nl-NL"/>
        </w:rPr>
        <w:t xml:space="preserve">  /TTr-BTC ngày  </w:t>
      </w:r>
      <w:r>
        <w:rPr>
          <w:rFonts w:asciiTheme="majorHAnsi" w:hAnsiTheme="majorHAnsi" w:cstheme="majorHAnsi"/>
          <w:i/>
          <w:sz w:val="28"/>
          <w:szCs w:val="28"/>
          <w:lang w:val="nl-NL"/>
        </w:rPr>
        <w:t xml:space="preserve">  tháng </w:t>
      </w:r>
      <w:r w:rsidRPr="00024FA2">
        <w:rPr>
          <w:rFonts w:asciiTheme="majorHAnsi" w:hAnsiTheme="majorHAnsi" w:cstheme="majorHAnsi"/>
          <w:i/>
          <w:sz w:val="28"/>
          <w:szCs w:val="28"/>
          <w:lang w:val="nl-NL"/>
        </w:rPr>
        <w:t xml:space="preserve">  năm 2018)</w:t>
      </w:r>
    </w:p>
    <w:p w:rsidR="00A7506F" w:rsidRPr="00AB48E8" w:rsidRDefault="00A7506F" w:rsidP="00111796">
      <w:pPr>
        <w:widowControl w:val="0"/>
        <w:spacing w:before="120" w:after="120" w:line="276"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I</w:t>
      </w:r>
      <w:r w:rsidRPr="00AB48E8">
        <w:rPr>
          <w:rFonts w:asciiTheme="majorHAnsi" w:hAnsiTheme="majorHAnsi" w:cstheme="majorHAnsi"/>
          <w:b/>
          <w:sz w:val="28"/>
          <w:szCs w:val="28"/>
          <w:lang w:val="nl-NL"/>
        </w:rPr>
        <w:t>. Đánh giá tổng thể:</w:t>
      </w:r>
    </w:p>
    <w:p w:rsidR="00A7506F" w:rsidRPr="00AB48E8" w:rsidRDefault="00A7506F" w:rsidP="00111796">
      <w:pPr>
        <w:widowControl w:val="0"/>
        <w:spacing w:before="120" w:after="120" w:line="276" w:lineRule="auto"/>
        <w:ind w:firstLine="709"/>
        <w:jc w:val="both"/>
        <w:rPr>
          <w:rFonts w:asciiTheme="majorHAnsi" w:hAnsiTheme="majorHAnsi" w:cstheme="majorHAnsi"/>
          <w:sz w:val="28"/>
          <w:szCs w:val="28"/>
          <w:lang w:val="nl-NL"/>
        </w:rPr>
      </w:pPr>
      <w:r w:rsidRPr="00AB48E8">
        <w:rPr>
          <w:rFonts w:asciiTheme="majorHAnsi" w:hAnsiTheme="majorHAnsi" w:cstheme="majorHAnsi"/>
          <w:sz w:val="28"/>
          <w:szCs w:val="28"/>
          <w:lang w:val="nl-NL"/>
        </w:rPr>
        <w:t xml:space="preserve">Theo đánh giá của Bộ Tài chính, </w:t>
      </w:r>
      <w:bookmarkStart w:id="0" w:name="_GoBack"/>
      <w:bookmarkEnd w:id="0"/>
      <w:r w:rsidRPr="00AB48E8">
        <w:rPr>
          <w:rFonts w:asciiTheme="majorHAnsi" w:hAnsiTheme="majorHAnsi" w:cstheme="majorHAnsi"/>
          <w:sz w:val="28"/>
          <w:szCs w:val="28"/>
          <w:lang w:val="nl-NL"/>
        </w:rPr>
        <w:t>Dự thảo Nghị định đã đảm bảo được các yêu cầu sau:</w:t>
      </w:r>
    </w:p>
    <w:p w:rsidR="00A7506F" w:rsidRPr="002A251B" w:rsidRDefault="00A7506F" w:rsidP="00111796">
      <w:pPr>
        <w:widowControl w:val="0"/>
        <w:spacing w:before="120" w:after="120" w:line="276" w:lineRule="auto"/>
        <w:ind w:firstLine="709"/>
        <w:jc w:val="both"/>
        <w:rPr>
          <w:rFonts w:asciiTheme="majorHAnsi" w:hAnsiTheme="majorHAnsi" w:cstheme="majorHAnsi"/>
          <w:sz w:val="28"/>
          <w:szCs w:val="28"/>
          <w:lang w:val="nl-NL"/>
        </w:rPr>
      </w:pPr>
      <w:r w:rsidRPr="002A251B">
        <w:rPr>
          <w:rFonts w:asciiTheme="majorHAnsi" w:hAnsiTheme="majorHAnsi" w:cstheme="majorHAnsi"/>
          <w:i/>
          <w:sz w:val="28"/>
          <w:szCs w:val="28"/>
          <w:lang w:val="nl-NL"/>
        </w:rPr>
        <w:t xml:space="preserve">- Phù hợp với đường lối, chủ trương, chính sách của Đảng, tính hợp hiến, hợp pháp: </w:t>
      </w:r>
      <w:r w:rsidRPr="002A251B">
        <w:rPr>
          <w:rFonts w:asciiTheme="majorHAnsi" w:hAnsiTheme="majorHAnsi" w:cstheme="majorHAnsi"/>
          <w:sz w:val="28"/>
          <w:szCs w:val="28"/>
          <w:lang w:val="nl-NL"/>
        </w:rPr>
        <w:t>Nội dung dự thảo Nghị định phù hợp với đường lối, chủ trương, chính sách của Đảng, trong đó có chính sách phát triển kinh tế - xã hội của Đảng. Việc triển khai xây dựng dự thảo Nghị định ban hành Biểu thuế nhập khẩu ưu đãi đặc biệt của Việt Nam để thực hiện Hiệp định ACFTA là nhằm thúc đẩy phát triển hoạt động thương mại, đầu tư và sản xuất giữa Việt Nam và Hồng Kông.</w:t>
      </w:r>
    </w:p>
    <w:p w:rsidR="00A7506F" w:rsidRPr="00A7506F" w:rsidRDefault="00A7506F" w:rsidP="00111796">
      <w:pPr>
        <w:widowControl w:val="0"/>
        <w:spacing w:before="120" w:after="120" w:line="276" w:lineRule="auto"/>
        <w:ind w:firstLine="709"/>
        <w:jc w:val="both"/>
        <w:rPr>
          <w:rFonts w:asciiTheme="majorHAnsi" w:hAnsiTheme="majorHAnsi" w:cstheme="majorHAnsi"/>
          <w:sz w:val="28"/>
          <w:szCs w:val="28"/>
          <w:lang w:val="nl-NL"/>
        </w:rPr>
      </w:pPr>
      <w:r w:rsidRPr="00A7506F">
        <w:rPr>
          <w:rFonts w:asciiTheme="majorHAnsi" w:hAnsiTheme="majorHAnsi" w:cstheme="majorHAnsi"/>
          <w:sz w:val="28"/>
          <w:szCs w:val="28"/>
          <w:lang w:val="nl-NL"/>
        </w:rPr>
        <w:t>Nội dung dự thảo Nghị định phù hợp với quy định của Hiến pháp năm 2013 và Luật thuế xuất khẩu, thuế nhập khẩu năm 2016, Luật Hải quan năm 2014.</w:t>
      </w:r>
    </w:p>
    <w:p w:rsidR="00A7506F" w:rsidRPr="00A7506F" w:rsidRDefault="00A7506F" w:rsidP="00111796">
      <w:pPr>
        <w:widowControl w:val="0"/>
        <w:spacing w:before="120" w:after="120" w:line="276" w:lineRule="auto"/>
        <w:ind w:firstLine="709"/>
        <w:jc w:val="both"/>
        <w:rPr>
          <w:rFonts w:asciiTheme="majorHAnsi" w:hAnsiTheme="majorHAnsi" w:cstheme="majorHAnsi"/>
          <w:sz w:val="28"/>
          <w:szCs w:val="28"/>
          <w:lang w:val="nl-NL"/>
        </w:rPr>
      </w:pPr>
      <w:r w:rsidRPr="00A7506F">
        <w:rPr>
          <w:rFonts w:asciiTheme="majorHAnsi" w:hAnsiTheme="majorHAnsi" w:cstheme="majorHAnsi"/>
          <w:i/>
          <w:sz w:val="28"/>
          <w:szCs w:val="28"/>
          <w:lang w:val="nl-NL"/>
        </w:rPr>
        <w:t xml:space="preserve">- Đảm bảo tính thống nhất trong hệ thống pháp luật: </w:t>
      </w:r>
      <w:r w:rsidRPr="00A7506F">
        <w:rPr>
          <w:rFonts w:asciiTheme="majorHAnsi" w:hAnsiTheme="majorHAnsi" w:cstheme="majorHAnsi"/>
          <w:sz w:val="28"/>
          <w:szCs w:val="28"/>
          <w:lang w:val="nl-NL"/>
        </w:rPr>
        <w:t>Nghị định ban hành Biểu thuế nhập khẩu ưu đãi đặc biệt của Việt Nam để thực hiện Hiệp định AHKFTA giai đoạn 2019-2022 đã được rà soát, đảm bảo tương thích, đồng bộ với các Luật, Nghị định liên quan như Luật Thương mại, Luật Đầu tư, Luật Quản lý thuế, Nghị định hướng dẫn Luật Đầu tư, Nghị định hướng dẫn Luật Đầu tư, Luật Thương mại.</w:t>
      </w:r>
    </w:p>
    <w:p w:rsidR="00A7506F" w:rsidRDefault="00A7506F" w:rsidP="00111796">
      <w:pPr>
        <w:widowControl w:val="0"/>
        <w:spacing w:before="120" w:after="120" w:line="276" w:lineRule="auto"/>
        <w:ind w:firstLine="709"/>
        <w:jc w:val="both"/>
        <w:rPr>
          <w:rFonts w:asciiTheme="majorHAnsi" w:hAnsiTheme="majorHAnsi" w:cstheme="majorHAnsi"/>
          <w:sz w:val="28"/>
          <w:szCs w:val="28"/>
          <w:lang w:val="nl-NL"/>
        </w:rPr>
      </w:pPr>
      <w:r w:rsidRPr="00A7506F">
        <w:rPr>
          <w:rFonts w:asciiTheme="majorHAnsi" w:hAnsiTheme="majorHAnsi" w:cstheme="majorHAnsi"/>
          <w:i/>
          <w:sz w:val="28"/>
          <w:szCs w:val="28"/>
          <w:lang w:val="nl-NL"/>
        </w:rPr>
        <w:t xml:space="preserve">- Đảm bảo tính tương thích với các điều ước quốc tế mà Việt Nam là thành viên: </w:t>
      </w:r>
      <w:r w:rsidRPr="00A7506F">
        <w:rPr>
          <w:rFonts w:asciiTheme="majorHAnsi" w:hAnsiTheme="majorHAnsi" w:cstheme="majorHAnsi"/>
          <w:sz w:val="28"/>
          <w:szCs w:val="28"/>
          <w:lang w:val="nl-NL"/>
        </w:rPr>
        <w:t>Các nội dung của dự thảo Nghị định đã bảo đảm phù hợp với Hiệp định AHKFTA và các điều ước quốc tế liên quan mà Việt Nam là thành viên.</w:t>
      </w:r>
    </w:p>
    <w:p w:rsidR="00A7506F" w:rsidRDefault="00A7506F" w:rsidP="00111796">
      <w:pPr>
        <w:widowControl w:val="0"/>
        <w:spacing w:before="120" w:after="120" w:line="276" w:lineRule="auto"/>
        <w:ind w:firstLine="709"/>
        <w:jc w:val="both"/>
        <w:rPr>
          <w:rFonts w:asciiTheme="majorHAnsi" w:hAnsiTheme="majorHAnsi" w:cstheme="majorHAnsi"/>
          <w:b/>
          <w:sz w:val="28"/>
          <w:szCs w:val="28"/>
          <w:lang w:val="nl-NL"/>
        </w:rPr>
      </w:pPr>
      <w:r w:rsidRPr="00A7506F">
        <w:rPr>
          <w:rFonts w:asciiTheme="majorHAnsi" w:hAnsiTheme="majorHAnsi" w:cstheme="majorHAnsi"/>
          <w:b/>
          <w:sz w:val="28"/>
          <w:szCs w:val="28"/>
          <w:lang w:val="nl-NL"/>
        </w:rPr>
        <w:t>II. Đánh giá tác động:</w:t>
      </w:r>
    </w:p>
    <w:p w:rsidR="009C0B00" w:rsidRDefault="00A7506F" w:rsidP="00111796">
      <w:pPr>
        <w:widowControl w:val="0"/>
        <w:spacing w:before="120" w:after="120" w:line="276"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1. Diện mặt hàng nhập khẩu từ Hồng Kông sang Việt Nam:</w:t>
      </w:r>
    </w:p>
    <w:p w:rsidR="009C0B00" w:rsidRPr="009C0B00" w:rsidRDefault="009C0B00" w:rsidP="00111796">
      <w:pPr>
        <w:widowControl w:val="0"/>
        <w:spacing w:before="120" w:after="120" w:line="276"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Cam kết thuế với Hồng Kông tại Hiệp định thương mại tự do ASEAN – Hồng Kông với nhiều điểm tương đồng với cam kết đang thực hiện với Trung Quốc tại Hiệp định ACFTA giúp giảm bớt các trường hợp vận dụng ACFTA trước đây khi hàng hóa từ Hồng Kông</w:t>
      </w:r>
      <w:r w:rsidR="004A3B4D">
        <w:rPr>
          <w:rFonts w:asciiTheme="majorHAnsi" w:hAnsiTheme="majorHAnsi" w:cstheme="majorHAnsi"/>
          <w:sz w:val="28"/>
          <w:szCs w:val="28"/>
          <w:lang w:val="nl-NL"/>
        </w:rPr>
        <w:t xml:space="preserve"> không đáp ứng đủ điều kiện về thuế nhập khẩu. </w:t>
      </w:r>
      <w:r w:rsidR="004546E9">
        <w:rPr>
          <w:rFonts w:asciiTheme="majorHAnsi" w:hAnsiTheme="majorHAnsi" w:cstheme="majorHAnsi"/>
          <w:sz w:val="28"/>
          <w:szCs w:val="28"/>
          <w:lang w:val="nl-NL"/>
        </w:rPr>
        <w:t>Việc ký kết và thực hiện Hiệp định ASEAN – Hồng Kông giúp việc quản lý hàng hóa nhập khẩu theo nguồn gốc xuất xứ của hải quan diễn ra được thuận lợi.</w:t>
      </w:r>
    </w:p>
    <w:p w:rsidR="00267EDB" w:rsidRPr="00AB48E8" w:rsidRDefault="00267EDB" w:rsidP="00111796">
      <w:pPr>
        <w:widowControl w:val="0"/>
        <w:spacing w:before="120" w:after="120" w:line="276" w:lineRule="auto"/>
        <w:ind w:firstLine="709"/>
        <w:jc w:val="both"/>
        <w:rPr>
          <w:rFonts w:asciiTheme="majorHAnsi" w:hAnsiTheme="majorHAnsi" w:cstheme="majorHAnsi"/>
          <w:sz w:val="28"/>
          <w:szCs w:val="28"/>
          <w:lang w:val="nl-NL"/>
        </w:rPr>
      </w:pPr>
      <w:r w:rsidRPr="002F2BD0">
        <w:rPr>
          <w:rFonts w:asciiTheme="majorHAnsi" w:hAnsiTheme="majorHAnsi" w:cstheme="majorHAnsi"/>
          <w:sz w:val="28"/>
          <w:szCs w:val="28"/>
          <w:lang w:val="vi-VN"/>
        </w:rPr>
        <w:t>Về tổng thể</w:t>
      </w:r>
      <w:r w:rsidRPr="002F2BD0">
        <w:rPr>
          <w:rFonts w:asciiTheme="majorHAnsi" w:hAnsiTheme="majorHAnsi" w:cstheme="majorHAnsi"/>
          <w:sz w:val="28"/>
          <w:szCs w:val="28"/>
          <w:lang w:val="nl-NL"/>
        </w:rPr>
        <w:t>, sau khi thực hiện chuyển đổi từ Danh mục AHTN 2012 sang AHTN 2017</w:t>
      </w:r>
      <w:r w:rsidRPr="002F2BD0">
        <w:rPr>
          <w:rFonts w:asciiTheme="majorHAnsi" w:hAnsiTheme="majorHAnsi" w:cstheme="majorHAnsi"/>
          <w:sz w:val="28"/>
          <w:szCs w:val="28"/>
          <w:lang w:val="vi-VN"/>
        </w:rPr>
        <w:t xml:space="preserve"> </w:t>
      </w:r>
      <w:r w:rsidRPr="002F2BD0">
        <w:rPr>
          <w:rFonts w:asciiTheme="majorHAnsi" w:hAnsiTheme="majorHAnsi" w:cstheme="majorHAnsi"/>
          <w:sz w:val="28"/>
          <w:szCs w:val="28"/>
          <w:lang w:val="nb-NO"/>
        </w:rPr>
        <w:t>Việt Nam</w:t>
      </w:r>
      <w:r w:rsidRPr="002F2BD0">
        <w:rPr>
          <w:rFonts w:asciiTheme="majorHAnsi" w:hAnsiTheme="majorHAnsi" w:cstheme="majorHAnsi"/>
          <w:sz w:val="28"/>
          <w:szCs w:val="28"/>
          <w:lang w:val="vi-VN"/>
        </w:rPr>
        <w:t xml:space="preserve"> </w:t>
      </w:r>
      <w:r w:rsidRPr="002F2BD0">
        <w:rPr>
          <w:rFonts w:asciiTheme="majorHAnsi" w:hAnsiTheme="majorHAnsi" w:cstheme="majorHAnsi"/>
          <w:sz w:val="28"/>
          <w:szCs w:val="28"/>
          <w:lang w:val="nb-NO"/>
        </w:rPr>
        <w:t>dành cho Hồng Kông</w:t>
      </w:r>
      <w:r w:rsidRPr="002F2BD0">
        <w:rPr>
          <w:rFonts w:asciiTheme="majorHAnsi" w:hAnsiTheme="majorHAnsi" w:cstheme="majorHAnsi"/>
          <w:sz w:val="28"/>
          <w:szCs w:val="28"/>
          <w:lang w:val="vi-VN"/>
        </w:rPr>
        <w:t xml:space="preserve"> mức mở cửa thị trường hàng hóa chiếm khoảng 72% số dòng thuế, tương đương </w:t>
      </w:r>
      <w:r w:rsidRPr="00267EDB">
        <w:rPr>
          <w:rFonts w:asciiTheme="majorHAnsi" w:hAnsiTheme="majorHAnsi" w:cstheme="majorHAnsi"/>
          <w:sz w:val="28"/>
          <w:szCs w:val="28"/>
          <w:lang w:val="nl-NL"/>
        </w:rPr>
        <w:t xml:space="preserve">KNNK </w:t>
      </w:r>
      <w:r w:rsidRPr="002F2BD0">
        <w:rPr>
          <w:rFonts w:asciiTheme="majorHAnsi" w:hAnsiTheme="majorHAnsi" w:cstheme="majorHAnsi"/>
          <w:sz w:val="28"/>
          <w:szCs w:val="28"/>
          <w:lang w:val="nb-NO"/>
        </w:rPr>
        <w:t xml:space="preserve">giá trị khoảng 658,7 triệu </w:t>
      </w:r>
      <w:r w:rsidRPr="002F2BD0">
        <w:rPr>
          <w:rFonts w:asciiTheme="majorHAnsi" w:hAnsiTheme="majorHAnsi" w:cstheme="majorHAnsi"/>
          <w:sz w:val="28"/>
          <w:szCs w:val="28"/>
          <w:lang w:val="nb-NO"/>
        </w:rPr>
        <w:lastRenderedPageBreak/>
        <w:t>USD</w:t>
      </w:r>
      <w:r w:rsidRPr="002F2BD0">
        <w:rPr>
          <w:rFonts w:asciiTheme="majorHAnsi" w:hAnsiTheme="majorHAnsi" w:cstheme="majorHAnsi"/>
          <w:sz w:val="28"/>
          <w:szCs w:val="28"/>
          <w:lang w:val="vi-VN"/>
        </w:rPr>
        <w:t xml:space="preserve">. </w:t>
      </w:r>
      <w:r w:rsidRPr="002F2BD0">
        <w:rPr>
          <w:rFonts w:asciiTheme="majorHAnsi" w:hAnsiTheme="majorHAnsi" w:cstheme="majorHAnsi"/>
          <w:sz w:val="28"/>
          <w:szCs w:val="28"/>
          <w:lang w:val="nl-NL"/>
        </w:rPr>
        <w:t>Thống kê cam kết cắt giảm thuế nhập khẩu ưu đãi đặc biệt của Việt Nam trong Hiệp định AHKFTA theo Danh mục AHTN 2017 cụ thể như sau:</w:t>
      </w:r>
    </w:p>
    <w:p w:rsidR="00267EDB" w:rsidRPr="002F2BD0" w:rsidRDefault="00267EDB" w:rsidP="00267EDB">
      <w:pPr>
        <w:widowControl w:val="0"/>
        <w:spacing w:before="120" w:after="120" w:line="271" w:lineRule="auto"/>
        <w:ind w:firstLine="709"/>
        <w:jc w:val="center"/>
        <w:rPr>
          <w:rFonts w:asciiTheme="majorHAnsi" w:hAnsiTheme="majorHAnsi" w:cstheme="majorHAnsi"/>
          <w:i/>
          <w:sz w:val="28"/>
          <w:szCs w:val="28"/>
          <w:lang w:val="nl-NL"/>
        </w:rPr>
      </w:pPr>
      <w:r w:rsidRPr="002F2BD0">
        <w:rPr>
          <w:rFonts w:asciiTheme="majorHAnsi" w:hAnsiTheme="majorHAnsi" w:cstheme="majorHAnsi"/>
          <w:i/>
          <w:sz w:val="28"/>
          <w:szCs w:val="28"/>
          <w:lang w:val="nl-NL"/>
        </w:rPr>
        <w:t>Bảng 1: Cam kết thuế nhập khẩu ưu đãi đặc biệt của Việt Nam tại Hiệp định AHKFTA</w:t>
      </w:r>
    </w:p>
    <w:tbl>
      <w:tblPr>
        <w:tblStyle w:val="TableGrid"/>
        <w:tblW w:w="5000" w:type="pct"/>
        <w:tblLook w:val="04A0" w:firstRow="1" w:lastRow="0" w:firstColumn="1" w:lastColumn="0" w:noHBand="0" w:noVBand="1"/>
      </w:tblPr>
      <w:tblGrid>
        <w:gridCol w:w="4119"/>
        <w:gridCol w:w="988"/>
        <w:gridCol w:w="989"/>
        <w:gridCol w:w="1977"/>
        <w:gridCol w:w="988"/>
      </w:tblGrid>
      <w:tr w:rsidR="00267EDB" w:rsidRPr="003A4A60" w:rsidTr="00245E9E">
        <w:tc>
          <w:tcPr>
            <w:tcW w:w="2273" w:type="pct"/>
          </w:tcPr>
          <w:p w:rsidR="00267EDB" w:rsidRPr="003A4A60" w:rsidRDefault="00267EDB" w:rsidP="00245E9E">
            <w:pPr>
              <w:tabs>
                <w:tab w:val="left" w:pos="0"/>
              </w:tabs>
              <w:jc w:val="center"/>
              <w:rPr>
                <w:rFonts w:asciiTheme="majorHAnsi" w:hAnsiTheme="majorHAnsi" w:cstheme="majorHAnsi"/>
                <w:lang w:val="nl-NL"/>
              </w:rPr>
            </w:pPr>
            <w:proofErr w:type="spellStart"/>
            <w:r w:rsidRPr="003A4A60">
              <w:rPr>
                <w:rFonts w:asciiTheme="majorHAnsi" w:hAnsiTheme="majorHAnsi" w:cstheme="majorHAnsi"/>
                <w:b/>
                <w:bCs/>
                <w:color w:val="000000"/>
                <w:sz w:val="20"/>
                <w:szCs w:val="20"/>
                <w:lang w:eastAsia="vi-VN"/>
              </w:rPr>
              <w:t>Nhóm</w:t>
            </w:r>
            <w:proofErr w:type="spellEnd"/>
            <w:r w:rsidRPr="003A4A60">
              <w:rPr>
                <w:rFonts w:asciiTheme="majorHAnsi" w:hAnsiTheme="majorHAnsi" w:cstheme="majorHAnsi"/>
                <w:b/>
                <w:bCs/>
                <w:color w:val="000000"/>
                <w:sz w:val="20"/>
                <w:szCs w:val="20"/>
                <w:lang w:eastAsia="vi-VN"/>
              </w:rPr>
              <w:t xml:space="preserve"> cam </w:t>
            </w:r>
            <w:proofErr w:type="spellStart"/>
            <w:r w:rsidRPr="003A4A60">
              <w:rPr>
                <w:rFonts w:asciiTheme="majorHAnsi" w:hAnsiTheme="majorHAnsi" w:cstheme="majorHAnsi"/>
                <w:b/>
                <w:bCs/>
                <w:color w:val="000000"/>
                <w:sz w:val="20"/>
                <w:szCs w:val="20"/>
                <w:lang w:eastAsia="vi-VN"/>
              </w:rPr>
              <w:t>kết</w:t>
            </w:r>
            <w:proofErr w:type="spellEnd"/>
          </w:p>
        </w:tc>
        <w:tc>
          <w:tcPr>
            <w:tcW w:w="545" w:type="pct"/>
          </w:tcPr>
          <w:p w:rsidR="00267EDB" w:rsidRPr="003A4A60" w:rsidRDefault="00267EDB" w:rsidP="00245E9E">
            <w:pPr>
              <w:tabs>
                <w:tab w:val="left" w:pos="0"/>
              </w:tabs>
              <w:rPr>
                <w:rFonts w:asciiTheme="majorHAnsi" w:hAnsiTheme="majorHAnsi" w:cstheme="majorHAnsi"/>
                <w:lang w:val="nl-NL"/>
              </w:rPr>
            </w:pPr>
            <w:proofErr w:type="spellStart"/>
            <w:r w:rsidRPr="003A4A60">
              <w:rPr>
                <w:rFonts w:asciiTheme="majorHAnsi" w:hAnsiTheme="majorHAnsi" w:cstheme="majorHAnsi"/>
                <w:b/>
                <w:bCs/>
                <w:color w:val="000000"/>
                <w:sz w:val="20"/>
                <w:szCs w:val="20"/>
                <w:lang w:eastAsia="vi-VN"/>
              </w:rPr>
              <w:t>Số</w:t>
            </w:r>
            <w:proofErr w:type="spellEnd"/>
            <w:r w:rsidRPr="003A4A60">
              <w:rPr>
                <w:rFonts w:asciiTheme="majorHAnsi" w:hAnsiTheme="majorHAnsi" w:cstheme="majorHAnsi"/>
                <w:b/>
                <w:bCs/>
                <w:color w:val="000000"/>
                <w:sz w:val="20"/>
                <w:szCs w:val="20"/>
                <w:lang w:eastAsia="vi-VN"/>
              </w:rPr>
              <w:t xml:space="preserve"> </w:t>
            </w:r>
            <w:proofErr w:type="spellStart"/>
            <w:r w:rsidRPr="003A4A60">
              <w:rPr>
                <w:rFonts w:asciiTheme="majorHAnsi" w:hAnsiTheme="majorHAnsi" w:cstheme="majorHAnsi"/>
                <w:b/>
                <w:bCs/>
                <w:color w:val="000000"/>
                <w:sz w:val="20"/>
                <w:szCs w:val="20"/>
                <w:lang w:eastAsia="vi-VN"/>
              </w:rPr>
              <w:t>dòng</w:t>
            </w:r>
            <w:proofErr w:type="spellEnd"/>
          </w:p>
        </w:tc>
        <w:tc>
          <w:tcPr>
            <w:tcW w:w="546" w:type="pct"/>
          </w:tcPr>
          <w:p w:rsidR="00267EDB" w:rsidRPr="003A4A60" w:rsidRDefault="00267EDB" w:rsidP="00245E9E">
            <w:pPr>
              <w:tabs>
                <w:tab w:val="left" w:pos="0"/>
              </w:tabs>
              <w:rPr>
                <w:rFonts w:asciiTheme="majorHAnsi" w:hAnsiTheme="majorHAnsi" w:cstheme="majorHAnsi"/>
                <w:lang w:val="nl-NL"/>
              </w:rPr>
            </w:pPr>
            <w:r w:rsidRPr="003A4A60">
              <w:rPr>
                <w:rFonts w:asciiTheme="majorHAnsi" w:hAnsiTheme="majorHAnsi" w:cstheme="majorHAnsi"/>
                <w:b/>
                <w:bCs/>
                <w:color w:val="000000"/>
                <w:sz w:val="20"/>
                <w:szCs w:val="20"/>
                <w:lang w:eastAsia="vi-VN"/>
              </w:rPr>
              <w:t xml:space="preserve">%/ </w:t>
            </w:r>
            <w:proofErr w:type="spellStart"/>
            <w:r w:rsidRPr="003A4A60">
              <w:rPr>
                <w:rFonts w:asciiTheme="majorHAnsi" w:hAnsiTheme="majorHAnsi" w:cstheme="majorHAnsi"/>
                <w:b/>
                <w:bCs/>
                <w:color w:val="000000"/>
                <w:sz w:val="20"/>
                <w:szCs w:val="20"/>
                <w:lang w:eastAsia="vi-VN"/>
              </w:rPr>
              <w:t>tổng</w:t>
            </w:r>
            <w:proofErr w:type="spellEnd"/>
            <w:r w:rsidRPr="003A4A60">
              <w:rPr>
                <w:rFonts w:asciiTheme="majorHAnsi" w:hAnsiTheme="majorHAnsi" w:cstheme="majorHAnsi"/>
                <w:b/>
                <w:bCs/>
                <w:color w:val="000000"/>
                <w:sz w:val="20"/>
                <w:szCs w:val="20"/>
                <w:lang w:eastAsia="vi-VN"/>
              </w:rPr>
              <w:t xml:space="preserve"> </w:t>
            </w:r>
            <w:proofErr w:type="spellStart"/>
            <w:r w:rsidRPr="003A4A60">
              <w:rPr>
                <w:rFonts w:asciiTheme="majorHAnsi" w:hAnsiTheme="majorHAnsi" w:cstheme="majorHAnsi"/>
                <w:b/>
                <w:bCs/>
                <w:color w:val="000000"/>
                <w:sz w:val="20"/>
                <w:szCs w:val="20"/>
                <w:lang w:eastAsia="vi-VN"/>
              </w:rPr>
              <w:t>dòng</w:t>
            </w:r>
            <w:proofErr w:type="spellEnd"/>
          </w:p>
        </w:tc>
        <w:tc>
          <w:tcPr>
            <w:tcW w:w="1091" w:type="pct"/>
          </w:tcPr>
          <w:p w:rsidR="00267EDB" w:rsidRPr="003A4A60" w:rsidRDefault="00267EDB" w:rsidP="00245E9E">
            <w:pPr>
              <w:tabs>
                <w:tab w:val="left" w:pos="0"/>
              </w:tabs>
              <w:rPr>
                <w:rFonts w:asciiTheme="majorHAnsi" w:hAnsiTheme="majorHAnsi" w:cstheme="majorHAnsi"/>
                <w:lang w:val="nl-NL"/>
              </w:rPr>
            </w:pPr>
            <w:r w:rsidRPr="003A4A60">
              <w:rPr>
                <w:rFonts w:asciiTheme="majorHAnsi" w:hAnsiTheme="majorHAnsi" w:cstheme="majorHAnsi"/>
                <w:b/>
                <w:bCs/>
                <w:color w:val="000000"/>
                <w:sz w:val="19"/>
                <w:szCs w:val="19"/>
                <w:lang w:val="nl-NL" w:eastAsia="vi-VN"/>
              </w:rPr>
              <w:t>KNNK Hồng Kông năm 2017 (triệu USD)</w:t>
            </w:r>
          </w:p>
        </w:tc>
        <w:tc>
          <w:tcPr>
            <w:tcW w:w="545" w:type="pct"/>
          </w:tcPr>
          <w:p w:rsidR="00267EDB" w:rsidRPr="003A4A60" w:rsidRDefault="00267EDB" w:rsidP="00245E9E">
            <w:pPr>
              <w:tabs>
                <w:tab w:val="left" w:pos="0"/>
              </w:tabs>
              <w:rPr>
                <w:rFonts w:asciiTheme="majorHAnsi" w:hAnsiTheme="majorHAnsi" w:cstheme="majorHAnsi"/>
                <w:sz w:val="18"/>
                <w:szCs w:val="18"/>
                <w:lang w:val="nl-NL"/>
              </w:rPr>
            </w:pPr>
            <w:r w:rsidRPr="003A4A60">
              <w:rPr>
                <w:rFonts w:asciiTheme="majorHAnsi" w:hAnsiTheme="majorHAnsi" w:cstheme="majorHAnsi"/>
                <w:b/>
                <w:bCs/>
                <w:color w:val="000000"/>
                <w:sz w:val="18"/>
                <w:szCs w:val="18"/>
                <w:lang w:eastAsia="vi-VN"/>
              </w:rPr>
              <w:t xml:space="preserve">%/ </w:t>
            </w:r>
            <w:proofErr w:type="spellStart"/>
            <w:r w:rsidRPr="003A4A60">
              <w:rPr>
                <w:rFonts w:asciiTheme="majorHAnsi" w:hAnsiTheme="majorHAnsi" w:cstheme="majorHAnsi"/>
                <w:b/>
                <w:bCs/>
                <w:color w:val="000000"/>
                <w:sz w:val="18"/>
                <w:szCs w:val="18"/>
                <w:lang w:eastAsia="vi-VN"/>
              </w:rPr>
              <w:t>tổng</w:t>
            </w:r>
            <w:proofErr w:type="spellEnd"/>
            <w:r w:rsidRPr="003A4A60">
              <w:rPr>
                <w:rFonts w:asciiTheme="majorHAnsi" w:hAnsiTheme="majorHAnsi" w:cstheme="majorHAnsi"/>
                <w:b/>
                <w:bCs/>
                <w:color w:val="000000"/>
                <w:sz w:val="18"/>
                <w:szCs w:val="18"/>
                <w:lang w:eastAsia="vi-VN"/>
              </w:rPr>
              <w:t xml:space="preserve"> KNNK 2017</w:t>
            </w:r>
          </w:p>
        </w:tc>
      </w:tr>
      <w:tr w:rsidR="00267EDB" w:rsidRPr="003A4A60" w:rsidTr="00245E9E">
        <w:tc>
          <w:tcPr>
            <w:tcW w:w="2273" w:type="pct"/>
          </w:tcPr>
          <w:p w:rsidR="00267EDB" w:rsidRPr="003A4A60" w:rsidRDefault="00267EDB" w:rsidP="00245E9E">
            <w:pPr>
              <w:tabs>
                <w:tab w:val="left" w:pos="0"/>
              </w:tabs>
              <w:rPr>
                <w:rFonts w:asciiTheme="majorHAnsi" w:hAnsiTheme="majorHAnsi" w:cstheme="majorHAnsi"/>
                <w:lang w:val="nl-NL"/>
              </w:rPr>
            </w:pPr>
            <w:r w:rsidRPr="003A4A60">
              <w:rPr>
                <w:rFonts w:asciiTheme="majorHAnsi" w:hAnsiTheme="majorHAnsi" w:cstheme="majorHAnsi"/>
                <w:color w:val="000000"/>
                <w:lang w:val="nl-NL" w:eastAsia="vi-VN"/>
              </w:rPr>
              <w:t>Xóa bỏ thuế quan sau 3 năm (NT1)</w:t>
            </w:r>
          </w:p>
        </w:tc>
        <w:tc>
          <w:tcPr>
            <w:tcW w:w="545" w:type="pct"/>
          </w:tcPr>
          <w:p w:rsidR="00267EDB" w:rsidRPr="003A4A60" w:rsidRDefault="00267EDB" w:rsidP="00245E9E">
            <w:pPr>
              <w:tabs>
                <w:tab w:val="left" w:pos="0"/>
              </w:tabs>
              <w:jc w:val="right"/>
              <w:rPr>
                <w:rFonts w:asciiTheme="majorHAnsi" w:hAnsiTheme="majorHAnsi" w:cstheme="majorHAnsi"/>
                <w:lang w:val="nl-NL"/>
              </w:rPr>
            </w:pPr>
            <w:r w:rsidRPr="003A4A60">
              <w:rPr>
                <w:rFonts w:asciiTheme="majorHAnsi" w:hAnsiTheme="majorHAnsi" w:cstheme="majorHAnsi"/>
                <w:lang w:val="nl-NL"/>
              </w:rPr>
              <w:t>5160</w:t>
            </w:r>
          </w:p>
        </w:tc>
        <w:tc>
          <w:tcPr>
            <w:tcW w:w="546" w:type="pct"/>
          </w:tcPr>
          <w:p w:rsidR="00267EDB" w:rsidRPr="003A4A60" w:rsidRDefault="00267EDB" w:rsidP="00245E9E">
            <w:pPr>
              <w:tabs>
                <w:tab w:val="left" w:pos="0"/>
              </w:tabs>
              <w:jc w:val="right"/>
              <w:rPr>
                <w:rFonts w:asciiTheme="majorHAnsi" w:hAnsiTheme="majorHAnsi" w:cstheme="majorHAnsi"/>
                <w:lang w:val="nl-NL"/>
              </w:rPr>
            </w:pPr>
            <w:r w:rsidRPr="003A4A60">
              <w:rPr>
                <w:rFonts w:asciiTheme="majorHAnsi" w:hAnsiTheme="majorHAnsi" w:cstheme="majorHAnsi"/>
                <w:color w:val="000000"/>
                <w:lang w:eastAsia="vi-VN"/>
              </w:rPr>
              <w:t>47,5%</w:t>
            </w:r>
          </w:p>
        </w:tc>
        <w:tc>
          <w:tcPr>
            <w:tcW w:w="1091" w:type="pct"/>
          </w:tcPr>
          <w:p w:rsidR="00267EDB" w:rsidRPr="003A4A60" w:rsidRDefault="00267EDB" w:rsidP="00245E9E">
            <w:pPr>
              <w:tabs>
                <w:tab w:val="left" w:pos="0"/>
              </w:tabs>
              <w:jc w:val="right"/>
              <w:rPr>
                <w:rFonts w:asciiTheme="majorHAnsi" w:hAnsiTheme="majorHAnsi" w:cstheme="majorHAnsi"/>
                <w:lang w:val="nl-NL"/>
              </w:rPr>
            </w:pPr>
            <w:r w:rsidRPr="003A4A60">
              <w:rPr>
                <w:rFonts w:asciiTheme="majorHAnsi" w:hAnsiTheme="majorHAnsi" w:cstheme="majorHAnsi"/>
                <w:color w:val="000000"/>
                <w:lang w:eastAsia="vi-VN"/>
              </w:rPr>
              <w:t>570,7</w:t>
            </w:r>
          </w:p>
        </w:tc>
        <w:tc>
          <w:tcPr>
            <w:tcW w:w="545" w:type="pct"/>
          </w:tcPr>
          <w:p w:rsidR="00267EDB" w:rsidRPr="003A4A60" w:rsidRDefault="00267EDB" w:rsidP="00245E9E">
            <w:pPr>
              <w:tabs>
                <w:tab w:val="left" w:pos="0"/>
              </w:tabs>
              <w:jc w:val="right"/>
              <w:rPr>
                <w:rFonts w:asciiTheme="majorHAnsi" w:hAnsiTheme="majorHAnsi" w:cstheme="majorHAnsi"/>
                <w:lang w:val="nl-NL"/>
              </w:rPr>
            </w:pPr>
            <w:r w:rsidRPr="003A4A60">
              <w:rPr>
                <w:rFonts w:asciiTheme="majorHAnsi" w:hAnsiTheme="majorHAnsi" w:cstheme="majorHAnsi"/>
                <w:color w:val="000000"/>
                <w:lang w:eastAsia="vi-VN"/>
              </w:rPr>
              <w:t>34,4%</w:t>
            </w:r>
          </w:p>
        </w:tc>
      </w:tr>
      <w:tr w:rsidR="00267EDB" w:rsidRPr="003A4A60" w:rsidTr="00245E9E">
        <w:tc>
          <w:tcPr>
            <w:tcW w:w="2273" w:type="pct"/>
          </w:tcPr>
          <w:p w:rsidR="00267EDB" w:rsidRPr="003A4A60" w:rsidRDefault="00267EDB" w:rsidP="00245E9E">
            <w:pPr>
              <w:tabs>
                <w:tab w:val="left" w:pos="0"/>
              </w:tabs>
              <w:rPr>
                <w:rFonts w:asciiTheme="majorHAnsi" w:hAnsiTheme="majorHAnsi" w:cstheme="majorHAnsi"/>
                <w:color w:val="000000"/>
                <w:lang w:eastAsia="vi-VN"/>
              </w:rPr>
            </w:pPr>
            <w:r w:rsidRPr="003A4A60">
              <w:rPr>
                <w:rFonts w:asciiTheme="majorHAnsi" w:hAnsiTheme="majorHAnsi" w:cstheme="majorHAnsi"/>
                <w:color w:val="000000"/>
                <w:spacing w:val="-6"/>
                <w:lang w:val="nl-NL" w:eastAsia="vi-VN"/>
              </w:rPr>
              <w:t>Xóa bỏ thuế quan sau 10 năm (NT2)</w:t>
            </w:r>
          </w:p>
        </w:tc>
        <w:tc>
          <w:tcPr>
            <w:tcW w:w="545" w:type="pct"/>
          </w:tcPr>
          <w:p w:rsidR="00267EDB" w:rsidRPr="003A4A60" w:rsidRDefault="00267EDB" w:rsidP="00245E9E">
            <w:pPr>
              <w:tabs>
                <w:tab w:val="left" w:pos="0"/>
              </w:tabs>
              <w:jc w:val="right"/>
              <w:rPr>
                <w:rFonts w:asciiTheme="majorHAnsi" w:hAnsiTheme="majorHAnsi" w:cstheme="majorHAnsi"/>
                <w:color w:val="000000"/>
                <w:lang w:eastAsia="vi-VN"/>
              </w:rPr>
            </w:pPr>
            <w:r w:rsidRPr="003A4A60">
              <w:rPr>
                <w:rFonts w:asciiTheme="majorHAnsi" w:hAnsiTheme="majorHAnsi" w:cstheme="majorHAnsi"/>
                <w:lang w:val="nl-NL"/>
              </w:rPr>
              <w:t>2659</w:t>
            </w:r>
          </w:p>
        </w:tc>
        <w:tc>
          <w:tcPr>
            <w:tcW w:w="546" w:type="pct"/>
          </w:tcPr>
          <w:p w:rsidR="00267EDB" w:rsidRPr="003A4A60" w:rsidRDefault="00267EDB" w:rsidP="00245E9E">
            <w:pPr>
              <w:tabs>
                <w:tab w:val="left" w:pos="0"/>
              </w:tabs>
              <w:jc w:val="right"/>
              <w:rPr>
                <w:rFonts w:asciiTheme="majorHAnsi" w:hAnsiTheme="majorHAnsi" w:cstheme="majorHAnsi"/>
                <w:color w:val="000000"/>
                <w:lang w:eastAsia="vi-VN"/>
              </w:rPr>
            </w:pPr>
            <w:r w:rsidRPr="003A4A60">
              <w:rPr>
                <w:rFonts w:asciiTheme="majorHAnsi" w:hAnsiTheme="majorHAnsi" w:cstheme="majorHAnsi"/>
                <w:color w:val="000000"/>
                <w:lang w:eastAsia="vi-VN"/>
              </w:rPr>
              <w:t>24,5%</w:t>
            </w:r>
          </w:p>
        </w:tc>
        <w:tc>
          <w:tcPr>
            <w:tcW w:w="1091" w:type="pct"/>
          </w:tcPr>
          <w:p w:rsidR="00267EDB" w:rsidRPr="003A4A60" w:rsidRDefault="00267EDB" w:rsidP="00245E9E">
            <w:pPr>
              <w:tabs>
                <w:tab w:val="left" w:pos="0"/>
              </w:tabs>
              <w:jc w:val="right"/>
              <w:rPr>
                <w:rFonts w:asciiTheme="majorHAnsi" w:hAnsiTheme="majorHAnsi" w:cstheme="majorHAnsi"/>
                <w:color w:val="000000"/>
                <w:lang w:eastAsia="vi-VN"/>
              </w:rPr>
            </w:pPr>
            <w:r w:rsidRPr="003A4A60">
              <w:rPr>
                <w:rFonts w:asciiTheme="majorHAnsi" w:hAnsiTheme="majorHAnsi" w:cstheme="majorHAnsi"/>
                <w:color w:val="000000"/>
                <w:lang w:eastAsia="vi-VN"/>
              </w:rPr>
              <w:t>88</w:t>
            </w:r>
          </w:p>
        </w:tc>
        <w:tc>
          <w:tcPr>
            <w:tcW w:w="545" w:type="pct"/>
          </w:tcPr>
          <w:p w:rsidR="00267EDB" w:rsidRPr="003A4A60" w:rsidRDefault="00267EDB" w:rsidP="00245E9E">
            <w:pPr>
              <w:tabs>
                <w:tab w:val="left" w:pos="0"/>
              </w:tabs>
              <w:jc w:val="right"/>
              <w:rPr>
                <w:rFonts w:asciiTheme="majorHAnsi" w:hAnsiTheme="majorHAnsi" w:cstheme="majorHAnsi"/>
                <w:color w:val="000000"/>
                <w:lang w:eastAsia="vi-VN"/>
              </w:rPr>
            </w:pPr>
            <w:r w:rsidRPr="003A4A60">
              <w:rPr>
                <w:rFonts w:asciiTheme="majorHAnsi" w:hAnsiTheme="majorHAnsi" w:cstheme="majorHAnsi"/>
                <w:color w:val="000000"/>
                <w:lang w:eastAsia="vi-VN"/>
              </w:rPr>
              <w:t>5,3%</w:t>
            </w:r>
          </w:p>
        </w:tc>
      </w:tr>
      <w:tr w:rsidR="00267EDB" w:rsidRPr="003A4A60" w:rsidTr="00245E9E">
        <w:tc>
          <w:tcPr>
            <w:tcW w:w="2273" w:type="pct"/>
          </w:tcPr>
          <w:p w:rsidR="00267EDB" w:rsidRPr="003A4A60" w:rsidRDefault="00267EDB" w:rsidP="00245E9E">
            <w:pPr>
              <w:tabs>
                <w:tab w:val="left" w:pos="0"/>
              </w:tabs>
              <w:rPr>
                <w:rFonts w:asciiTheme="majorHAnsi" w:hAnsiTheme="majorHAnsi" w:cstheme="majorHAnsi"/>
                <w:color w:val="000000"/>
                <w:lang w:eastAsia="vi-VN"/>
              </w:rPr>
            </w:pPr>
            <w:proofErr w:type="spellStart"/>
            <w:r w:rsidRPr="003A4A60">
              <w:rPr>
                <w:rFonts w:asciiTheme="majorHAnsi" w:hAnsiTheme="majorHAnsi" w:cstheme="majorHAnsi"/>
                <w:color w:val="000000"/>
                <w:lang w:eastAsia="vi-VN"/>
              </w:rPr>
              <w:t>Nhạy</w:t>
            </w:r>
            <w:proofErr w:type="spellEnd"/>
            <w:r w:rsidRPr="003A4A60">
              <w:rPr>
                <w:rFonts w:asciiTheme="majorHAnsi" w:hAnsiTheme="majorHAnsi" w:cstheme="majorHAnsi"/>
                <w:color w:val="000000"/>
                <w:lang w:eastAsia="vi-VN"/>
              </w:rPr>
              <w:t xml:space="preserve"> </w:t>
            </w:r>
            <w:proofErr w:type="spellStart"/>
            <w:r w:rsidRPr="003A4A60">
              <w:rPr>
                <w:rFonts w:asciiTheme="majorHAnsi" w:hAnsiTheme="majorHAnsi" w:cstheme="majorHAnsi"/>
                <w:color w:val="000000"/>
                <w:lang w:eastAsia="vi-VN"/>
              </w:rPr>
              <w:t>cảm</w:t>
            </w:r>
            <w:proofErr w:type="spellEnd"/>
            <w:r w:rsidRPr="003A4A60">
              <w:rPr>
                <w:rFonts w:asciiTheme="majorHAnsi" w:hAnsiTheme="majorHAnsi" w:cstheme="majorHAnsi"/>
                <w:color w:val="000000"/>
                <w:lang w:eastAsia="vi-VN"/>
              </w:rPr>
              <w:t xml:space="preserve"> (SL)</w:t>
            </w:r>
          </w:p>
        </w:tc>
        <w:tc>
          <w:tcPr>
            <w:tcW w:w="545" w:type="pct"/>
          </w:tcPr>
          <w:p w:rsidR="00267EDB" w:rsidRPr="003A4A60" w:rsidRDefault="00267EDB" w:rsidP="00245E9E">
            <w:pPr>
              <w:tabs>
                <w:tab w:val="left" w:pos="0"/>
              </w:tabs>
              <w:jc w:val="right"/>
              <w:rPr>
                <w:rFonts w:asciiTheme="majorHAnsi" w:hAnsiTheme="majorHAnsi" w:cstheme="majorHAnsi"/>
                <w:color w:val="000000"/>
                <w:lang w:eastAsia="vi-VN"/>
              </w:rPr>
            </w:pPr>
            <w:r w:rsidRPr="003A4A60">
              <w:rPr>
                <w:rFonts w:asciiTheme="majorHAnsi" w:hAnsiTheme="majorHAnsi" w:cstheme="majorHAnsi"/>
                <w:color w:val="000000"/>
                <w:lang w:eastAsia="vi-VN"/>
              </w:rPr>
              <w:t>457</w:t>
            </w:r>
          </w:p>
        </w:tc>
        <w:tc>
          <w:tcPr>
            <w:tcW w:w="546" w:type="pct"/>
          </w:tcPr>
          <w:p w:rsidR="00267EDB" w:rsidRPr="003A4A60" w:rsidRDefault="00267EDB" w:rsidP="00245E9E">
            <w:pPr>
              <w:tabs>
                <w:tab w:val="left" w:pos="0"/>
              </w:tabs>
              <w:jc w:val="right"/>
              <w:rPr>
                <w:rFonts w:asciiTheme="majorHAnsi" w:hAnsiTheme="majorHAnsi" w:cstheme="majorHAnsi"/>
                <w:color w:val="000000"/>
                <w:lang w:eastAsia="vi-VN"/>
              </w:rPr>
            </w:pPr>
            <w:r w:rsidRPr="003A4A60">
              <w:rPr>
                <w:rFonts w:asciiTheme="majorHAnsi" w:hAnsiTheme="majorHAnsi" w:cstheme="majorHAnsi"/>
                <w:color w:val="000000"/>
                <w:lang w:eastAsia="vi-VN"/>
              </w:rPr>
              <w:t>4,2%</w:t>
            </w:r>
          </w:p>
        </w:tc>
        <w:tc>
          <w:tcPr>
            <w:tcW w:w="1091" w:type="pct"/>
          </w:tcPr>
          <w:p w:rsidR="00267EDB" w:rsidRPr="003A4A60" w:rsidRDefault="00267EDB" w:rsidP="00245E9E">
            <w:pPr>
              <w:tabs>
                <w:tab w:val="left" w:pos="0"/>
              </w:tabs>
              <w:jc w:val="right"/>
              <w:rPr>
                <w:rFonts w:asciiTheme="majorHAnsi" w:hAnsiTheme="majorHAnsi" w:cstheme="majorHAnsi"/>
                <w:color w:val="000000"/>
                <w:lang w:eastAsia="vi-VN"/>
              </w:rPr>
            </w:pPr>
            <w:r w:rsidRPr="003A4A60">
              <w:rPr>
                <w:rFonts w:asciiTheme="majorHAnsi" w:hAnsiTheme="majorHAnsi" w:cstheme="majorHAnsi"/>
                <w:color w:val="000000"/>
                <w:lang w:eastAsia="vi-VN"/>
              </w:rPr>
              <w:t>37</w:t>
            </w:r>
          </w:p>
        </w:tc>
        <w:tc>
          <w:tcPr>
            <w:tcW w:w="545" w:type="pct"/>
          </w:tcPr>
          <w:p w:rsidR="00267EDB" w:rsidRPr="003A4A60" w:rsidRDefault="00267EDB" w:rsidP="00245E9E">
            <w:pPr>
              <w:tabs>
                <w:tab w:val="left" w:pos="0"/>
              </w:tabs>
              <w:jc w:val="right"/>
              <w:rPr>
                <w:rFonts w:asciiTheme="majorHAnsi" w:hAnsiTheme="majorHAnsi" w:cstheme="majorHAnsi"/>
                <w:color w:val="000000"/>
                <w:lang w:eastAsia="vi-VN"/>
              </w:rPr>
            </w:pPr>
            <w:r w:rsidRPr="003A4A60">
              <w:rPr>
                <w:rFonts w:asciiTheme="majorHAnsi" w:hAnsiTheme="majorHAnsi" w:cstheme="majorHAnsi"/>
                <w:color w:val="000000"/>
                <w:lang w:eastAsia="vi-VN"/>
              </w:rPr>
              <w:t>2,3%</w:t>
            </w:r>
          </w:p>
        </w:tc>
      </w:tr>
      <w:tr w:rsidR="00267EDB" w:rsidRPr="003A4A60" w:rsidTr="00245E9E">
        <w:tc>
          <w:tcPr>
            <w:tcW w:w="2273" w:type="pct"/>
          </w:tcPr>
          <w:p w:rsidR="00267EDB" w:rsidRPr="003A4A60" w:rsidRDefault="00267EDB" w:rsidP="00245E9E">
            <w:pPr>
              <w:tabs>
                <w:tab w:val="left" w:pos="0"/>
              </w:tabs>
              <w:rPr>
                <w:rFonts w:asciiTheme="majorHAnsi" w:hAnsiTheme="majorHAnsi" w:cstheme="majorHAnsi"/>
                <w:color w:val="000000"/>
                <w:lang w:eastAsia="vi-VN"/>
              </w:rPr>
            </w:pPr>
            <w:proofErr w:type="spellStart"/>
            <w:r w:rsidRPr="003A4A60">
              <w:rPr>
                <w:rFonts w:asciiTheme="majorHAnsi" w:hAnsiTheme="majorHAnsi" w:cstheme="majorHAnsi"/>
                <w:color w:val="000000"/>
                <w:lang w:eastAsia="vi-VN"/>
              </w:rPr>
              <w:t>Nhạy</w:t>
            </w:r>
            <w:proofErr w:type="spellEnd"/>
            <w:r w:rsidRPr="003A4A60">
              <w:rPr>
                <w:rFonts w:asciiTheme="majorHAnsi" w:hAnsiTheme="majorHAnsi" w:cstheme="majorHAnsi"/>
                <w:color w:val="000000"/>
                <w:lang w:eastAsia="vi-VN"/>
              </w:rPr>
              <w:t xml:space="preserve"> </w:t>
            </w:r>
            <w:proofErr w:type="spellStart"/>
            <w:r w:rsidRPr="003A4A60">
              <w:rPr>
                <w:rFonts w:asciiTheme="majorHAnsi" w:hAnsiTheme="majorHAnsi" w:cstheme="majorHAnsi"/>
                <w:color w:val="000000"/>
                <w:lang w:eastAsia="vi-VN"/>
              </w:rPr>
              <w:t>cảm</w:t>
            </w:r>
            <w:proofErr w:type="spellEnd"/>
            <w:r w:rsidRPr="003A4A60">
              <w:rPr>
                <w:rFonts w:asciiTheme="majorHAnsi" w:hAnsiTheme="majorHAnsi" w:cstheme="majorHAnsi"/>
                <w:color w:val="000000"/>
                <w:lang w:eastAsia="vi-VN"/>
              </w:rPr>
              <w:t xml:space="preserve"> </w:t>
            </w:r>
            <w:proofErr w:type="spellStart"/>
            <w:r w:rsidRPr="003A4A60">
              <w:rPr>
                <w:rFonts w:asciiTheme="majorHAnsi" w:hAnsiTheme="majorHAnsi" w:cstheme="majorHAnsi"/>
                <w:color w:val="000000"/>
                <w:lang w:eastAsia="vi-VN"/>
              </w:rPr>
              <w:t>cao</w:t>
            </w:r>
            <w:proofErr w:type="spellEnd"/>
            <w:r w:rsidRPr="003A4A60">
              <w:rPr>
                <w:rFonts w:asciiTheme="majorHAnsi" w:hAnsiTheme="majorHAnsi" w:cstheme="majorHAnsi"/>
                <w:color w:val="000000"/>
                <w:lang w:eastAsia="vi-VN"/>
              </w:rPr>
              <w:t xml:space="preserve"> (HSL)</w:t>
            </w:r>
          </w:p>
        </w:tc>
        <w:tc>
          <w:tcPr>
            <w:tcW w:w="545" w:type="pct"/>
          </w:tcPr>
          <w:p w:rsidR="00267EDB" w:rsidRPr="003A4A60" w:rsidRDefault="00267EDB" w:rsidP="00245E9E">
            <w:pPr>
              <w:tabs>
                <w:tab w:val="left" w:pos="0"/>
              </w:tabs>
              <w:jc w:val="right"/>
              <w:rPr>
                <w:rFonts w:asciiTheme="majorHAnsi" w:hAnsiTheme="majorHAnsi" w:cstheme="majorHAnsi"/>
                <w:color w:val="000000"/>
                <w:lang w:eastAsia="vi-VN"/>
              </w:rPr>
            </w:pPr>
            <w:r w:rsidRPr="003A4A60">
              <w:rPr>
                <w:rFonts w:asciiTheme="majorHAnsi" w:hAnsiTheme="majorHAnsi" w:cstheme="majorHAnsi"/>
                <w:color w:val="000000"/>
                <w:lang w:eastAsia="vi-VN"/>
              </w:rPr>
              <w:t>536</w:t>
            </w:r>
          </w:p>
        </w:tc>
        <w:tc>
          <w:tcPr>
            <w:tcW w:w="546" w:type="pct"/>
          </w:tcPr>
          <w:p w:rsidR="00267EDB" w:rsidRPr="003A4A60" w:rsidRDefault="00267EDB" w:rsidP="00245E9E">
            <w:pPr>
              <w:tabs>
                <w:tab w:val="left" w:pos="0"/>
              </w:tabs>
              <w:jc w:val="right"/>
              <w:rPr>
                <w:rFonts w:asciiTheme="majorHAnsi" w:hAnsiTheme="majorHAnsi" w:cstheme="majorHAnsi"/>
                <w:color w:val="000000"/>
                <w:lang w:eastAsia="vi-VN"/>
              </w:rPr>
            </w:pPr>
            <w:r w:rsidRPr="003A4A60">
              <w:rPr>
                <w:rFonts w:asciiTheme="majorHAnsi" w:hAnsiTheme="majorHAnsi" w:cstheme="majorHAnsi"/>
                <w:color w:val="000000"/>
                <w:lang w:eastAsia="vi-VN"/>
              </w:rPr>
              <w:t>4,94%</w:t>
            </w:r>
          </w:p>
        </w:tc>
        <w:tc>
          <w:tcPr>
            <w:tcW w:w="1091" w:type="pct"/>
          </w:tcPr>
          <w:p w:rsidR="00267EDB" w:rsidRPr="003A4A60" w:rsidRDefault="00267EDB" w:rsidP="00245E9E">
            <w:pPr>
              <w:tabs>
                <w:tab w:val="left" w:pos="0"/>
              </w:tabs>
              <w:jc w:val="right"/>
              <w:rPr>
                <w:rFonts w:asciiTheme="majorHAnsi" w:hAnsiTheme="majorHAnsi" w:cstheme="majorHAnsi"/>
                <w:color w:val="000000"/>
                <w:lang w:eastAsia="vi-VN"/>
              </w:rPr>
            </w:pPr>
            <w:r w:rsidRPr="003A4A60">
              <w:rPr>
                <w:rFonts w:asciiTheme="majorHAnsi" w:hAnsiTheme="majorHAnsi" w:cstheme="majorHAnsi"/>
                <w:color w:val="000000"/>
                <w:lang w:eastAsia="vi-VN"/>
              </w:rPr>
              <w:t>9</w:t>
            </w:r>
          </w:p>
        </w:tc>
        <w:tc>
          <w:tcPr>
            <w:tcW w:w="545" w:type="pct"/>
          </w:tcPr>
          <w:p w:rsidR="00267EDB" w:rsidRPr="003A4A60" w:rsidRDefault="00267EDB" w:rsidP="00245E9E">
            <w:pPr>
              <w:tabs>
                <w:tab w:val="left" w:pos="0"/>
              </w:tabs>
              <w:jc w:val="right"/>
              <w:rPr>
                <w:rFonts w:asciiTheme="majorHAnsi" w:hAnsiTheme="majorHAnsi" w:cstheme="majorHAnsi"/>
                <w:color w:val="000000"/>
                <w:lang w:eastAsia="vi-VN"/>
              </w:rPr>
            </w:pPr>
            <w:r w:rsidRPr="003A4A60">
              <w:rPr>
                <w:rFonts w:asciiTheme="majorHAnsi" w:hAnsiTheme="majorHAnsi" w:cstheme="majorHAnsi"/>
                <w:color w:val="000000"/>
                <w:lang w:eastAsia="vi-VN"/>
              </w:rPr>
              <w:t>0,5%</w:t>
            </w:r>
          </w:p>
        </w:tc>
      </w:tr>
      <w:tr w:rsidR="00267EDB" w:rsidRPr="003A4A60" w:rsidTr="00245E9E">
        <w:tc>
          <w:tcPr>
            <w:tcW w:w="2273" w:type="pct"/>
          </w:tcPr>
          <w:p w:rsidR="00267EDB" w:rsidRPr="003A4A60" w:rsidRDefault="00267EDB" w:rsidP="00245E9E">
            <w:pPr>
              <w:tabs>
                <w:tab w:val="left" w:pos="0"/>
              </w:tabs>
              <w:rPr>
                <w:rFonts w:asciiTheme="majorHAnsi" w:hAnsiTheme="majorHAnsi" w:cstheme="majorHAnsi"/>
                <w:color w:val="000000"/>
                <w:lang w:eastAsia="vi-VN"/>
              </w:rPr>
            </w:pPr>
            <w:proofErr w:type="spellStart"/>
            <w:r w:rsidRPr="003A4A60">
              <w:rPr>
                <w:rFonts w:asciiTheme="majorHAnsi" w:hAnsiTheme="majorHAnsi" w:cstheme="majorHAnsi"/>
                <w:color w:val="000000"/>
                <w:lang w:eastAsia="vi-VN"/>
              </w:rPr>
              <w:t>Không</w:t>
            </w:r>
            <w:proofErr w:type="spellEnd"/>
            <w:r w:rsidRPr="003A4A60">
              <w:rPr>
                <w:rFonts w:asciiTheme="majorHAnsi" w:hAnsiTheme="majorHAnsi" w:cstheme="majorHAnsi"/>
                <w:color w:val="000000"/>
                <w:lang w:eastAsia="vi-VN"/>
              </w:rPr>
              <w:t xml:space="preserve"> cam </w:t>
            </w:r>
            <w:proofErr w:type="spellStart"/>
            <w:r w:rsidRPr="003A4A60">
              <w:rPr>
                <w:rFonts w:asciiTheme="majorHAnsi" w:hAnsiTheme="majorHAnsi" w:cstheme="majorHAnsi"/>
                <w:color w:val="000000"/>
                <w:lang w:eastAsia="vi-VN"/>
              </w:rPr>
              <w:t>kết</w:t>
            </w:r>
            <w:proofErr w:type="spellEnd"/>
            <w:r w:rsidRPr="003A4A60">
              <w:rPr>
                <w:rFonts w:asciiTheme="majorHAnsi" w:hAnsiTheme="majorHAnsi" w:cstheme="majorHAnsi"/>
                <w:color w:val="000000"/>
                <w:lang w:eastAsia="vi-VN"/>
              </w:rPr>
              <w:t xml:space="preserve"> (EL)</w:t>
            </w:r>
          </w:p>
        </w:tc>
        <w:tc>
          <w:tcPr>
            <w:tcW w:w="545" w:type="pct"/>
          </w:tcPr>
          <w:p w:rsidR="00267EDB" w:rsidRPr="003A4A60" w:rsidRDefault="00267EDB" w:rsidP="00245E9E">
            <w:pPr>
              <w:tabs>
                <w:tab w:val="left" w:pos="0"/>
              </w:tabs>
              <w:jc w:val="right"/>
              <w:rPr>
                <w:rFonts w:asciiTheme="majorHAnsi" w:hAnsiTheme="majorHAnsi" w:cstheme="majorHAnsi"/>
                <w:color w:val="000000"/>
                <w:lang w:eastAsia="vi-VN"/>
              </w:rPr>
            </w:pPr>
            <w:r w:rsidRPr="003A4A60">
              <w:rPr>
                <w:rFonts w:asciiTheme="majorHAnsi" w:hAnsiTheme="majorHAnsi" w:cstheme="majorHAnsi"/>
                <w:color w:val="000000"/>
                <w:lang w:eastAsia="vi-VN"/>
              </w:rPr>
              <w:t>1814</w:t>
            </w:r>
          </w:p>
        </w:tc>
        <w:tc>
          <w:tcPr>
            <w:tcW w:w="546" w:type="pct"/>
          </w:tcPr>
          <w:p w:rsidR="00267EDB" w:rsidRPr="003A4A60" w:rsidRDefault="00267EDB" w:rsidP="00245E9E">
            <w:pPr>
              <w:tabs>
                <w:tab w:val="left" w:pos="0"/>
              </w:tabs>
              <w:jc w:val="right"/>
              <w:rPr>
                <w:rFonts w:asciiTheme="majorHAnsi" w:hAnsiTheme="majorHAnsi" w:cstheme="majorHAnsi"/>
                <w:color w:val="000000"/>
                <w:lang w:eastAsia="vi-VN"/>
              </w:rPr>
            </w:pPr>
            <w:r w:rsidRPr="003A4A60">
              <w:rPr>
                <w:rFonts w:asciiTheme="majorHAnsi" w:hAnsiTheme="majorHAnsi" w:cstheme="majorHAnsi"/>
                <w:color w:val="000000"/>
                <w:lang w:eastAsia="vi-VN"/>
              </w:rPr>
              <w:t>16,71%</w:t>
            </w:r>
          </w:p>
        </w:tc>
        <w:tc>
          <w:tcPr>
            <w:tcW w:w="1091" w:type="pct"/>
          </w:tcPr>
          <w:p w:rsidR="00267EDB" w:rsidRPr="003A4A60" w:rsidRDefault="00267EDB" w:rsidP="00245E9E">
            <w:pPr>
              <w:tabs>
                <w:tab w:val="left" w:pos="0"/>
              </w:tabs>
              <w:jc w:val="right"/>
              <w:rPr>
                <w:rFonts w:asciiTheme="majorHAnsi" w:hAnsiTheme="majorHAnsi" w:cstheme="majorHAnsi"/>
                <w:color w:val="000000"/>
                <w:lang w:eastAsia="vi-VN"/>
              </w:rPr>
            </w:pPr>
            <w:r w:rsidRPr="003A4A60">
              <w:rPr>
                <w:rFonts w:asciiTheme="majorHAnsi" w:hAnsiTheme="majorHAnsi" w:cstheme="majorHAnsi"/>
                <w:color w:val="000000"/>
                <w:lang w:eastAsia="vi-VN"/>
              </w:rPr>
              <w:t>955,2</w:t>
            </w:r>
          </w:p>
        </w:tc>
        <w:tc>
          <w:tcPr>
            <w:tcW w:w="545" w:type="pct"/>
          </w:tcPr>
          <w:p w:rsidR="00267EDB" w:rsidRPr="003A4A60" w:rsidRDefault="00267EDB" w:rsidP="00245E9E">
            <w:pPr>
              <w:tabs>
                <w:tab w:val="left" w:pos="0"/>
              </w:tabs>
              <w:jc w:val="right"/>
              <w:rPr>
                <w:rFonts w:asciiTheme="majorHAnsi" w:hAnsiTheme="majorHAnsi" w:cstheme="majorHAnsi"/>
                <w:color w:val="000000"/>
                <w:lang w:eastAsia="vi-VN"/>
              </w:rPr>
            </w:pPr>
            <w:r w:rsidRPr="003A4A60">
              <w:rPr>
                <w:rFonts w:asciiTheme="majorHAnsi" w:hAnsiTheme="majorHAnsi" w:cstheme="majorHAnsi"/>
                <w:color w:val="000000"/>
                <w:lang w:eastAsia="vi-VN"/>
              </w:rPr>
              <w:t>57,5%</w:t>
            </w:r>
          </w:p>
        </w:tc>
      </w:tr>
      <w:tr w:rsidR="00267EDB" w:rsidRPr="003A4A60" w:rsidTr="00245E9E">
        <w:tc>
          <w:tcPr>
            <w:tcW w:w="2273" w:type="pct"/>
          </w:tcPr>
          <w:p w:rsidR="00267EDB" w:rsidRPr="003A4A60" w:rsidRDefault="00267EDB" w:rsidP="00245E9E">
            <w:pPr>
              <w:tabs>
                <w:tab w:val="left" w:pos="0"/>
              </w:tabs>
              <w:rPr>
                <w:rFonts w:asciiTheme="majorHAnsi" w:hAnsiTheme="majorHAnsi" w:cstheme="majorHAnsi"/>
                <w:color w:val="000000"/>
                <w:lang w:eastAsia="vi-VN"/>
              </w:rPr>
            </w:pPr>
            <w:r w:rsidRPr="003A4A60">
              <w:rPr>
                <w:rFonts w:asciiTheme="majorHAnsi" w:hAnsiTheme="majorHAnsi" w:cstheme="majorHAnsi"/>
                <w:color w:val="000000"/>
                <w:lang w:eastAsia="vi-VN"/>
              </w:rPr>
              <w:t>CKD</w:t>
            </w:r>
          </w:p>
        </w:tc>
        <w:tc>
          <w:tcPr>
            <w:tcW w:w="545" w:type="pct"/>
            <w:vAlign w:val="bottom"/>
          </w:tcPr>
          <w:p w:rsidR="00267EDB" w:rsidRPr="003A4A60" w:rsidRDefault="00267EDB" w:rsidP="00245E9E">
            <w:pPr>
              <w:tabs>
                <w:tab w:val="left" w:pos="0"/>
              </w:tabs>
              <w:jc w:val="right"/>
              <w:rPr>
                <w:rFonts w:asciiTheme="majorHAnsi" w:hAnsiTheme="majorHAnsi" w:cstheme="majorHAnsi"/>
                <w:color w:val="000000"/>
                <w:lang w:eastAsia="vi-VN"/>
              </w:rPr>
            </w:pPr>
            <w:r w:rsidRPr="003A4A60">
              <w:rPr>
                <w:rFonts w:asciiTheme="majorHAnsi" w:hAnsiTheme="majorHAnsi" w:cstheme="majorHAnsi"/>
              </w:rPr>
              <w:t>230</w:t>
            </w:r>
          </w:p>
        </w:tc>
        <w:tc>
          <w:tcPr>
            <w:tcW w:w="546" w:type="pct"/>
            <w:vAlign w:val="bottom"/>
          </w:tcPr>
          <w:p w:rsidR="00267EDB" w:rsidRPr="003A4A60" w:rsidRDefault="00267EDB" w:rsidP="00245E9E">
            <w:pPr>
              <w:tabs>
                <w:tab w:val="left" w:pos="0"/>
              </w:tabs>
              <w:jc w:val="right"/>
              <w:rPr>
                <w:rFonts w:asciiTheme="majorHAnsi" w:hAnsiTheme="majorHAnsi" w:cstheme="majorHAnsi"/>
                <w:color w:val="000000"/>
                <w:lang w:eastAsia="vi-VN"/>
              </w:rPr>
            </w:pPr>
            <w:r w:rsidRPr="003A4A60">
              <w:rPr>
                <w:rFonts w:asciiTheme="majorHAnsi" w:hAnsiTheme="majorHAnsi" w:cstheme="majorHAnsi"/>
              </w:rPr>
              <w:t>2,12%</w:t>
            </w:r>
          </w:p>
        </w:tc>
        <w:tc>
          <w:tcPr>
            <w:tcW w:w="1091" w:type="pct"/>
          </w:tcPr>
          <w:p w:rsidR="00267EDB" w:rsidRPr="003A4A60" w:rsidRDefault="00267EDB" w:rsidP="00245E9E">
            <w:pPr>
              <w:tabs>
                <w:tab w:val="left" w:pos="0"/>
              </w:tabs>
              <w:jc w:val="right"/>
              <w:rPr>
                <w:rFonts w:asciiTheme="majorHAnsi" w:hAnsiTheme="majorHAnsi" w:cstheme="majorHAnsi"/>
                <w:color w:val="000000"/>
                <w:lang w:eastAsia="vi-VN"/>
              </w:rPr>
            </w:pPr>
            <w:r w:rsidRPr="003A4A60">
              <w:rPr>
                <w:rFonts w:asciiTheme="majorHAnsi" w:hAnsiTheme="majorHAnsi" w:cstheme="majorHAnsi"/>
                <w:color w:val="000000"/>
                <w:lang w:eastAsia="vi-VN"/>
              </w:rPr>
              <w:t>0</w:t>
            </w:r>
          </w:p>
        </w:tc>
        <w:tc>
          <w:tcPr>
            <w:tcW w:w="545" w:type="pct"/>
          </w:tcPr>
          <w:p w:rsidR="00267EDB" w:rsidRPr="003A4A60" w:rsidRDefault="00267EDB" w:rsidP="00245E9E">
            <w:pPr>
              <w:tabs>
                <w:tab w:val="left" w:pos="0"/>
              </w:tabs>
              <w:jc w:val="right"/>
              <w:rPr>
                <w:rFonts w:asciiTheme="majorHAnsi" w:hAnsiTheme="majorHAnsi" w:cstheme="majorHAnsi"/>
                <w:color w:val="000000"/>
                <w:lang w:eastAsia="vi-VN"/>
              </w:rPr>
            </w:pPr>
            <w:r w:rsidRPr="003A4A60">
              <w:rPr>
                <w:rFonts w:asciiTheme="majorHAnsi" w:hAnsiTheme="majorHAnsi" w:cstheme="majorHAnsi"/>
                <w:color w:val="000000"/>
                <w:lang w:eastAsia="vi-VN"/>
              </w:rPr>
              <w:t>0%</w:t>
            </w:r>
          </w:p>
        </w:tc>
      </w:tr>
      <w:tr w:rsidR="00267EDB" w:rsidRPr="003A4A60" w:rsidTr="00245E9E">
        <w:tc>
          <w:tcPr>
            <w:tcW w:w="2273" w:type="pct"/>
          </w:tcPr>
          <w:p w:rsidR="00267EDB" w:rsidRPr="003A4A60" w:rsidRDefault="00267EDB" w:rsidP="00245E9E">
            <w:pPr>
              <w:tabs>
                <w:tab w:val="left" w:pos="0"/>
              </w:tabs>
              <w:rPr>
                <w:rFonts w:asciiTheme="majorHAnsi" w:hAnsiTheme="majorHAnsi" w:cstheme="majorHAnsi"/>
                <w:lang w:val="nl-NL"/>
              </w:rPr>
            </w:pPr>
            <w:proofErr w:type="spellStart"/>
            <w:r w:rsidRPr="003A4A60">
              <w:rPr>
                <w:rFonts w:asciiTheme="majorHAnsi" w:hAnsiTheme="majorHAnsi" w:cstheme="majorHAnsi"/>
                <w:b/>
                <w:bCs/>
                <w:color w:val="000000"/>
                <w:lang w:eastAsia="vi-VN"/>
              </w:rPr>
              <w:t>Tổng</w:t>
            </w:r>
            <w:proofErr w:type="spellEnd"/>
          </w:p>
        </w:tc>
        <w:tc>
          <w:tcPr>
            <w:tcW w:w="545" w:type="pct"/>
          </w:tcPr>
          <w:p w:rsidR="00267EDB" w:rsidRPr="003A4A60" w:rsidRDefault="00267EDB" w:rsidP="00245E9E">
            <w:pPr>
              <w:tabs>
                <w:tab w:val="left" w:pos="0"/>
              </w:tabs>
              <w:jc w:val="right"/>
              <w:rPr>
                <w:rFonts w:asciiTheme="majorHAnsi" w:hAnsiTheme="majorHAnsi" w:cstheme="majorHAnsi"/>
                <w:lang w:val="nl-NL"/>
              </w:rPr>
            </w:pPr>
            <w:r w:rsidRPr="003A4A60">
              <w:rPr>
                <w:rFonts w:asciiTheme="majorHAnsi" w:hAnsiTheme="majorHAnsi" w:cstheme="majorHAnsi"/>
                <w:b/>
                <w:bCs/>
                <w:color w:val="000000"/>
                <w:lang w:eastAsia="vi-VN"/>
              </w:rPr>
              <w:t>10856</w:t>
            </w:r>
          </w:p>
        </w:tc>
        <w:tc>
          <w:tcPr>
            <w:tcW w:w="546" w:type="pct"/>
          </w:tcPr>
          <w:p w:rsidR="00267EDB" w:rsidRPr="003A4A60" w:rsidRDefault="00267EDB" w:rsidP="00245E9E">
            <w:pPr>
              <w:tabs>
                <w:tab w:val="left" w:pos="0"/>
              </w:tabs>
              <w:jc w:val="right"/>
              <w:rPr>
                <w:rFonts w:asciiTheme="majorHAnsi" w:hAnsiTheme="majorHAnsi" w:cstheme="majorHAnsi"/>
                <w:lang w:val="nl-NL"/>
              </w:rPr>
            </w:pPr>
            <w:r w:rsidRPr="003A4A60">
              <w:rPr>
                <w:rFonts w:asciiTheme="majorHAnsi" w:hAnsiTheme="majorHAnsi" w:cstheme="majorHAnsi"/>
                <w:b/>
                <w:bCs/>
                <w:color w:val="000000"/>
                <w:lang w:eastAsia="vi-VN"/>
              </w:rPr>
              <w:t>100%</w:t>
            </w:r>
          </w:p>
        </w:tc>
        <w:tc>
          <w:tcPr>
            <w:tcW w:w="1091" w:type="pct"/>
          </w:tcPr>
          <w:p w:rsidR="00267EDB" w:rsidRPr="003A4A60" w:rsidRDefault="00267EDB" w:rsidP="00245E9E">
            <w:pPr>
              <w:tabs>
                <w:tab w:val="left" w:pos="0"/>
              </w:tabs>
              <w:jc w:val="right"/>
              <w:rPr>
                <w:rFonts w:asciiTheme="majorHAnsi" w:hAnsiTheme="majorHAnsi" w:cstheme="majorHAnsi"/>
                <w:lang w:val="nl-NL"/>
              </w:rPr>
            </w:pPr>
            <w:r w:rsidRPr="003A4A60">
              <w:rPr>
                <w:rFonts w:asciiTheme="majorHAnsi" w:hAnsiTheme="majorHAnsi" w:cstheme="majorHAnsi"/>
                <w:b/>
                <w:bCs/>
                <w:color w:val="000000"/>
                <w:lang w:eastAsia="vi-VN"/>
              </w:rPr>
              <w:t>1660</w:t>
            </w:r>
          </w:p>
        </w:tc>
        <w:tc>
          <w:tcPr>
            <w:tcW w:w="545" w:type="pct"/>
          </w:tcPr>
          <w:p w:rsidR="00267EDB" w:rsidRPr="003A4A60" w:rsidRDefault="00267EDB" w:rsidP="00245E9E">
            <w:pPr>
              <w:tabs>
                <w:tab w:val="left" w:pos="0"/>
              </w:tabs>
              <w:jc w:val="right"/>
              <w:rPr>
                <w:rFonts w:asciiTheme="majorHAnsi" w:hAnsiTheme="majorHAnsi" w:cstheme="majorHAnsi"/>
                <w:lang w:val="nl-NL"/>
              </w:rPr>
            </w:pPr>
            <w:r w:rsidRPr="003A4A60">
              <w:rPr>
                <w:rFonts w:asciiTheme="majorHAnsi" w:hAnsiTheme="majorHAnsi" w:cstheme="majorHAnsi"/>
                <w:b/>
                <w:bCs/>
                <w:color w:val="000000"/>
                <w:lang w:eastAsia="vi-VN"/>
              </w:rPr>
              <w:t>100%</w:t>
            </w:r>
          </w:p>
        </w:tc>
      </w:tr>
    </w:tbl>
    <w:p w:rsidR="00267EDB" w:rsidRDefault="00267EDB" w:rsidP="00111796">
      <w:pPr>
        <w:widowControl w:val="0"/>
        <w:spacing w:before="120" w:after="120" w:line="276" w:lineRule="auto"/>
        <w:ind w:firstLine="709"/>
        <w:jc w:val="both"/>
        <w:rPr>
          <w:rFonts w:asciiTheme="majorHAnsi" w:hAnsiTheme="majorHAnsi" w:cstheme="majorHAnsi"/>
          <w:sz w:val="28"/>
          <w:szCs w:val="28"/>
          <w:lang w:val="nb-NO"/>
        </w:rPr>
      </w:pPr>
    </w:p>
    <w:p w:rsidR="00267EDB" w:rsidRDefault="00267EDB" w:rsidP="00111796">
      <w:pPr>
        <w:widowControl w:val="0"/>
        <w:spacing w:before="120" w:after="120" w:line="276" w:lineRule="auto"/>
        <w:ind w:firstLine="709"/>
        <w:jc w:val="both"/>
        <w:rPr>
          <w:rFonts w:asciiTheme="majorHAnsi" w:hAnsiTheme="majorHAnsi" w:cstheme="majorHAnsi"/>
          <w:sz w:val="28"/>
          <w:szCs w:val="28"/>
          <w:lang w:val="nb-NO"/>
        </w:rPr>
      </w:pPr>
      <w:r w:rsidRPr="002F2BD0">
        <w:rPr>
          <w:rFonts w:asciiTheme="majorHAnsi" w:hAnsiTheme="majorHAnsi" w:cstheme="majorHAnsi"/>
          <w:sz w:val="28"/>
          <w:szCs w:val="28"/>
          <w:lang w:val="nb-NO"/>
        </w:rPr>
        <w:t xml:space="preserve">Về kim ngạch nhập khẩu từ thị trường Hồng Kông: thống kê hải quan cho thấy: trong năm 2017 giá trị nhập khẩu tăng 11% so với cùng kỳ năm 2016, từ khoảng 1,495 tỷ USD lên 1,660 tỷ USD. Như vậy, nhập khẩu từ thị trường Hồng Kông có sự tăng trưởng tương đối cao trong giá trị nhập khẩu từ năm 2016 đến 2017. Trong 6 tháng đầu năm 2018, nhập khẩu từ Hồng Kông đạt 780,99 triệu USD giảm 8,3% so với cùng kỳ năm 2017. </w:t>
      </w:r>
    </w:p>
    <w:p w:rsidR="00E26351" w:rsidRPr="00267EDB" w:rsidRDefault="00A7506F" w:rsidP="00111796">
      <w:pPr>
        <w:widowControl w:val="0"/>
        <w:spacing w:before="120" w:after="120" w:line="276" w:lineRule="auto"/>
        <w:ind w:firstLine="709"/>
        <w:jc w:val="both"/>
        <w:rPr>
          <w:rFonts w:asciiTheme="majorHAnsi" w:hAnsiTheme="majorHAnsi" w:cstheme="majorHAnsi"/>
          <w:sz w:val="28"/>
          <w:szCs w:val="28"/>
          <w:lang w:val="nb-NO"/>
        </w:rPr>
      </w:pPr>
      <w:r w:rsidRPr="002F2BD0">
        <w:rPr>
          <w:rFonts w:asciiTheme="majorHAnsi" w:hAnsiTheme="majorHAnsi" w:cstheme="majorHAnsi"/>
          <w:sz w:val="28"/>
          <w:szCs w:val="28"/>
          <w:lang w:val="nb-NO"/>
        </w:rPr>
        <w:t xml:space="preserve">Diện mặt hàng nhập khẩu chính từ Hồng Kông (có giá trị từ 30 triệu USD trở lên): Trong cơ cấu nhập khẩu năm 2017, nhập khẩu từ thị trường Hồng Kông tập trung vào các nhóm hàng Nguyên phụ liệu dệt, may, da giày (khoảng 400 triệu USD); Máy móc, thiết bị, dụng cụ và phụ tùng; Phế liệu sắt thép; Điện thoại các loại và linh kiện; Máy vi tính, sản phẩm điện tử và linh kiện và hàng hóa khác (số liệu tham khảo tại Bảng 2). </w:t>
      </w:r>
    </w:p>
    <w:p w:rsidR="00E26351" w:rsidRPr="002F2BD0" w:rsidRDefault="00A7506F" w:rsidP="00A7506F">
      <w:pPr>
        <w:widowControl w:val="0"/>
        <w:spacing w:before="120" w:after="120" w:line="271" w:lineRule="auto"/>
        <w:ind w:firstLine="709"/>
        <w:jc w:val="center"/>
        <w:rPr>
          <w:rFonts w:asciiTheme="majorHAnsi" w:hAnsiTheme="majorHAnsi" w:cstheme="majorHAnsi"/>
          <w:i/>
          <w:sz w:val="28"/>
          <w:szCs w:val="28"/>
          <w:lang w:val="nb-NO"/>
        </w:rPr>
      </w:pPr>
      <w:r w:rsidRPr="002F2BD0">
        <w:rPr>
          <w:rFonts w:asciiTheme="majorHAnsi" w:hAnsiTheme="majorHAnsi" w:cstheme="majorHAnsi"/>
          <w:i/>
          <w:sz w:val="28"/>
          <w:szCs w:val="28"/>
          <w:lang w:val="nb-NO"/>
        </w:rPr>
        <w:t>Bảng 2: Các nhóm hàng nhập khẩu chính từ thị trường Hồng Kông</w:t>
      </w:r>
    </w:p>
    <w:tbl>
      <w:tblPr>
        <w:tblW w:w="5000" w:type="pct"/>
        <w:tblLayout w:type="fixed"/>
        <w:tblLook w:val="04A0" w:firstRow="1" w:lastRow="0" w:firstColumn="1" w:lastColumn="0" w:noHBand="0" w:noVBand="1"/>
      </w:tblPr>
      <w:tblGrid>
        <w:gridCol w:w="3823"/>
        <w:gridCol w:w="2552"/>
        <w:gridCol w:w="2686"/>
      </w:tblGrid>
      <w:tr w:rsidR="00E26351" w:rsidRPr="003A4A60" w:rsidTr="00E26351">
        <w:trPr>
          <w:trHeight w:val="300"/>
        </w:trPr>
        <w:tc>
          <w:tcPr>
            <w:tcW w:w="21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351" w:rsidRPr="003A4A60" w:rsidRDefault="00E26351" w:rsidP="00245E9E">
            <w:pPr>
              <w:jc w:val="center"/>
              <w:rPr>
                <w:rFonts w:asciiTheme="majorHAnsi" w:hAnsiTheme="majorHAnsi" w:cstheme="majorHAnsi"/>
                <w:color w:val="000000"/>
                <w:sz w:val="26"/>
                <w:szCs w:val="26"/>
              </w:rPr>
            </w:pPr>
            <w:proofErr w:type="spellStart"/>
            <w:r w:rsidRPr="003A4A60">
              <w:rPr>
                <w:rFonts w:asciiTheme="majorHAnsi" w:hAnsiTheme="majorHAnsi" w:cstheme="majorHAnsi"/>
                <w:color w:val="000000"/>
                <w:sz w:val="26"/>
                <w:szCs w:val="26"/>
              </w:rPr>
              <w:t>Nhóm</w:t>
            </w:r>
            <w:proofErr w:type="spellEnd"/>
            <w:r w:rsidRPr="003A4A60">
              <w:rPr>
                <w:rFonts w:asciiTheme="majorHAnsi" w:hAnsiTheme="majorHAnsi" w:cstheme="majorHAnsi"/>
                <w:color w:val="000000"/>
                <w:sz w:val="26"/>
                <w:szCs w:val="26"/>
              </w:rPr>
              <w:t xml:space="preserve"> </w:t>
            </w:r>
            <w:proofErr w:type="spellStart"/>
            <w:r w:rsidRPr="003A4A60">
              <w:rPr>
                <w:rFonts w:asciiTheme="majorHAnsi" w:hAnsiTheme="majorHAnsi" w:cstheme="majorHAnsi"/>
                <w:color w:val="000000"/>
                <w:sz w:val="26"/>
                <w:szCs w:val="26"/>
              </w:rPr>
              <w:t>mặt</w:t>
            </w:r>
            <w:proofErr w:type="spellEnd"/>
            <w:r w:rsidRPr="003A4A60">
              <w:rPr>
                <w:rFonts w:asciiTheme="majorHAnsi" w:hAnsiTheme="majorHAnsi" w:cstheme="majorHAnsi"/>
                <w:color w:val="000000"/>
                <w:sz w:val="26"/>
                <w:szCs w:val="26"/>
              </w:rPr>
              <w:t xml:space="preserve"> </w:t>
            </w:r>
            <w:proofErr w:type="spellStart"/>
            <w:r w:rsidRPr="003A4A60">
              <w:rPr>
                <w:rFonts w:asciiTheme="majorHAnsi" w:hAnsiTheme="majorHAnsi" w:cstheme="majorHAnsi"/>
                <w:color w:val="000000"/>
                <w:sz w:val="26"/>
                <w:szCs w:val="26"/>
              </w:rPr>
              <w:t>hàng</w:t>
            </w:r>
            <w:proofErr w:type="spellEnd"/>
          </w:p>
        </w:tc>
        <w:tc>
          <w:tcPr>
            <w:tcW w:w="1408" w:type="pct"/>
            <w:tcBorders>
              <w:top w:val="single" w:sz="4" w:space="0" w:color="auto"/>
              <w:left w:val="nil"/>
              <w:bottom w:val="single" w:sz="4" w:space="0" w:color="auto"/>
              <w:right w:val="single" w:sz="4" w:space="0" w:color="auto"/>
            </w:tcBorders>
          </w:tcPr>
          <w:p w:rsidR="00E26351" w:rsidRPr="003A4A60" w:rsidRDefault="00E26351" w:rsidP="00E26351">
            <w:pPr>
              <w:jc w:val="center"/>
              <w:rPr>
                <w:rFonts w:asciiTheme="majorHAnsi" w:hAnsiTheme="majorHAnsi" w:cstheme="majorHAnsi"/>
                <w:color w:val="000000"/>
                <w:sz w:val="26"/>
                <w:szCs w:val="26"/>
              </w:rPr>
            </w:pPr>
            <w:proofErr w:type="spellStart"/>
            <w:r w:rsidRPr="003A4A60">
              <w:rPr>
                <w:rFonts w:asciiTheme="majorHAnsi" w:hAnsiTheme="majorHAnsi" w:cstheme="majorHAnsi"/>
                <w:color w:val="000000"/>
                <w:sz w:val="26"/>
                <w:szCs w:val="26"/>
              </w:rPr>
              <w:t>Giá</w:t>
            </w:r>
            <w:proofErr w:type="spellEnd"/>
            <w:r w:rsidRPr="003A4A60">
              <w:rPr>
                <w:rFonts w:asciiTheme="majorHAnsi" w:hAnsiTheme="majorHAnsi" w:cstheme="majorHAnsi"/>
                <w:color w:val="000000"/>
                <w:sz w:val="26"/>
                <w:szCs w:val="26"/>
              </w:rPr>
              <w:t xml:space="preserve"> </w:t>
            </w:r>
            <w:proofErr w:type="spellStart"/>
            <w:r w:rsidRPr="003A4A60">
              <w:rPr>
                <w:rFonts w:asciiTheme="majorHAnsi" w:hAnsiTheme="majorHAnsi" w:cstheme="majorHAnsi"/>
                <w:color w:val="000000"/>
                <w:sz w:val="26"/>
                <w:szCs w:val="26"/>
              </w:rPr>
              <w:t>trị</w:t>
            </w:r>
            <w:proofErr w:type="spellEnd"/>
            <w:r w:rsidRPr="003A4A60">
              <w:rPr>
                <w:rFonts w:asciiTheme="majorHAnsi" w:hAnsiTheme="majorHAnsi" w:cstheme="majorHAnsi"/>
                <w:color w:val="000000"/>
                <w:sz w:val="26"/>
                <w:szCs w:val="26"/>
              </w:rPr>
              <w:t xml:space="preserve"> </w:t>
            </w:r>
            <w:proofErr w:type="spellStart"/>
            <w:r w:rsidRPr="003A4A60">
              <w:rPr>
                <w:rFonts w:asciiTheme="majorHAnsi" w:hAnsiTheme="majorHAnsi" w:cstheme="majorHAnsi"/>
                <w:color w:val="000000"/>
                <w:sz w:val="26"/>
                <w:szCs w:val="26"/>
              </w:rPr>
              <w:t>nhập</w:t>
            </w:r>
            <w:proofErr w:type="spellEnd"/>
            <w:r w:rsidRPr="003A4A60">
              <w:rPr>
                <w:rFonts w:asciiTheme="majorHAnsi" w:hAnsiTheme="majorHAnsi" w:cstheme="majorHAnsi"/>
                <w:color w:val="000000"/>
                <w:sz w:val="26"/>
                <w:szCs w:val="26"/>
              </w:rPr>
              <w:t xml:space="preserve"> </w:t>
            </w:r>
            <w:proofErr w:type="spellStart"/>
            <w:r w:rsidRPr="003A4A60">
              <w:rPr>
                <w:rFonts w:asciiTheme="majorHAnsi" w:hAnsiTheme="majorHAnsi" w:cstheme="majorHAnsi"/>
                <w:color w:val="000000"/>
                <w:sz w:val="26"/>
                <w:szCs w:val="26"/>
              </w:rPr>
              <w:t>khẩu</w:t>
            </w:r>
            <w:proofErr w:type="spellEnd"/>
            <w:r w:rsidRPr="003A4A60">
              <w:rPr>
                <w:rFonts w:asciiTheme="majorHAnsi" w:hAnsiTheme="majorHAnsi" w:cstheme="majorHAnsi"/>
                <w:color w:val="000000"/>
                <w:sz w:val="26"/>
                <w:szCs w:val="26"/>
              </w:rPr>
              <w:t xml:space="preserve"> </w:t>
            </w:r>
            <w:proofErr w:type="spellStart"/>
            <w:r>
              <w:rPr>
                <w:rFonts w:asciiTheme="majorHAnsi" w:hAnsiTheme="majorHAnsi" w:cstheme="majorHAnsi"/>
                <w:color w:val="000000"/>
                <w:sz w:val="26"/>
                <w:szCs w:val="26"/>
              </w:rPr>
              <w:t>năm</w:t>
            </w:r>
            <w:proofErr w:type="spellEnd"/>
            <w:r>
              <w:rPr>
                <w:rFonts w:asciiTheme="majorHAnsi" w:hAnsiTheme="majorHAnsi" w:cstheme="majorHAnsi"/>
                <w:color w:val="000000"/>
                <w:sz w:val="26"/>
                <w:szCs w:val="26"/>
              </w:rPr>
              <w:t xml:space="preserve"> 2016</w:t>
            </w:r>
          </w:p>
          <w:p w:rsidR="00E26351" w:rsidRPr="003A4A60" w:rsidRDefault="00E26351" w:rsidP="00E26351">
            <w:pPr>
              <w:jc w:val="center"/>
              <w:rPr>
                <w:rFonts w:asciiTheme="majorHAnsi" w:hAnsiTheme="majorHAnsi" w:cstheme="majorHAnsi"/>
                <w:color w:val="000000"/>
                <w:sz w:val="26"/>
                <w:szCs w:val="26"/>
              </w:rPr>
            </w:pPr>
            <w:r w:rsidRPr="003A4A60">
              <w:rPr>
                <w:rFonts w:asciiTheme="majorHAnsi" w:hAnsiTheme="majorHAnsi" w:cstheme="majorHAnsi"/>
                <w:color w:val="000000"/>
                <w:sz w:val="26"/>
                <w:szCs w:val="26"/>
              </w:rPr>
              <w:t>(</w:t>
            </w:r>
            <w:proofErr w:type="spellStart"/>
            <w:r w:rsidRPr="003A4A60">
              <w:rPr>
                <w:rFonts w:asciiTheme="majorHAnsi" w:hAnsiTheme="majorHAnsi" w:cstheme="majorHAnsi"/>
                <w:i/>
                <w:color w:val="000000"/>
                <w:sz w:val="26"/>
                <w:szCs w:val="26"/>
              </w:rPr>
              <w:t>triệu</w:t>
            </w:r>
            <w:proofErr w:type="spellEnd"/>
            <w:r w:rsidRPr="003A4A60">
              <w:rPr>
                <w:rFonts w:asciiTheme="majorHAnsi" w:hAnsiTheme="majorHAnsi" w:cstheme="majorHAnsi"/>
                <w:i/>
                <w:color w:val="000000"/>
                <w:sz w:val="26"/>
                <w:szCs w:val="26"/>
              </w:rPr>
              <w:t xml:space="preserve"> USD</w:t>
            </w:r>
            <w:r w:rsidRPr="003A4A60">
              <w:rPr>
                <w:rFonts w:asciiTheme="majorHAnsi" w:hAnsiTheme="majorHAnsi" w:cstheme="majorHAnsi"/>
                <w:color w:val="000000"/>
                <w:sz w:val="26"/>
                <w:szCs w:val="26"/>
              </w:rPr>
              <w:t>)</w:t>
            </w: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351" w:rsidRPr="003A4A60" w:rsidRDefault="00E26351" w:rsidP="00245E9E">
            <w:pPr>
              <w:jc w:val="center"/>
              <w:rPr>
                <w:rFonts w:asciiTheme="majorHAnsi" w:hAnsiTheme="majorHAnsi" w:cstheme="majorHAnsi"/>
                <w:color w:val="000000"/>
                <w:sz w:val="26"/>
                <w:szCs w:val="26"/>
              </w:rPr>
            </w:pPr>
            <w:proofErr w:type="spellStart"/>
            <w:r w:rsidRPr="003A4A60">
              <w:rPr>
                <w:rFonts w:asciiTheme="majorHAnsi" w:hAnsiTheme="majorHAnsi" w:cstheme="majorHAnsi"/>
                <w:color w:val="000000"/>
                <w:sz w:val="26"/>
                <w:szCs w:val="26"/>
              </w:rPr>
              <w:t>Giá</w:t>
            </w:r>
            <w:proofErr w:type="spellEnd"/>
            <w:r w:rsidRPr="003A4A60">
              <w:rPr>
                <w:rFonts w:asciiTheme="majorHAnsi" w:hAnsiTheme="majorHAnsi" w:cstheme="majorHAnsi"/>
                <w:color w:val="000000"/>
                <w:sz w:val="26"/>
                <w:szCs w:val="26"/>
              </w:rPr>
              <w:t xml:space="preserve"> </w:t>
            </w:r>
            <w:proofErr w:type="spellStart"/>
            <w:r w:rsidRPr="003A4A60">
              <w:rPr>
                <w:rFonts w:asciiTheme="majorHAnsi" w:hAnsiTheme="majorHAnsi" w:cstheme="majorHAnsi"/>
                <w:color w:val="000000"/>
                <w:sz w:val="26"/>
                <w:szCs w:val="26"/>
              </w:rPr>
              <w:t>trị</w:t>
            </w:r>
            <w:proofErr w:type="spellEnd"/>
            <w:r w:rsidRPr="003A4A60">
              <w:rPr>
                <w:rFonts w:asciiTheme="majorHAnsi" w:hAnsiTheme="majorHAnsi" w:cstheme="majorHAnsi"/>
                <w:color w:val="000000"/>
                <w:sz w:val="26"/>
                <w:szCs w:val="26"/>
              </w:rPr>
              <w:t xml:space="preserve"> </w:t>
            </w:r>
            <w:proofErr w:type="spellStart"/>
            <w:r w:rsidRPr="003A4A60">
              <w:rPr>
                <w:rFonts w:asciiTheme="majorHAnsi" w:hAnsiTheme="majorHAnsi" w:cstheme="majorHAnsi"/>
                <w:color w:val="000000"/>
                <w:sz w:val="26"/>
                <w:szCs w:val="26"/>
              </w:rPr>
              <w:t>nhập</w:t>
            </w:r>
            <w:proofErr w:type="spellEnd"/>
            <w:r w:rsidRPr="003A4A60">
              <w:rPr>
                <w:rFonts w:asciiTheme="majorHAnsi" w:hAnsiTheme="majorHAnsi" w:cstheme="majorHAnsi"/>
                <w:color w:val="000000"/>
                <w:sz w:val="26"/>
                <w:szCs w:val="26"/>
              </w:rPr>
              <w:t xml:space="preserve"> </w:t>
            </w:r>
            <w:proofErr w:type="spellStart"/>
            <w:r w:rsidRPr="003A4A60">
              <w:rPr>
                <w:rFonts w:asciiTheme="majorHAnsi" w:hAnsiTheme="majorHAnsi" w:cstheme="majorHAnsi"/>
                <w:color w:val="000000"/>
                <w:sz w:val="26"/>
                <w:szCs w:val="26"/>
              </w:rPr>
              <w:t>khẩu</w:t>
            </w:r>
            <w:proofErr w:type="spellEnd"/>
            <w:r w:rsidRPr="003A4A60">
              <w:rPr>
                <w:rFonts w:asciiTheme="majorHAnsi" w:hAnsiTheme="majorHAnsi" w:cstheme="majorHAnsi"/>
                <w:color w:val="000000"/>
                <w:sz w:val="26"/>
                <w:szCs w:val="26"/>
              </w:rPr>
              <w:t xml:space="preserve"> </w:t>
            </w:r>
            <w:proofErr w:type="spellStart"/>
            <w:r w:rsidRPr="003A4A60">
              <w:rPr>
                <w:rFonts w:asciiTheme="majorHAnsi" w:hAnsiTheme="majorHAnsi" w:cstheme="majorHAnsi"/>
                <w:color w:val="000000"/>
                <w:sz w:val="26"/>
                <w:szCs w:val="26"/>
              </w:rPr>
              <w:t>năm</w:t>
            </w:r>
            <w:proofErr w:type="spellEnd"/>
            <w:r w:rsidRPr="003A4A60">
              <w:rPr>
                <w:rFonts w:asciiTheme="majorHAnsi" w:hAnsiTheme="majorHAnsi" w:cstheme="majorHAnsi"/>
                <w:color w:val="000000"/>
                <w:sz w:val="26"/>
                <w:szCs w:val="26"/>
              </w:rPr>
              <w:t xml:space="preserve"> 2017</w:t>
            </w:r>
          </w:p>
          <w:p w:rsidR="00E26351" w:rsidRPr="003A4A60" w:rsidRDefault="00E26351" w:rsidP="00245E9E">
            <w:pPr>
              <w:jc w:val="center"/>
              <w:rPr>
                <w:rFonts w:asciiTheme="majorHAnsi" w:hAnsiTheme="majorHAnsi" w:cstheme="majorHAnsi"/>
                <w:color w:val="000000"/>
                <w:sz w:val="26"/>
                <w:szCs w:val="26"/>
              </w:rPr>
            </w:pPr>
            <w:r w:rsidRPr="003A4A60">
              <w:rPr>
                <w:rFonts w:asciiTheme="majorHAnsi" w:hAnsiTheme="majorHAnsi" w:cstheme="majorHAnsi"/>
                <w:color w:val="000000"/>
                <w:sz w:val="26"/>
                <w:szCs w:val="26"/>
              </w:rPr>
              <w:t>(</w:t>
            </w:r>
            <w:proofErr w:type="spellStart"/>
            <w:r w:rsidRPr="003A4A60">
              <w:rPr>
                <w:rFonts w:asciiTheme="majorHAnsi" w:hAnsiTheme="majorHAnsi" w:cstheme="majorHAnsi"/>
                <w:i/>
                <w:color w:val="000000"/>
                <w:sz w:val="26"/>
                <w:szCs w:val="26"/>
              </w:rPr>
              <w:t>triệu</w:t>
            </w:r>
            <w:proofErr w:type="spellEnd"/>
            <w:r w:rsidRPr="003A4A60">
              <w:rPr>
                <w:rFonts w:asciiTheme="majorHAnsi" w:hAnsiTheme="majorHAnsi" w:cstheme="majorHAnsi"/>
                <w:i/>
                <w:color w:val="000000"/>
                <w:sz w:val="26"/>
                <w:szCs w:val="26"/>
              </w:rPr>
              <w:t xml:space="preserve"> USD</w:t>
            </w:r>
            <w:r w:rsidRPr="003A4A60">
              <w:rPr>
                <w:rFonts w:asciiTheme="majorHAnsi" w:hAnsiTheme="majorHAnsi" w:cstheme="majorHAnsi"/>
                <w:color w:val="000000"/>
                <w:sz w:val="26"/>
                <w:szCs w:val="26"/>
              </w:rPr>
              <w:t>)</w:t>
            </w:r>
          </w:p>
        </w:tc>
      </w:tr>
      <w:tr w:rsidR="00E26351" w:rsidRPr="003A4A60" w:rsidTr="00E26351">
        <w:trPr>
          <w:trHeight w:val="300"/>
        </w:trPr>
        <w:tc>
          <w:tcPr>
            <w:tcW w:w="2110" w:type="pct"/>
            <w:tcBorders>
              <w:top w:val="nil"/>
              <w:left w:val="single" w:sz="4" w:space="0" w:color="auto"/>
              <w:bottom w:val="single" w:sz="4" w:space="0" w:color="auto"/>
              <w:right w:val="single" w:sz="4" w:space="0" w:color="auto"/>
            </w:tcBorders>
            <w:shd w:val="clear" w:color="auto" w:fill="auto"/>
            <w:noWrap/>
            <w:vAlign w:val="bottom"/>
            <w:hideMark/>
          </w:tcPr>
          <w:p w:rsidR="00E26351" w:rsidRPr="003A4A60" w:rsidRDefault="00E26351" w:rsidP="00245E9E">
            <w:pPr>
              <w:rPr>
                <w:rFonts w:asciiTheme="majorHAnsi" w:hAnsiTheme="majorHAnsi" w:cstheme="majorHAnsi"/>
                <w:bCs/>
                <w:color w:val="000000"/>
                <w:sz w:val="26"/>
                <w:szCs w:val="26"/>
              </w:rPr>
            </w:pPr>
            <w:proofErr w:type="spellStart"/>
            <w:r w:rsidRPr="003A4A60">
              <w:rPr>
                <w:rFonts w:asciiTheme="majorHAnsi" w:hAnsiTheme="majorHAnsi" w:cstheme="majorHAnsi"/>
                <w:bCs/>
                <w:color w:val="000000"/>
                <w:sz w:val="26"/>
                <w:szCs w:val="26"/>
              </w:rPr>
              <w:t>Máy</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móc</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thiết</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bị</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dụng</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cụ</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và</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phụ</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tùng</w:t>
            </w:r>
            <w:proofErr w:type="spellEnd"/>
          </w:p>
        </w:tc>
        <w:tc>
          <w:tcPr>
            <w:tcW w:w="1408" w:type="pct"/>
            <w:tcBorders>
              <w:top w:val="single" w:sz="4" w:space="0" w:color="auto"/>
              <w:left w:val="nil"/>
              <w:bottom w:val="single" w:sz="4" w:space="0" w:color="auto"/>
              <w:right w:val="single" w:sz="4" w:space="0" w:color="auto"/>
            </w:tcBorders>
          </w:tcPr>
          <w:p w:rsidR="00E26351" w:rsidRDefault="00E26351" w:rsidP="00245E9E">
            <w:pPr>
              <w:jc w:val="center"/>
              <w:rPr>
                <w:rFonts w:asciiTheme="majorHAnsi" w:hAnsiTheme="majorHAnsi" w:cstheme="majorHAnsi"/>
                <w:color w:val="000000"/>
                <w:sz w:val="26"/>
                <w:szCs w:val="26"/>
              </w:rPr>
            </w:pPr>
          </w:p>
          <w:p w:rsidR="00E26351" w:rsidRPr="003A4A60" w:rsidRDefault="00E26351" w:rsidP="00245E9E">
            <w:pPr>
              <w:jc w:val="center"/>
              <w:rPr>
                <w:rFonts w:asciiTheme="majorHAnsi" w:hAnsiTheme="majorHAnsi" w:cstheme="majorHAnsi"/>
                <w:color w:val="000000"/>
                <w:sz w:val="26"/>
                <w:szCs w:val="26"/>
              </w:rPr>
            </w:pPr>
            <w:r>
              <w:rPr>
                <w:rFonts w:asciiTheme="majorHAnsi" w:hAnsiTheme="majorHAnsi" w:cstheme="majorHAnsi"/>
                <w:color w:val="000000"/>
                <w:sz w:val="26"/>
                <w:szCs w:val="26"/>
              </w:rPr>
              <w:t>306,2</w:t>
            </w:r>
          </w:p>
        </w:tc>
        <w:tc>
          <w:tcPr>
            <w:tcW w:w="1483" w:type="pct"/>
            <w:tcBorders>
              <w:top w:val="nil"/>
              <w:left w:val="single" w:sz="4" w:space="0" w:color="auto"/>
              <w:bottom w:val="single" w:sz="4" w:space="0" w:color="auto"/>
              <w:right w:val="single" w:sz="4" w:space="0" w:color="auto"/>
            </w:tcBorders>
            <w:shd w:val="clear" w:color="auto" w:fill="auto"/>
            <w:noWrap/>
            <w:vAlign w:val="bottom"/>
            <w:hideMark/>
          </w:tcPr>
          <w:p w:rsidR="00E26351" w:rsidRPr="003A4A60" w:rsidRDefault="00E26351" w:rsidP="00245E9E">
            <w:pPr>
              <w:jc w:val="center"/>
              <w:rPr>
                <w:rFonts w:asciiTheme="majorHAnsi" w:hAnsiTheme="majorHAnsi" w:cstheme="majorHAnsi"/>
                <w:color w:val="000000"/>
                <w:sz w:val="26"/>
                <w:szCs w:val="26"/>
              </w:rPr>
            </w:pPr>
            <w:r w:rsidRPr="003A4A60">
              <w:rPr>
                <w:rFonts w:asciiTheme="majorHAnsi" w:hAnsiTheme="majorHAnsi" w:cstheme="majorHAnsi"/>
                <w:color w:val="000000"/>
                <w:sz w:val="26"/>
                <w:szCs w:val="26"/>
              </w:rPr>
              <w:t>275,5</w:t>
            </w:r>
          </w:p>
        </w:tc>
      </w:tr>
      <w:tr w:rsidR="00E26351" w:rsidRPr="003A4A60" w:rsidTr="00E26351">
        <w:trPr>
          <w:trHeight w:val="300"/>
        </w:trPr>
        <w:tc>
          <w:tcPr>
            <w:tcW w:w="2110" w:type="pct"/>
            <w:tcBorders>
              <w:top w:val="nil"/>
              <w:left w:val="single" w:sz="4" w:space="0" w:color="auto"/>
              <w:bottom w:val="single" w:sz="4" w:space="0" w:color="auto"/>
              <w:right w:val="single" w:sz="4" w:space="0" w:color="auto"/>
            </w:tcBorders>
            <w:shd w:val="clear" w:color="auto" w:fill="auto"/>
            <w:noWrap/>
            <w:vAlign w:val="bottom"/>
          </w:tcPr>
          <w:p w:rsidR="00E26351" w:rsidRPr="003A4A60" w:rsidRDefault="00E26351" w:rsidP="00245E9E">
            <w:pPr>
              <w:rPr>
                <w:rFonts w:asciiTheme="majorHAnsi" w:hAnsiTheme="majorHAnsi" w:cstheme="majorHAnsi"/>
                <w:bCs/>
                <w:color w:val="000000"/>
                <w:sz w:val="26"/>
                <w:szCs w:val="26"/>
              </w:rPr>
            </w:pPr>
            <w:proofErr w:type="spellStart"/>
            <w:r w:rsidRPr="003A4A60">
              <w:rPr>
                <w:rFonts w:asciiTheme="majorHAnsi" w:hAnsiTheme="majorHAnsi" w:cstheme="majorHAnsi"/>
                <w:bCs/>
                <w:color w:val="000000"/>
                <w:sz w:val="26"/>
                <w:szCs w:val="26"/>
              </w:rPr>
              <w:t>Vải</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các</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loại</w:t>
            </w:r>
            <w:proofErr w:type="spellEnd"/>
          </w:p>
        </w:tc>
        <w:tc>
          <w:tcPr>
            <w:tcW w:w="1408" w:type="pct"/>
            <w:tcBorders>
              <w:top w:val="single" w:sz="4" w:space="0" w:color="auto"/>
              <w:left w:val="nil"/>
              <w:bottom w:val="single" w:sz="4" w:space="0" w:color="auto"/>
              <w:right w:val="single" w:sz="4" w:space="0" w:color="auto"/>
            </w:tcBorders>
          </w:tcPr>
          <w:p w:rsidR="00E26351" w:rsidRPr="003A4A60" w:rsidRDefault="00E26351" w:rsidP="00245E9E">
            <w:pPr>
              <w:jc w:val="center"/>
              <w:rPr>
                <w:rFonts w:asciiTheme="majorHAnsi" w:hAnsiTheme="majorHAnsi" w:cstheme="majorHAnsi"/>
                <w:color w:val="000000"/>
                <w:sz w:val="26"/>
                <w:szCs w:val="26"/>
              </w:rPr>
            </w:pPr>
            <w:r>
              <w:rPr>
                <w:rFonts w:asciiTheme="majorHAnsi" w:hAnsiTheme="majorHAnsi" w:cstheme="majorHAnsi"/>
                <w:color w:val="000000"/>
                <w:sz w:val="26"/>
                <w:szCs w:val="26"/>
              </w:rPr>
              <w:t>227,3</w:t>
            </w:r>
          </w:p>
        </w:tc>
        <w:tc>
          <w:tcPr>
            <w:tcW w:w="1483" w:type="pct"/>
            <w:tcBorders>
              <w:top w:val="nil"/>
              <w:left w:val="single" w:sz="4" w:space="0" w:color="auto"/>
              <w:bottom w:val="single" w:sz="4" w:space="0" w:color="auto"/>
              <w:right w:val="single" w:sz="4" w:space="0" w:color="auto"/>
            </w:tcBorders>
            <w:shd w:val="clear" w:color="auto" w:fill="auto"/>
            <w:noWrap/>
            <w:vAlign w:val="bottom"/>
          </w:tcPr>
          <w:p w:rsidR="00E26351" w:rsidRPr="003A4A60" w:rsidRDefault="00E26351" w:rsidP="00245E9E">
            <w:pPr>
              <w:jc w:val="center"/>
              <w:rPr>
                <w:rFonts w:asciiTheme="majorHAnsi" w:hAnsiTheme="majorHAnsi" w:cstheme="majorHAnsi"/>
                <w:color w:val="000000"/>
                <w:sz w:val="26"/>
                <w:szCs w:val="26"/>
              </w:rPr>
            </w:pPr>
            <w:r w:rsidRPr="003A4A60">
              <w:rPr>
                <w:rFonts w:asciiTheme="majorHAnsi" w:hAnsiTheme="majorHAnsi" w:cstheme="majorHAnsi"/>
                <w:color w:val="000000"/>
                <w:sz w:val="26"/>
                <w:szCs w:val="26"/>
              </w:rPr>
              <w:t>242,3</w:t>
            </w:r>
          </w:p>
        </w:tc>
      </w:tr>
      <w:tr w:rsidR="00E26351" w:rsidRPr="003A4A60" w:rsidTr="00E26351">
        <w:trPr>
          <w:trHeight w:val="300"/>
        </w:trPr>
        <w:tc>
          <w:tcPr>
            <w:tcW w:w="2110" w:type="pct"/>
            <w:tcBorders>
              <w:top w:val="nil"/>
              <w:left w:val="single" w:sz="4" w:space="0" w:color="auto"/>
              <w:bottom w:val="single" w:sz="4" w:space="0" w:color="auto"/>
              <w:right w:val="single" w:sz="4" w:space="0" w:color="auto"/>
            </w:tcBorders>
            <w:shd w:val="clear" w:color="auto" w:fill="auto"/>
            <w:noWrap/>
            <w:vAlign w:val="bottom"/>
          </w:tcPr>
          <w:p w:rsidR="00E26351" w:rsidRPr="003A4A60" w:rsidRDefault="00E26351" w:rsidP="00245E9E">
            <w:pPr>
              <w:rPr>
                <w:rFonts w:asciiTheme="majorHAnsi" w:hAnsiTheme="majorHAnsi" w:cstheme="majorHAnsi"/>
                <w:bCs/>
                <w:color w:val="000000"/>
                <w:sz w:val="26"/>
                <w:szCs w:val="26"/>
              </w:rPr>
            </w:pPr>
            <w:proofErr w:type="spellStart"/>
            <w:r w:rsidRPr="003A4A60">
              <w:rPr>
                <w:rFonts w:asciiTheme="majorHAnsi" w:hAnsiTheme="majorHAnsi" w:cstheme="majorHAnsi"/>
                <w:bCs/>
                <w:color w:val="000000"/>
                <w:sz w:val="26"/>
                <w:szCs w:val="26"/>
              </w:rPr>
              <w:t>Nguyên</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phụ</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liệu</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dệt</w:t>
            </w:r>
            <w:proofErr w:type="spellEnd"/>
            <w:r w:rsidRPr="003A4A60">
              <w:rPr>
                <w:rFonts w:asciiTheme="majorHAnsi" w:hAnsiTheme="majorHAnsi" w:cstheme="majorHAnsi"/>
                <w:bCs/>
                <w:color w:val="000000"/>
                <w:sz w:val="26"/>
                <w:szCs w:val="26"/>
              </w:rPr>
              <w:t xml:space="preserve">, may, da, </w:t>
            </w:r>
            <w:proofErr w:type="spellStart"/>
            <w:r w:rsidRPr="003A4A60">
              <w:rPr>
                <w:rFonts w:asciiTheme="majorHAnsi" w:hAnsiTheme="majorHAnsi" w:cstheme="majorHAnsi"/>
                <w:bCs/>
                <w:color w:val="000000"/>
                <w:sz w:val="26"/>
                <w:szCs w:val="26"/>
              </w:rPr>
              <w:t>giày</w:t>
            </w:r>
            <w:proofErr w:type="spellEnd"/>
          </w:p>
        </w:tc>
        <w:tc>
          <w:tcPr>
            <w:tcW w:w="1408" w:type="pct"/>
            <w:tcBorders>
              <w:top w:val="single" w:sz="4" w:space="0" w:color="auto"/>
              <w:left w:val="nil"/>
              <w:bottom w:val="single" w:sz="4" w:space="0" w:color="auto"/>
              <w:right w:val="single" w:sz="4" w:space="0" w:color="auto"/>
            </w:tcBorders>
          </w:tcPr>
          <w:p w:rsidR="00E26351" w:rsidRDefault="00E26351" w:rsidP="00245E9E">
            <w:pPr>
              <w:jc w:val="center"/>
              <w:rPr>
                <w:rFonts w:asciiTheme="majorHAnsi" w:hAnsiTheme="majorHAnsi" w:cstheme="majorHAnsi"/>
                <w:color w:val="000000"/>
                <w:sz w:val="26"/>
                <w:szCs w:val="26"/>
              </w:rPr>
            </w:pPr>
          </w:p>
          <w:p w:rsidR="00E26351" w:rsidRPr="003A4A60" w:rsidRDefault="00E26351" w:rsidP="00245E9E">
            <w:pPr>
              <w:jc w:val="center"/>
              <w:rPr>
                <w:rFonts w:asciiTheme="majorHAnsi" w:hAnsiTheme="majorHAnsi" w:cstheme="majorHAnsi"/>
                <w:color w:val="000000"/>
                <w:sz w:val="26"/>
                <w:szCs w:val="26"/>
              </w:rPr>
            </w:pPr>
            <w:r>
              <w:rPr>
                <w:rFonts w:asciiTheme="majorHAnsi" w:hAnsiTheme="majorHAnsi" w:cstheme="majorHAnsi"/>
                <w:color w:val="000000"/>
                <w:sz w:val="26"/>
                <w:szCs w:val="26"/>
              </w:rPr>
              <w:t>207,9</w:t>
            </w:r>
          </w:p>
        </w:tc>
        <w:tc>
          <w:tcPr>
            <w:tcW w:w="1483" w:type="pct"/>
            <w:tcBorders>
              <w:top w:val="nil"/>
              <w:left w:val="single" w:sz="4" w:space="0" w:color="auto"/>
              <w:bottom w:val="single" w:sz="4" w:space="0" w:color="auto"/>
              <w:right w:val="single" w:sz="4" w:space="0" w:color="auto"/>
            </w:tcBorders>
            <w:shd w:val="clear" w:color="auto" w:fill="auto"/>
            <w:noWrap/>
            <w:vAlign w:val="bottom"/>
          </w:tcPr>
          <w:p w:rsidR="00E26351" w:rsidRPr="003A4A60" w:rsidRDefault="00E26351" w:rsidP="00245E9E">
            <w:pPr>
              <w:jc w:val="center"/>
              <w:rPr>
                <w:rFonts w:asciiTheme="majorHAnsi" w:hAnsiTheme="majorHAnsi" w:cstheme="majorHAnsi"/>
                <w:color w:val="000000"/>
                <w:sz w:val="26"/>
                <w:szCs w:val="26"/>
              </w:rPr>
            </w:pPr>
            <w:r w:rsidRPr="003A4A60">
              <w:rPr>
                <w:rFonts w:asciiTheme="majorHAnsi" w:hAnsiTheme="majorHAnsi" w:cstheme="majorHAnsi"/>
                <w:color w:val="000000"/>
                <w:sz w:val="26"/>
                <w:szCs w:val="26"/>
              </w:rPr>
              <w:t>215,1</w:t>
            </w:r>
          </w:p>
        </w:tc>
      </w:tr>
      <w:tr w:rsidR="00E26351" w:rsidRPr="003A4A60" w:rsidTr="00E26351">
        <w:trPr>
          <w:trHeight w:val="300"/>
        </w:trPr>
        <w:tc>
          <w:tcPr>
            <w:tcW w:w="2110" w:type="pct"/>
            <w:tcBorders>
              <w:top w:val="nil"/>
              <w:left w:val="single" w:sz="4" w:space="0" w:color="auto"/>
              <w:bottom w:val="single" w:sz="4" w:space="0" w:color="auto"/>
              <w:right w:val="single" w:sz="4" w:space="0" w:color="auto"/>
            </w:tcBorders>
            <w:shd w:val="clear" w:color="auto" w:fill="auto"/>
            <w:noWrap/>
            <w:vAlign w:val="bottom"/>
            <w:hideMark/>
          </w:tcPr>
          <w:p w:rsidR="00E26351" w:rsidRPr="003A4A60" w:rsidRDefault="00E26351" w:rsidP="00245E9E">
            <w:pPr>
              <w:rPr>
                <w:rFonts w:asciiTheme="majorHAnsi" w:hAnsiTheme="majorHAnsi" w:cstheme="majorHAnsi"/>
                <w:bCs/>
                <w:color w:val="000000"/>
                <w:sz w:val="26"/>
                <w:szCs w:val="26"/>
                <w:lang w:val="vi-VN"/>
              </w:rPr>
            </w:pPr>
            <w:proofErr w:type="spellStart"/>
            <w:r w:rsidRPr="003A4A60">
              <w:rPr>
                <w:rFonts w:asciiTheme="majorHAnsi" w:hAnsiTheme="majorHAnsi" w:cstheme="majorHAnsi"/>
                <w:bCs/>
                <w:color w:val="000000"/>
                <w:sz w:val="26"/>
                <w:szCs w:val="26"/>
              </w:rPr>
              <w:t>Phế</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liệu</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sắt</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thép</w:t>
            </w:r>
            <w:proofErr w:type="spellEnd"/>
          </w:p>
        </w:tc>
        <w:tc>
          <w:tcPr>
            <w:tcW w:w="1408" w:type="pct"/>
            <w:tcBorders>
              <w:top w:val="single" w:sz="4" w:space="0" w:color="auto"/>
              <w:left w:val="nil"/>
              <w:bottom w:val="single" w:sz="4" w:space="0" w:color="auto"/>
              <w:right w:val="single" w:sz="4" w:space="0" w:color="auto"/>
            </w:tcBorders>
          </w:tcPr>
          <w:p w:rsidR="00E26351" w:rsidRPr="003A4A60" w:rsidRDefault="00E26351" w:rsidP="00245E9E">
            <w:pPr>
              <w:jc w:val="center"/>
              <w:rPr>
                <w:rFonts w:asciiTheme="majorHAnsi" w:hAnsiTheme="majorHAnsi" w:cstheme="majorHAnsi"/>
                <w:color w:val="000000"/>
                <w:sz w:val="26"/>
                <w:szCs w:val="26"/>
              </w:rPr>
            </w:pPr>
            <w:r>
              <w:rPr>
                <w:rFonts w:asciiTheme="majorHAnsi" w:hAnsiTheme="majorHAnsi" w:cstheme="majorHAnsi"/>
                <w:color w:val="000000"/>
                <w:sz w:val="26"/>
                <w:szCs w:val="26"/>
              </w:rPr>
              <w:t>118,2</w:t>
            </w:r>
          </w:p>
        </w:tc>
        <w:tc>
          <w:tcPr>
            <w:tcW w:w="1483" w:type="pct"/>
            <w:tcBorders>
              <w:top w:val="nil"/>
              <w:left w:val="single" w:sz="4" w:space="0" w:color="auto"/>
              <w:bottom w:val="single" w:sz="4" w:space="0" w:color="auto"/>
              <w:right w:val="single" w:sz="4" w:space="0" w:color="auto"/>
            </w:tcBorders>
            <w:shd w:val="clear" w:color="auto" w:fill="auto"/>
            <w:noWrap/>
            <w:vAlign w:val="bottom"/>
            <w:hideMark/>
          </w:tcPr>
          <w:p w:rsidR="00E26351" w:rsidRPr="003A4A60" w:rsidRDefault="00E26351" w:rsidP="00245E9E">
            <w:pPr>
              <w:jc w:val="center"/>
              <w:rPr>
                <w:rFonts w:asciiTheme="majorHAnsi" w:hAnsiTheme="majorHAnsi" w:cstheme="majorHAnsi"/>
                <w:color w:val="000000"/>
                <w:sz w:val="26"/>
                <w:szCs w:val="26"/>
              </w:rPr>
            </w:pPr>
            <w:r w:rsidRPr="003A4A60">
              <w:rPr>
                <w:rFonts w:asciiTheme="majorHAnsi" w:hAnsiTheme="majorHAnsi" w:cstheme="majorHAnsi"/>
                <w:color w:val="000000"/>
                <w:sz w:val="26"/>
                <w:szCs w:val="26"/>
              </w:rPr>
              <w:t>201,3</w:t>
            </w:r>
          </w:p>
        </w:tc>
      </w:tr>
      <w:tr w:rsidR="00E26351" w:rsidRPr="003A4A60" w:rsidTr="00E26351">
        <w:trPr>
          <w:trHeight w:val="300"/>
        </w:trPr>
        <w:tc>
          <w:tcPr>
            <w:tcW w:w="2110" w:type="pct"/>
            <w:tcBorders>
              <w:top w:val="nil"/>
              <w:left w:val="single" w:sz="4" w:space="0" w:color="auto"/>
              <w:bottom w:val="single" w:sz="4" w:space="0" w:color="auto"/>
              <w:right w:val="single" w:sz="4" w:space="0" w:color="auto"/>
            </w:tcBorders>
            <w:shd w:val="clear" w:color="auto" w:fill="auto"/>
            <w:noWrap/>
            <w:vAlign w:val="bottom"/>
            <w:hideMark/>
          </w:tcPr>
          <w:p w:rsidR="00E26351" w:rsidRPr="003A4A60" w:rsidRDefault="00E26351" w:rsidP="00245E9E">
            <w:pPr>
              <w:rPr>
                <w:rFonts w:asciiTheme="majorHAnsi" w:hAnsiTheme="majorHAnsi" w:cstheme="majorHAnsi"/>
                <w:bCs/>
                <w:color w:val="000000"/>
                <w:sz w:val="26"/>
                <w:szCs w:val="26"/>
              </w:rPr>
            </w:pPr>
            <w:proofErr w:type="spellStart"/>
            <w:r w:rsidRPr="003A4A60">
              <w:rPr>
                <w:rFonts w:asciiTheme="majorHAnsi" w:hAnsiTheme="majorHAnsi" w:cstheme="majorHAnsi"/>
                <w:bCs/>
                <w:color w:val="000000"/>
                <w:sz w:val="26"/>
                <w:szCs w:val="26"/>
              </w:rPr>
              <w:t>Điện</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thoại</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các</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loại</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và</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linh</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kiện</w:t>
            </w:r>
            <w:proofErr w:type="spellEnd"/>
          </w:p>
        </w:tc>
        <w:tc>
          <w:tcPr>
            <w:tcW w:w="1408" w:type="pct"/>
            <w:tcBorders>
              <w:top w:val="single" w:sz="4" w:space="0" w:color="auto"/>
              <w:left w:val="nil"/>
              <w:bottom w:val="single" w:sz="4" w:space="0" w:color="auto"/>
              <w:right w:val="single" w:sz="4" w:space="0" w:color="auto"/>
            </w:tcBorders>
          </w:tcPr>
          <w:p w:rsidR="00E26351" w:rsidRPr="003A4A60" w:rsidRDefault="00E26351" w:rsidP="00245E9E">
            <w:pPr>
              <w:jc w:val="center"/>
              <w:rPr>
                <w:rFonts w:asciiTheme="majorHAnsi" w:hAnsiTheme="majorHAnsi" w:cstheme="majorHAnsi"/>
                <w:color w:val="000000"/>
                <w:sz w:val="26"/>
                <w:szCs w:val="26"/>
              </w:rPr>
            </w:pPr>
            <w:r>
              <w:rPr>
                <w:rFonts w:asciiTheme="majorHAnsi" w:hAnsiTheme="majorHAnsi" w:cstheme="majorHAnsi"/>
                <w:color w:val="000000"/>
                <w:sz w:val="26"/>
                <w:szCs w:val="26"/>
              </w:rPr>
              <w:t>165,8</w:t>
            </w:r>
          </w:p>
        </w:tc>
        <w:tc>
          <w:tcPr>
            <w:tcW w:w="1483" w:type="pct"/>
            <w:tcBorders>
              <w:top w:val="nil"/>
              <w:left w:val="single" w:sz="4" w:space="0" w:color="auto"/>
              <w:bottom w:val="single" w:sz="4" w:space="0" w:color="auto"/>
              <w:right w:val="single" w:sz="4" w:space="0" w:color="auto"/>
            </w:tcBorders>
            <w:shd w:val="clear" w:color="auto" w:fill="auto"/>
            <w:noWrap/>
            <w:vAlign w:val="bottom"/>
            <w:hideMark/>
          </w:tcPr>
          <w:p w:rsidR="00E26351" w:rsidRPr="003A4A60" w:rsidRDefault="00E26351" w:rsidP="00245E9E">
            <w:pPr>
              <w:jc w:val="center"/>
              <w:rPr>
                <w:rFonts w:asciiTheme="majorHAnsi" w:hAnsiTheme="majorHAnsi" w:cstheme="majorHAnsi"/>
                <w:color w:val="000000"/>
                <w:sz w:val="26"/>
                <w:szCs w:val="26"/>
              </w:rPr>
            </w:pPr>
            <w:r w:rsidRPr="003A4A60">
              <w:rPr>
                <w:rFonts w:asciiTheme="majorHAnsi" w:hAnsiTheme="majorHAnsi" w:cstheme="majorHAnsi"/>
                <w:color w:val="000000"/>
                <w:sz w:val="26"/>
                <w:szCs w:val="26"/>
              </w:rPr>
              <w:t>193,2</w:t>
            </w:r>
          </w:p>
        </w:tc>
      </w:tr>
      <w:tr w:rsidR="00E26351" w:rsidRPr="003A4A60" w:rsidTr="00E26351">
        <w:trPr>
          <w:trHeight w:val="300"/>
        </w:trPr>
        <w:tc>
          <w:tcPr>
            <w:tcW w:w="2110" w:type="pct"/>
            <w:tcBorders>
              <w:top w:val="nil"/>
              <w:left w:val="single" w:sz="4" w:space="0" w:color="auto"/>
              <w:bottom w:val="single" w:sz="4" w:space="0" w:color="auto"/>
              <w:right w:val="single" w:sz="4" w:space="0" w:color="auto"/>
            </w:tcBorders>
            <w:shd w:val="clear" w:color="auto" w:fill="auto"/>
            <w:noWrap/>
            <w:vAlign w:val="bottom"/>
            <w:hideMark/>
          </w:tcPr>
          <w:p w:rsidR="00E26351" w:rsidRPr="003A4A60" w:rsidRDefault="00E26351" w:rsidP="00245E9E">
            <w:pPr>
              <w:rPr>
                <w:rFonts w:asciiTheme="majorHAnsi" w:hAnsiTheme="majorHAnsi" w:cstheme="majorHAnsi"/>
                <w:bCs/>
                <w:color w:val="000000"/>
                <w:sz w:val="26"/>
                <w:szCs w:val="26"/>
                <w:lang w:val="vi-VN"/>
              </w:rPr>
            </w:pPr>
            <w:proofErr w:type="spellStart"/>
            <w:r w:rsidRPr="003A4A60">
              <w:rPr>
                <w:rFonts w:asciiTheme="majorHAnsi" w:hAnsiTheme="majorHAnsi" w:cstheme="majorHAnsi"/>
                <w:bCs/>
                <w:color w:val="000000"/>
                <w:sz w:val="26"/>
                <w:szCs w:val="26"/>
              </w:rPr>
              <w:t>Hàng</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hóa</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khác</w:t>
            </w:r>
            <w:proofErr w:type="spellEnd"/>
          </w:p>
        </w:tc>
        <w:tc>
          <w:tcPr>
            <w:tcW w:w="1408" w:type="pct"/>
            <w:tcBorders>
              <w:top w:val="single" w:sz="4" w:space="0" w:color="auto"/>
              <w:left w:val="nil"/>
              <w:bottom w:val="single" w:sz="4" w:space="0" w:color="auto"/>
              <w:right w:val="single" w:sz="4" w:space="0" w:color="auto"/>
            </w:tcBorders>
          </w:tcPr>
          <w:p w:rsidR="00E26351" w:rsidRPr="003A4A60" w:rsidRDefault="00E26351" w:rsidP="00245E9E">
            <w:pPr>
              <w:jc w:val="center"/>
              <w:rPr>
                <w:rFonts w:asciiTheme="majorHAnsi" w:hAnsiTheme="majorHAnsi" w:cstheme="majorHAnsi"/>
                <w:color w:val="000000"/>
                <w:sz w:val="26"/>
                <w:szCs w:val="26"/>
              </w:rPr>
            </w:pPr>
            <w:r>
              <w:rPr>
                <w:rFonts w:asciiTheme="majorHAnsi" w:hAnsiTheme="majorHAnsi" w:cstheme="majorHAnsi"/>
                <w:color w:val="000000"/>
                <w:sz w:val="26"/>
                <w:szCs w:val="26"/>
              </w:rPr>
              <w:t>137,6</w:t>
            </w:r>
          </w:p>
        </w:tc>
        <w:tc>
          <w:tcPr>
            <w:tcW w:w="1483" w:type="pct"/>
            <w:tcBorders>
              <w:top w:val="nil"/>
              <w:left w:val="single" w:sz="4" w:space="0" w:color="auto"/>
              <w:bottom w:val="single" w:sz="4" w:space="0" w:color="auto"/>
              <w:right w:val="single" w:sz="4" w:space="0" w:color="auto"/>
            </w:tcBorders>
            <w:shd w:val="clear" w:color="auto" w:fill="auto"/>
            <w:noWrap/>
            <w:vAlign w:val="bottom"/>
            <w:hideMark/>
          </w:tcPr>
          <w:p w:rsidR="00E26351" w:rsidRPr="003A4A60" w:rsidRDefault="00E26351" w:rsidP="00245E9E">
            <w:pPr>
              <w:jc w:val="center"/>
              <w:rPr>
                <w:rFonts w:asciiTheme="majorHAnsi" w:hAnsiTheme="majorHAnsi" w:cstheme="majorHAnsi"/>
                <w:color w:val="000000"/>
                <w:sz w:val="26"/>
                <w:szCs w:val="26"/>
              </w:rPr>
            </w:pPr>
            <w:r w:rsidRPr="003A4A60">
              <w:rPr>
                <w:rFonts w:asciiTheme="majorHAnsi" w:hAnsiTheme="majorHAnsi" w:cstheme="majorHAnsi"/>
                <w:color w:val="000000"/>
                <w:sz w:val="26"/>
                <w:szCs w:val="26"/>
              </w:rPr>
              <w:t>173,3</w:t>
            </w:r>
          </w:p>
        </w:tc>
      </w:tr>
      <w:tr w:rsidR="00E26351" w:rsidRPr="003A4A60" w:rsidTr="00E26351">
        <w:trPr>
          <w:trHeight w:val="300"/>
        </w:trPr>
        <w:tc>
          <w:tcPr>
            <w:tcW w:w="2110" w:type="pct"/>
            <w:tcBorders>
              <w:top w:val="nil"/>
              <w:left w:val="single" w:sz="4" w:space="0" w:color="auto"/>
              <w:bottom w:val="single" w:sz="4" w:space="0" w:color="auto"/>
              <w:right w:val="single" w:sz="4" w:space="0" w:color="auto"/>
            </w:tcBorders>
            <w:shd w:val="clear" w:color="auto" w:fill="auto"/>
            <w:noWrap/>
            <w:vAlign w:val="bottom"/>
            <w:hideMark/>
          </w:tcPr>
          <w:p w:rsidR="00E26351" w:rsidRPr="003A4A60" w:rsidRDefault="00E26351" w:rsidP="00245E9E">
            <w:pPr>
              <w:rPr>
                <w:rFonts w:asciiTheme="majorHAnsi" w:hAnsiTheme="majorHAnsi" w:cstheme="majorHAnsi"/>
                <w:bCs/>
                <w:color w:val="000000"/>
                <w:sz w:val="26"/>
                <w:szCs w:val="26"/>
                <w:lang w:val="vi-VN"/>
              </w:rPr>
            </w:pPr>
            <w:proofErr w:type="spellStart"/>
            <w:r w:rsidRPr="003A4A60">
              <w:rPr>
                <w:rFonts w:asciiTheme="majorHAnsi" w:hAnsiTheme="majorHAnsi" w:cstheme="majorHAnsi"/>
                <w:bCs/>
                <w:color w:val="000000"/>
                <w:sz w:val="26"/>
                <w:szCs w:val="26"/>
              </w:rPr>
              <w:t>Máy</w:t>
            </w:r>
            <w:proofErr w:type="spellEnd"/>
            <w:r w:rsidRPr="003A4A60">
              <w:rPr>
                <w:rFonts w:asciiTheme="majorHAnsi" w:hAnsiTheme="majorHAnsi" w:cstheme="majorHAnsi"/>
                <w:bCs/>
                <w:color w:val="000000"/>
                <w:sz w:val="26"/>
                <w:szCs w:val="26"/>
              </w:rPr>
              <w:t xml:space="preserve"> vi </w:t>
            </w:r>
            <w:proofErr w:type="spellStart"/>
            <w:r w:rsidRPr="003A4A60">
              <w:rPr>
                <w:rFonts w:asciiTheme="majorHAnsi" w:hAnsiTheme="majorHAnsi" w:cstheme="majorHAnsi"/>
                <w:bCs/>
                <w:color w:val="000000"/>
                <w:sz w:val="26"/>
                <w:szCs w:val="26"/>
              </w:rPr>
              <w:t>tính</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sản</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phẩm</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điện</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tử</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và</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linh</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kiện</w:t>
            </w:r>
            <w:proofErr w:type="spellEnd"/>
          </w:p>
        </w:tc>
        <w:tc>
          <w:tcPr>
            <w:tcW w:w="1408" w:type="pct"/>
            <w:tcBorders>
              <w:top w:val="single" w:sz="4" w:space="0" w:color="auto"/>
              <w:left w:val="nil"/>
              <w:bottom w:val="single" w:sz="4" w:space="0" w:color="auto"/>
              <w:right w:val="single" w:sz="4" w:space="0" w:color="auto"/>
            </w:tcBorders>
          </w:tcPr>
          <w:p w:rsidR="00E26351" w:rsidRDefault="00E26351" w:rsidP="00245E9E">
            <w:pPr>
              <w:jc w:val="center"/>
              <w:rPr>
                <w:rFonts w:asciiTheme="majorHAnsi" w:hAnsiTheme="majorHAnsi" w:cstheme="majorHAnsi"/>
                <w:color w:val="000000"/>
                <w:sz w:val="26"/>
                <w:szCs w:val="26"/>
              </w:rPr>
            </w:pPr>
          </w:p>
          <w:p w:rsidR="00E26351" w:rsidRPr="003A4A60" w:rsidRDefault="00E26351" w:rsidP="00245E9E">
            <w:pPr>
              <w:jc w:val="center"/>
              <w:rPr>
                <w:rFonts w:asciiTheme="majorHAnsi" w:hAnsiTheme="majorHAnsi" w:cstheme="majorHAnsi"/>
                <w:color w:val="000000"/>
                <w:sz w:val="26"/>
                <w:szCs w:val="26"/>
              </w:rPr>
            </w:pPr>
            <w:r>
              <w:rPr>
                <w:rFonts w:asciiTheme="majorHAnsi" w:hAnsiTheme="majorHAnsi" w:cstheme="majorHAnsi"/>
                <w:color w:val="000000"/>
                <w:sz w:val="26"/>
                <w:szCs w:val="26"/>
              </w:rPr>
              <w:t>93,4</w:t>
            </w:r>
          </w:p>
        </w:tc>
        <w:tc>
          <w:tcPr>
            <w:tcW w:w="1483" w:type="pct"/>
            <w:tcBorders>
              <w:top w:val="nil"/>
              <w:left w:val="single" w:sz="4" w:space="0" w:color="auto"/>
              <w:bottom w:val="single" w:sz="4" w:space="0" w:color="auto"/>
              <w:right w:val="single" w:sz="4" w:space="0" w:color="auto"/>
            </w:tcBorders>
            <w:shd w:val="clear" w:color="auto" w:fill="auto"/>
            <w:noWrap/>
            <w:vAlign w:val="bottom"/>
            <w:hideMark/>
          </w:tcPr>
          <w:p w:rsidR="00E26351" w:rsidRPr="003A4A60" w:rsidRDefault="00E26351" w:rsidP="00245E9E">
            <w:pPr>
              <w:jc w:val="center"/>
              <w:rPr>
                <w:rFonts w:asciiTheme="majorHAnsi" w:hAnsiTheme="majorHAnsi" w:cstheme="majorHAnsi"/>
                <w:color w:val="000000"/>
                <w:sz w:val="26"/>
                <w:szCs w:val="26"/>
              </w:rPr>
            </w:pPr>
            <w:r w:rsidRPr="003A4A60">
              <w:rPr>
                <w:rFonts w:asciiTheme="majorHAnsi" w:hAnsiTheme="majorHAnsi" w:cstheme="majorHAnsi"/>
                <w:color w:val="000000"/>
                <w:sz w:val="26"/>
                <w:szCs w:val="26"/>
              </w:rPr>
              <w:t>155,8</w:t>
            </w:r>
          </w:p>
        </w:tc>
      </w:tr>
      <w:tr w:rsidR="00E26351" w:rsidRPr="003A4A60" w:rsidTr="00E26351">
        <w:trPr>
          <w:trHeight w:val="300"/>
        </w:trPr>
        <w:tc>
          <w:tcPr>
            <w:tcW w:w="2110" w:type="pct"/>
            <w:tcBorders>
              <w:top w:val="nil"/>
              <w:left w:val="single" w:sz="4" w:space="0" w:color="auto"/>
              <w:bottom w:val="single" w:sz="4" w:space="0" w:color="auto"/>
              <w:right w:val="single" w:sz="4" w:space="0" w:color="auto"/>
            </w:tcBorders>
            <w:shd w:val="clear" w:color="auto" w:fill="auto"/>
            <w:noWrap/>
            <w:vAlign w:val="bottom"/>
          </w:tcPr>
          <w:p w:rsidR="00E26351" w:rsidRPr="003A4A60" w:rsidRDefault="00E26351" w:rsidP="00245E9E">
            <w:pPr>
              <w:rPr>
                <w:rFonts w:asciiTheme="majorHAnsi" w:hAnsiTheme="majorHAnsi" w:cstheme="majorHAnsi"/>
                <w:bCs/>
                <w:color w:val="000000"/>
                <w:sz w:val="26"/>
                <w:szCs w:val="26"/>
              </w:rPr>
            </w:pPr>
            <w:proofErr w:type="spellStart"/>
            <w:r w:rsidRPr="003A4A60">
              <w:rPr>
                <w:rFonts w:asciiTheme="majorHAnsi" w:hAnsiTheme="majorHAnsi" w:cstheme="majorHAnsi"/>
                <w:bCs/>
                <w:color w:val="000000"/>
                <w:sz w:val="26"/>
                <w:szCs w:val="26"/>
              </w:rPr>
              <w:t>Máy</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ảnh</w:t>
            </w:r>
            <w:proofErr w:type="spellEnd"/>
          </w:p>
        </w:tc>
        <w:tc>
          <w:tcPr>
            <w:tcW w:w="1408" w:type="pct"/>
            <w:tcBorders>
              <w:top w:val="single" w:sz="4" w:space="0" w:color="auto"/>
              <w:left w:val="nil"/>
              <w:bottom w:val="single" w:sz="4" w:space="0" w:color="auto"/>
              <w:right w:val="single" w:sz="4" w:space="0" w:color="auto"/>
            </w:tcBorders>
          </w:tcPr>
          <w:p w:rsidR="00E26351" w:rsidRPr="003A4A60" w:rsidRDefault="00E26351" w:rsidP="00245E9E">
            <w:pPr>
              <w:jc w:val="center"/>
              <w:rPr>
                <w:rFonts w:asciiTheme="majorHAnsi" w:hAnsiTheme="majorHAnsi" w:cstheme="majorHAnsi"/>
                <w:color w:val="000000"/>
                <w:sz w:val="26"/>
                <w:szCs w:val="26"/>
              </w:rPr>
            </w:pPr>
          </w:p>
        </w:tc>
        <w:tc>
          <w:tcPr>
            <w:tcW w:w="1483" w:type="pct"/>
            <w:tcBorders>
              <w:top w:val="nil"/>
              <w:left w:val="single" w:sz="4" w:space="0" w:color="auto"/>
              <w:bottom w:val="single" w:sz="4" w:space="0" w:color="auto"/>
              <w:right w:val="single" w:sz="4" w:space="0" w:color="auto"/>
            </w:tcBorders>
            <w:shd w:val="clear" w:color="auto" w:fill="auto"/>
            <w:noWrap/>
            <w:vAlign w:val="bottom"/>
          </w:tcPr>
          <w:p w:rsidR="00E26351" w:rsidRPr="003A4A60" w:rsidRDefault="00E26351" w:rsidP="00245E9E">
            <w:pPr>
              <w:jc w:val="center"/>
              <w:rPr>
                <w:rFonts w:asciiTheme="majorHAnsi" w:hAnsiTheme="majorHAnsi" w:cstheme="majorHAnsi"/>
                <w:color w:val="000000"/>
                <w:sz w:val="26"/>
                <w:szCs w:val="26"/>
              </w:rPr>
            </w:pPr>
            <w:r w:rsidRPr="003A4A60">
              <w:rPr>
                <w:rFonts w:asciiTheme="majorHAnsi" w:hAnsiTheme="majorHAnsi" w:cstheme="majorHAnsi"/>
                <w:color w:val="000000"/>
                <w:sz w:val="26"/>
                <w:szCs w:val="26"/>
              </w:rPr>
              <w:t>86</w:t>
            </w:r>
          </w:p>
        </w:tc>
      </w:tr>
      <w:tr w:rsidR="00E26351" w:rsidRPr="003A4A60" w:rsidTr="00E26351">
        <w:trPr>
          <w:trHeight w:val="300"/>
        </w:trPr>
        <w:tc>
          <w:tcPr>
            <w:tcW w:w="2110" w:type="pct"/>
            <w:tcBorders>
              <w:top w:val="nil"/>
              <w:left w:val="single" w:sz="4" w:space="0" w:color="auto"/>
              <w:bottom w:val="single" w:sz="4" w:space="0" w:color="auto"/>
              <w:right w:val="single" w:sz="4" w:space="0" w:color="auto"/>
            </w:tcBorders>
            <w:shd w:val="clear" w:color="auto" w:fill="auto"/>
            <w:noWrap/>
            <w:vAlign w:val="bottom"/>
            <w:hideMark/>
          </w:tcPr>
          <w:p w:rsidR="00E26351" w:rsidRPr="003A4A60" w:rsidRDefault="00E26351" w:rsidP="00245E9E">
            <w:pPr>
              <w:rPr>
                <w:rFonts w:asciiTheme="majorHAnsi" w:hAnsiTheme="majorHAnsi" w:cstheme="majorHAnsi"/>
                <w:bCs/>
                <w:color w:val="000000"/>
                <w:sz w:val="26"/>
                <w:szCs w:val="26"/>
                <w:lang w:val="vi-VN"/>
              </w:rPr>
            </w:pPr>
            <w:proofErr w:type="spellStart"/>
            <w:r w:rsidRPr="003A4A60">
              <w:rPr>
                <w:rFonts w:asciiTheme="majorHAnsi" w:hAnsiTheme="majorHAnsi" w:cstheme="majorHAnsi"/>
                <w:bCs/>
                <w:color w:val="000000"/>
                <w:sz w:val="26"/>
                <w:szCs w:val="26"/>
              </w:rPr>
              <w:lastRenderedPageBreak/>
              <w:t>Sản</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phẩm</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từ</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giấy</w:t>
            </w:r>
            <w:proofErr w:type="spellEnd"/>
          </w:p>
        </w:tc>
        <w:tc>
          <w:tcPr>
            <w:tcW w:w="1408" w:type="pct"/>
            <w:tcBorders>
              <w:top w:val="single" w:sz="4" w:space="0" w:color="auto"/>
              <w:left w:val="nil"/>
              <w:bottom w:val="single" w:sz="4" w:space="0" w:color="auto"/>
              <w:right w:val="single" w:sz="4" w:space="0" w:color="auto"/>
            </w:tcBorders>
          </w:tcPr>
          <w:p w:rsidR="00E26351" w:rsidRPr="003A4A60" w:rsidRDefault="00E26351" w:rsidP="00245E9E">
            <w:pPr>
              <w:jc w:val="center"/>
              <w:rPr>
                <w:rFonts w:asciiTheme="majorHAnsi" w:hAnsiTheme="majorHAnsi" w:cstheme="majorHAnsi"/>
                <w:color w:val="000000"/>
                <w:sz w:val="26"/>
                <w:szCs w:val="26"/>
              </w:rPr>
            </w:pPr>
            <w:r>
              <w:rPr>
                <w:rFonts w:asciiTheme="majorHAnsi" w:hAnsiTheme="majorHAnsi" w:cstheme="majorHAnsi"/>
                <w:color w:val="000000"/>
                <w:sz w:val="26"/>
                <w:szCs w:val="26"/>
              </w:rPr>
              <w:t>47,5</w:t>
            </w:r>
          </w:p>
        </w:tc>
        <w:tc>
          <w:tcPr>
            <w:tcW w:w="1483" w:type="pct"/>
            <w:tcBorders>
              <w:top w:val="nil"/>
              <w:left w:val="single" w:sz="4" w:space="0" w:color="auto"/>
              <w:bottom w:val="single" w:sz="4" w:space="0" w:color="auto"/>
              <w:right w:val="single" w:sz="4" w:space="0" w:color="auto"/>
            </w:tcBorders>
            <w:shd w:val="clear" w:color="auto" w:fill="auto"/>
            <w:noWrap/>
            <w:vAlign w:val="bottom"/>
            <w:hideMark/>
          </w:tcPr>
          <w:p w:rsidR="00E26351" w:rsidRPr="003A4A60" w:rsidRDefault="00E26351" w:rsidP="00245E9E">
            <w:pPr>
              <w:jc w:val="center"/>
              <w:rPr>
                <w:rFonts w:asciiTheme="majorHAnsi" w:hAnsiTheme="majorHAnsi" w:cstheme="majorHAnsi"/>
                <w:color w:val="000000"/>
                <w:sz w:val="26"/>
                <w:szCs w:val="26"/>
              </w:rPr>
            </w:pPr>
            <w:r w:rsidRPr="003A4A60">
              <w:rPr>
                <w:rFonts w:asciiTheme="majorHAnsi" w:hAnsiTheme="majorHAnsi" w:cstheme="majorHAnsi"/>
                <w:color w:val="000000"/>
                <w:sz w:val="26"/>
                <w:szCs w:val="26"/>
              </w:rPr>
              <w:t>46,6</w:t>
            </w:r>
          </w:p>
        </w:tc>
      </w:tr>
      <w:tr w:rsidR="00E26351" w:rsidRPr="003A4A60" w:rsidTr="00E26351">
        <w:trPr>
          <w:trHeight w:val="300"/>
        </w:trPr>
        <w:tc>
          <w:tcPr>
            <w:tcW w:w="2110" w:type="pct"/>
            <w:tcBorders>
              <w:top w:val="nil"/>
              <w:left w:val="single" w:sz="4" w:space="0" w:color="auto"/>
              <w:bottom w:val="single" w:sz="4" w:space="0" w:color="auto"/>
              <w:right w:val="single" w:sz="4" w:space="0" w:color="auto"/>
            </w:tcBorders>
            <w:shd w:val="clear" w:color="auto" w:fill="auto"/>
            <w:noWrap/>
            <w:vAlign w:val="bottom"/>
            <w:hideMark/>
          </w:tcPr>
          <w:p w:rsidR="00E26351" w:rsidRPr="003A4A60" w:rsidRDefault="00E26351" w:rsidP="00245E9E">
            <w:pPr>
              <w:rPr>
                <w:rFonts w:asciiTheme="majorHAnsi" w:hAnsiTheme="majorHAnsi" w:cstheme="majorHAnsi"/>
                <w:bCs/>
                <w:color w:val="000000"/>
                <w:sz w:val="26"/>
                <w:szCs w:val="26"/>
                <w:lang w:val="vi-VN"/>
              </w:rPr>
            </w:pPr>
            <w:proofErr w:type="spellStart"/>
            <w:r w:rsidRPr="003A4A60">
              <w:rPr>
                <w:rFonts w:asciiTheme="majorHAnsi" w:hAnsiTheme="majorHAnsi" w:cstheme="majorHAnsi"/>
                <w:bCs/>
                <w:color w:val="000000"/>
                <w:sz w:val="26"/>
                <w:szCs w:val="26"/>
              </w:rPr>
              <w:t>Đá</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quý</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kim</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loại</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quý</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và</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sản</w:t>
            </w:r>
            <w:proofErr w:type="spellEnd"/>
            <w:r w:rsidRPr="003A4A60">
              <w:rPr>
                <w:rFonts w:asciiTheme="majorHAnsi" w:hAnsiTheme="majorHAnsi" w:cstheme="majorHAnsi"/>
                <w:bCs/>
                <w:color w:val="000000"/>
                <w:sz w:val="26"/>
                <w:szCs w:val="26"/>
              </w:rPr>
              <w:t xml:space="preserve"> </w:t>
            </w:r>
            <w:proofErr w:type="spellStart"/>
            <w:r w:rsidRPr="003A4A60">
              <w:rPr>
                <w:rFonts w:asciiTheme="majorHAnsi" w:hAnsiTheme="majorHAnsi" w:cstheme="majorHAnsi"/>
                <w:bCs/>
                <w:color w:val="000000"/>
                <w:sz w:val="26"/>
                <w:szCs w:val="26"/>
              </w:rPr>
              <w:t>phẩm</w:t>
            </w:r>
            <w:proofErr w:type="spellEnd"/>
          </w:p>
        </w:tc>
        <w:tc>
          <w:tcPr>
            <w:tcW w:w="1408" w:type="pct"/>
            <w:tcBorders>
              <w:top w:val="single" w:sz="4" w:space="0" w:color="auto"/>
              <w:left w:val="nil"/>
              <w:bottom w:val="single" w:sz="4" w:space="0" w:color="auto"/>
              <w:right w:val="single" w:sz="4" w:space="0" w:color="auto"/>
            </w:tcBorders>
          </w:tcPr>
          <w:p w:rsidR="00E26351" w:rsidRPr="003A4A60" w:rsidRDefault="00E26351" w:rsidP="00245E9E">
            <w:pPr>
              <w:jc w:val="center"/>
              <w:rPr>
                <w:rFonts w:asciiTheme="majorHAnsi" w:hAnsiTheme="majorHAnsi" w:cstheme="majorHAnsi"/>
                <w:color w:val="000000"/>
                <w:sz w:val="26"/>
                <w:szCs w:val="26"/>
              </w:rPr>
            </w:pPr>
            <w:r>
              <w:rPr>
                <w:rFonts w:asciiTheme="majorHAnsi" w:hAnsiTheme="majorHAnsi" w:cstheme="majorHAnsi"/>
                <w:color w:val="000000"/>
                <w:sz w:val="26"/>
                <w:szCs w:val="26"/>
              </w:rPr>
              <w:t>51,8</w:t>
            </w:r>
          </w:p>
        </w:tc>
        <w:tc>
          <w:tcPr>
            <w:tcW w:w="1483" w:type="pct"/>
            <w:tcBorders>
              <w:top w:val="nil"/>
              <w:left w:val="single" w:sz="4" w:space="0" w:color="auto"/>
              <w:bottom w:val="single" w:sz="4" w:space="0" w:color="auto"/>
              <w:right w:val="single" w:sz="4" w:space="0" w:color="auto"/>
            </w:tcBorders>
            <w:shd w:val="clear" w:color="auto" w:fill="auto"/>
            <w:noWrap/>
            <w:vAlign w:val="bottom"/>
            <w:hideMark/>
          </w:tcPr>
          <w:p w:rsidR="00E26351" w:rsidRPr="003A4A60" w:rsidRDefault="00E26351" w:rsidP="00245E9E">
            <w:pPr>
              <w:jc w:val="center"/>
              <w:rPr>
                <w:rFonts w:asciiTheme="majorHAnsi" w:hAnsiTheme="majorHAnsi" w:cstheme="majorHAnsi"/>
                <w:color w:val="000000"/>
                <w:sz w:val="26"/>
                <w:szCs w:val="26"/>
              </w:rPr>
            </w:pPr>
            <w:r w:rsidRPr="003A4A60">
              <w:rPr>
                <w:rFonts w:asciiTheme="majorHAnsi" w:hAnsiTheme="majorHAnsi" w:cstheme="majorHAnsi"/>
                <w:color w:val="000000"/>
                <w:sz w:val="26"/>
                <w:szCs w:val="26"/>
              </w:rPr>
              <w:t>43,7</w:t>
            </w:r>
          </w:p>
        </w:tc>
      </w:tr>
    </w:tbl>
    <w:p w:rsidR="00A7506F" w:rsidRDefault="00940DFC" w:rsidP="00111796">
      <w:pPr>
        <w:widowControl w:val="0"/>
        <w:spacing w:before="120" w:after="120" w:line="276"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2. Hiện trạng thu:</w:t>
      </w:r>
    </w:p>
    <w:p w:rsidR="00773FE8" w:rsidRDefault="004D09BA" w:rsidP="00111796">
      <w:pPr>
        <w:widowControl w:val="0"/>
        <w:spacing w:before="120" w:after="120" w:line="276" w:lineRule="auto"/>
        <w:ind w:firstLine="709"/>
        <w:jc w:val="both"/>
        <w:rPr>
          <w:rFonts w:asciiTheme="majorHAnsi" w:hAnsiTheme="majorHAnsi" w:cstheme="majorHAnsi"/>
          <w:sz w:val="28"/>
          <w:szCs w:val="28"/>
          <w:lang w:val="nb-NO"/>
        </w:rPr>
      </w:pPr>
      <w:r w:rsidRPr="002F2BD0">
        <w:rPr>
          <w:rFonts w:asciiTheme="majorHAnsi" w:hAnsiTheme="majorHAnsi" w:cstheme="majorHAnsi"/>
          <w:sz w:val="28"/>
          <w:szCs w:val="28"/>
          <w:lang w:val="nb-NO"/>
        </w:rPr>
        <w:tab/>
        <w:t xml:space="preserve">Về số thu thuế giá trị gia tăng (VAT) và thuế tiêu thụ đặc biệt (TTĐB), số thu thuế VAT tăng từ 493 tỷ VND năm 2016 lên khoảng 740 tỷ VND trong năm 2017 (tăng khoảng 50%). Số thu thuế TTĐB trong cùng kỳ cũng tăng từ 2 triệu VND lên 112 triệu VND. Về số thu thuế nhập khẩu: Số thu thuế được xác định trên cơ sở mức thuế nhập khẩu và kim ngạch nhập khẩu tương ứng từ các thị trường. Hàng hóa nhập khẩu từ thị trường Hồng Kông thời gian qua chịu thuế suất thuế MFN. Số thu của Việt Nam từ này năm 2017 đạt 75 tỷ VND, giảm 78%  so với cùng kỳ năm 2016 (342,6 tỷ VND). </w:t>
      </w:r>
    </w:p>
    <w:p w:rsidR="00773FE8" w:rsidRPr="00773FE8" w:rsidRDefault="00773FE8" w:rsidP="00773FE8">
      <w:pPr>
        <w:widowControl w:val="0"/>
        <w:spacing w:before="120" w:after="120" w:line="271" w:lineRule="auto"/>
        <w:ind w:firstLine="709"/>
        <w:jc w:val="center"/>
        <w:rPr>
          <w:rFonts w:asciiTheme="majorHAnsi" w:hAnsiTheme="majorHAnsi" w:cstheme="majorHAnsi"/>
          <w:i/>
          <w:sz w:val="28"/>
          <w:szCs w:val="28"/>
          <w:lang w:val="nb-NO"/>
        </w:rPr>
      </w:pPr>
      <w:r>
        <w:rPr>
          <w:rFonts w:asciiTheme="majorHAnsi" w:hAnsiTheme="majorHAnsi" w:cstheme="majorHAnsi"/>
          <w:i/>
          <w:sz w:val="28"/>
          <w:szCs w:val="28"/>
          <w:lang w:val="nb-NO"/>
        </w:rPr>
        <w:t xml:space="preserve">Bảng 3: </w:t>
      </w:r>
      <w:r w:rsidRPr="00773FE8">
        <w:rPr>
          <w:rFonts w:asciiTheme="majorHAnsi" w:hAnsiTheme="majorHAnsi" w:cstheme="majorHAnsi"/>
          <w:i/>
          <w:sz w:val="28"/>
          <w:szCs w:val="28"/>
          <w:lang w:val="nb-NO"/>
        </w:rPr>
        <w:t>Số liệu thu thuế nhập khẩu, VAT và TTĐB</w:t>
      </w:r>
    </w:p>
    <w:tbl>
      <w:tblPr>
        <w:tblW w:w="5000" w:type="pct"/>
        <w:tblLook w:val="04A0" w:firstRow="1" w:lastRow="0" w:firstColumn="1" w:lastColumn="0" w:noHBand="0" w:noVBand="1"/>
      </w:tblPr>
      <w:tblGrid>
        <w:gridCol w:w="2881"/>
        <w:gridCol w:w="3090"/>
        <w:gridCol w:w="3090"/>
      </w:tblGrid>
      <w:tr w:rsidR="00940DFC" w:rsidRPr="00940DFC" w:rsidTr="00773FE8">
        <w:trPr>
          <w:trHeight w:val="285"/>
        </w:trPr>
        <w:tc>
          <w:tcPr>
            <w:tcW w:w="1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DFC" w:rsidRPr="00940DFC" w:rsidRDefault="00940DFC" w:rsidP="00940DFC">
            <w:pPr>
              <w:rPr>
                <w:rFonts w:asciiTheme="majorHAnsi" w:hAnsiTheme="majorHAnsi" w:cstheme="majorHAnsi"/>
                <w:color w:val="000000"/>
                <w:lang w:val="vi-VN" w:eastAsia="vi-VN"/>
              </w:rPr>
            </w:pPr>
            <w:r w:rsidRPr="00940DFC">
              <w:rPr>
                <w:rFonts w:asciiTheme="majorHAnsi" w:hAnsiTheme="majorHAnsi" w:cstheme="majorHAnsi"/>
                <w:color w:val="000000"/>
                <w:lang w:val="vi-VN" w:eastAsia="vi-VN"/>
              </w:rPr>
              <w:t> </w:t>
            </w:r>
          </w:p>
        </w:tc>
        <w:tc>
          <w:tcPr>
            <w:tcW w:w="1705" w:type="pct"/>
            <w:tcBorders>
              <w:top w:val="single" w:sz="4" w:space="0" w:color="auto"/>
              <w:left w:val="nil"/>
              <w:bottom w:val="single" w:sz="4" w:space="0" w:color="auto"/>
              <w:right w:val="single" w:sz="4" w:space="0" w:color="auto"/>
            </w:tcBorders>
            <w:shd w:val="clear" w:color="auto" w:fill="auto"/>
            <w:noWrap/>
            <w:vAlign w:val="bottom"/>
            <w:hideMark/>
          </w:tcPr>
          <w:p w:rsidR="00940DFC" w:rsidRPr="00940DFC" w:rsidRDefault="00940DFC" w:rsidP="00940DFC">
            <w:pPr>
              <w:jc w:val="center"/>
              <w:rPr>
                <w:rFonts w:asciiTheme="majorHAnsi" w:hAnsiTheme="majorHAnsi" w:cstheme="majorHAnsi"/>
                <w:color w:val="000000"/>
                <w:lang w:val="vi-VN" w:eastAsia="vi-VN"/>
              </w:rPr>
            </w:pPr>
            <w:r w:rsidRPr="00940DFC">
              <w:rPr>
                <w:rFonts w:asciiTheme="majorHAnsi" w:hAnsiTheme="majorHAnsi" w:cstheme="majorHAnsi"/>
                <w:color w:val="000000"/>
                <w:lang w:val="vi-VN" w:eastAsia="vi-VN"/>
              </w:rPr>
              <w:t>2016</w:t>
            </w:r>
          </w:p>
        </w:tc>
        <w:tc>
          <w:tcPr>
            <w:tcW w:w="1705" w:type="pct"/>
            <w:tcBorders>
              <w:top w:val="single" w:sz="4" w:space="0" w:color="auto"/>
              <w:left w:val="nil"/>
              <w:bottom w:val="single" w:sz="4" w:space="0" w:color="auto"/>
              <w:right w:val="single" w:sz="4" w:space="0" w:color="auto"/>
            </w:tcBorders>
            <w:shd w:val="clear" w:color="auto" w:fill="auto"/>
            <w:noWrap/>
            <w:vAlign w:val="bottom"/>
            <w:hideMark/>
          </w:tcPr>
          <w:p w:rsidR="00940DFC" w:rsidRPr="00940DFC" w:rsidRDefault="00940DFC" w:rsidP="00940DFC">
            <w:pPr>
              <w:jc w:val="center"/>
              <w:rPr>
                <w:rFonts w:asciiTheme="majorHAnsi" w:hAnsiTheme="majorHAnsi" w:cstheme="majorHAnsi"/>
                <w:color w:val="000000"/>
                <w:lang w:val="vi-VN" w:eastAsia="vi-VN"/>
              </w:rPr>
            </w:pPr>
            <w:r w:rsidRPr="00940DFC">
              <w:rPr>
                <w:rFonts w:asciiTheme="majorHAnsi" w:hAnsiTheme="majorHAnsi" w:cstheme="majorHAnsi"/>
                <w:color w:val="000000"/>
                <w:lang w:val="vi-VN" w:eastAsia="vi-VN"/>
              </w:rPr>
              <w:t>2017</w:t>
            </w:r>
          </w:p>
        </w:tc>
      </w:tr>
      <w:tr w:rsidR="008256DA" w:rsidRPr="00940DFC" w:rsidTr="00773FE8">
        <w:trPr>
          <w:trHeight w:val="285"/>
        </w:trPr>
        <w:tc>
          <w:tcPr>
            <w:tcW w:w="1590" w:type="pct"/>
            <w:tcBorders>
              <w:top w:val="nil"/>
              <w:left w:val="single" w:sz="4" w:space="0" w:color="auto"/>
              <w:bottom w:val="single" w:sz="4" w:space="0" w:color="auto"/>
              <w:right w:val="single" w:sz="4" w:space="0" w:color="auto"/>
            </w:tcBorders>
            <w:shd w:val="clear" w:color="auto" w:fill="auto"/>
            <w:noWrap/>
            <w:vAlign w:val="bottom"/>
          </w:tcPr>
          <w:p w:rsidR="008256DA" w:rsidRPr="008256DA" w:rsidRDefault="008256DA" w:rsidP="00940DFC">
            <w:pPr>
              <w:rPr>
                <w:rFonts w:asciiTheme="majorHAnsi" w:hAnsiTheme="majorHAnsi" w:cstheme="majorHAnsi"/>
                <w:color w:val="000000"/>
                <w:lang w:val="vi-VN" w:eastAsia="vi-VN"/>
              </w:rPr>
            </w:pPr>
            <w:r w:rsidRPr="008256DA">
              <w:rPr>
                <w:rFonts w:asciiTheme="majorHAnsi" w:hAnsiTheme="majorHAnsi" w:cstheme="majorHAnsi"/>
                <w:color w:val="000000"/>
                <w:lang w:val="vi-VN" w:eastAsia="vi-VN"/>
              </w:rPr>
              <w:t>Thuế nhập khẩu phải thu</w:t>
            </w:r>
          </w:p>
        </w:tc>
        <w:tc>
          <w:tcPr>
            <w:tcW w:w="1705" w:type="pct"/>
            <w:tcBorders>
              <w:top w:val="nil"/>
              <w:left w:val="nil"/>
              <w:bottom w:val="single" w:sz="4" w:space="0" w:color="auto"/>
              <w:right w:val="single" w:sz="4" w:space="0" w:color="auto"/>
            </w:tcBorders>
            <w:shd w:val="clear" w:color="auto" w:fill="auto"/>
            <w:noWrap/>
            <w:vAlign w:val="bottom"/>
          </w:tcPr>
          <w:p w:rsidR="008256DA" w:rsidRPr="008256DA" w:rsidRDefault="008256DA" w:rsidP="008256DA">
            <w:pPr>
              <w:jc w:val="center"/>
              <w:rPr>
                <w:rFonts w:asciiTheme="majorHAnsi" w:hAnsiTheme="majorHAnsi" w:cstheme="majorHAnsi"/>
                <w:color w:val="000000"/>
                <w:lang w:val="vi-VN"/>
              </w:rPr>
            </w:pPr>
            <w:r w:rsidRPr="008256DA">
              <w:rPr>
                <w:rFonts w:asciiTheme="majorHAnsi" w:hAnsiTheme="majorHAnsi" w:cstheme="majorHAnsi"/>
                <w:color w:val="000000"/>
              </w:rPr>
              <w:t>342.579.344.272</w:t>
            </w:r>
          </w:p>
        </w:tc>
        <w:tc>
          <w:tcPr>
            <w:tcW w:w="1705" w:type="pct"/>
            <w:tcBorders>
              <w:top w:val="nil"/>
              <w:left w:val="nil"/>
              <w:bottom w:val="single" w:sz="4" w:space="0" w:color="auto"/>
              <w:right w:val="single" w:sz="4" w:space="0" w:color="auto"/>
            </w:tcBorders>
            <w:shd w:val="clear" w:color="auto" w:fill="auto"/>
            <w:noWrap/>
            <w:vAlign w:val="bottom"/>
          </w:tcPr>
          <w:p w:rsidR="008256DA" w:rsidRPr="00940DFC" w:rsidRDefault="008256DA" w:rsidP="008256DA">
            <w:pPr>
              <w:jc w:val="center"/>
              <w:rPr>
                <w:rFonts w:asciiTheme="majorHAnsi" w:hAnsiTheme="majorHAnsi" w:cstheme="majorHAnsi"/>
                <w:color w:val="000000"/>
                <w:lang w:val="vi-VN" w:eastAsia="vi-VN"/>
              </w:rPr>
            </w:pPr>
            <w:r w:rsidRPr="008256DA">
              <w:rPr>
                <w:rFonts w:asciiTheme="majorHAnsi" w:hAnsiTheme="majorHAnsi" w:cstheme="majorHAnsi"/>
                <w:color w:val="000000"/>
              </w:rPr>
              <w:t>75.030.647.276</w:t>
            </w:r>
          </w:p>
        </w:tc>
      </w:tr>
      <w:tr w:rsidR="00940DFC" w:rsidRPr="00940DFC" w:rsidTr="00773FE8">
        <w:trPr>
          <w:trHeight w:val="285"/>
        </w:trPr>
        <w:tc>
          <w:tcPr>
            <w:tcW w:w="1590" w:type="pct"/>
            <w:tcBorders>
              <w:top w:val="nil"/>
              <w:left w:val="single" w:sz="4" w:space="0" w:color="auto"/>
              <w:bottom w:val="single" w:sz="4" w:space="0" w:color="auto"/>
              <w:right w:val="single" w:sz="4" w:space="0" w:color="auto"/>
            </w:tcBorders>
            <w:shd w:val="clear" w:color="auto" w:fill="auto"/>
            <w:noWrap/>
            <w:vAlign w:val="bottom"/>
            <w:hideMark/>
          </w:tcPr>
          <w:p w:rsidR="00940DFC" w:rsidRPr="00940DFC" w:rsidRDefault="00940DFC" w:rsidP="00940DFC">
            <w:pPr>
              <w:rPr>
                <w:rFonts w:asciiTheme="majorHAnsi" w:hAnsiTheme="majorHAnsi" w:cstheme="majorHAnsi"/>
                <w:color w:val="000000"/>
                <w:lang w:eastAsia="vi-VN"/>
              </w:rPr>
            </w:pPr>
            <w:proofErr w:type="spellStart"/>
            <w:r w:rsidRPr="00940DFC">
              <w:rPr>
                <w:rFonts w:asciiTheme="majorHAnsi" w:hAnsiTheme="majorHAnsi" w:cstheme="majorHAnsi"/>
                <w:color w:val="000000"/>
                <w:lang w:eastAsia="vi-VN"/>
              </w:rPr>
              <w:t>Thuế</w:t>
            </w:r>
            <w:proofErr w:type="spellEnd"/>
            <w:r w:rsidRPr="00940DFC">
              <w:rPr>
                <w:rFonts w:asciiTheme="majorHAnsi" w:hAnsiTheme="majorHAnsi" w:cstheme="majorHAnsi"/>
                <w:color w:val="000000"/>
                <w:lang w:eastAsia="vi-VN"/>
              </w:rPr>
              <w:t xml:space="preserve"> VAT </w:t>
            </w:r>
            <w:proofErr w:type="spellStart"/>
            <w:r w:rsidRPr="00940DFC">
              <w:rPr>
                <w:rFonts w:asciiTheme="majorHAnsi" w:hAnsiTheme="majorHAnsi" w:cstheme="majorHAnsi"/>
                <w:color w:val="000000"/>
                <w:lang w:eastAsia="vi-VN"/>
              </w:rPr>
              <w:t>phải</w:t>
            </w:r>
            <w:proofErr w:type="spellEnd"/>
            <w:r w:rsidRPr="00940DFC">
              <w:rPr>
                <w:rFonts w:asciiTheme="majorHAnsi" w:hAnsiTheme="majorHAnsi" w:cstheme="majorHAnsi"/>
                <w:color w:val="000000"/>
                <w:lang w:eastAsia="vi-VN"/>
              </w:rPr>
              <w:t xml:space="preserve"> thu</w:t>
            </w:r>
          </w:p>
        </w:tc>
        <w:tc>
          <w:tcPr>
            <w:tcW w:w="1705" w:type="pct"/>
            <w:tcBorders>
              <w:top w:val="nil"/>
              <w:left w:val="nil"/>
              <w:bottom w:val="single" w:sz="4" w:space="0" w:color="auto"/>
              <w:right w:val="single" w:sz="4" w:space="0" w:color="auto"/>
            </w:tcBorders>
            <w:shd w:val="clear" w:color="auto" w:fill="auto"/>
            <w:noWrap/>
            <w:vAlign w:val="bottom"/>
            <w:hideMark/>
          </w:tcPr>
          <w:p w:rsidR="00940DFC" w:rsidRPr="00940DFC" w:rsidRDefault="00940DFC" w:rsidP="008256DA">
            <w:pPr>
              <w:jc w:val="center"/>
              <w:rPr>
                <w:rFonts w:asciiTheme="majorHAnsi" w:hAnsiTheme="majorHAnsi" w:cstheme="majorHAnsi"/>
                <w:color w:val="000000"/>
                <w:lang w:val="vi-VN" w:eastAsia="vi-VN"/>
              </w:rPr>
            </w:pPr>
            <w:r w:rsidRPr="00940DFC">
              <w:rPr>
                <w:rFonts w:asciiTheme="majorHAnsi" w:hAnsiTheme="majorHAnsi" w:cstheme="majorHAnsi"/>
                <w:color w:val="000000"/>
                <w:lang w:val="vi-VN" w:eastAsia="vi-VN"/>
              </w:rPr>
              <w:t>492.864.705.556</w:t>
            </w:r>
          </w:p>
        </w:tc>
        <w:tc>
          <w:tcPr>
            <w:tcW w:w="1705" w:type="pct"/>
            <w:tcBorders>
              <w:top w:val="nil"/>
              <w:left w:val="nil"/>
              <w:bottom w:val="single" w:sz="4" w:space="0" w:color="auto"/>
              <w:right w:val="single" w:sz="4" w:space="0" w:color="auto"/>
            </w:tcBorders>
            <w:shd w:val="clear" w:color="auto" w:fill="auto"/>
            <w:noWrap/>
            <w:vAlign w:val="bottom"/>
            <w:hideMark/>
          </w:tcPr>
          <w:p w:rsidR="00940DFC" w:rsidRPr="00940DFC" w:rsidRDefault="00940DFC" w:rsidP="008256DA">
            <w:pPr>
              <w:jc w:val="center"/>
              <w:rPr>
                <w:rFonts w:asciiTheme="majorHAnsi" w:hAnsiTheme="majorHAnsi" w:cstheme="majorHAnsi"/>
                <w:color w:val="000000"/>
                <w:lang w:val="vi-VN" w:eastAsia="vi-VN"/>
              </w:rPr>
            </w:pPr>
            <w:r w:rsidRPr="00940DFC">
              <w:rPr>
                <w:rFonts w:asciiTheme="majorHAnsi" w:hAnsiTheme="majorHAnsi" w:cstheme="majorHAnsi"/>
                <w:color w:val="000000"/>
                <w:lang w:val="vi-VN" w:eastAsia="vi-VN"/>
              </w:rPr>
              <w:t>739.648.981.489</w:t>
            </w:r>
          </w:p>
        </w:tc>
      </w:tr>
      <w:tr w:rsidR="00940DFC" w:rsidRPr="00940DFC" w:rsidTr="00773FE8">
        <w:trPr>
          <w:trHeight w:val="285"/>
        </w:trPr>
        <w:tc>
          <w:tcPr>
            <w:tcW w:w="1590" w:type="pct"/>
            <w:tcBorders>
              <w:top w:val="nil"/>
              <w:left w:val="single" w:sz="4" w:space="0" w:color="auto"/>
              <w:bottom w:val="single" w:sz="4" w:space="0" w:color="auto"/>
              <w:right w:val="single" w:sz="4" w:space="0" w:color="auto"/>
            </w:tcBorders>
            <w:shd w:val="clear" w:color="auto" w:fill="auto"/>
            <w:noWrap/>
            <w:vAlign w:val="bottom"/>
            <w:hideMark/>
          </w:tcPr>
          <w:p w:rsidR="00940DFC" w:rsidRPr="00940DFC" w:rsidRDefault="00940DFC" w:rsidP="00940DFC">
            <w:pPr>
              <w:rPr>
                <w:rFonts w:asciiTheme="majorHAnsi" w:hAnsiTheme="majorHAnsi" w:cstheme="majorHAnsi"/>
                <w:color w:val="000000"/>
                <w:lang w:eastAsia="vi-VN"/>
              </w:rPr>
            </w:pPr>
            <w:proofErr w:type="spellStart"/>
            <w:r w:rsidRPr="00940DFC">
              <w:rPr>
                <w:rFonts w:asciiTheme="majorHAnsi" w:hAnsiTheme="majorHAnsi" w:cstheme="majorHAnsi"/>
                <w:color w:val="000000"/>
                <w:lang w:eastAsia="vi-VN"/>
              </w:rPr>
              <w:t>Thuế</w:t>
            </w:r>
            <w:proofErr w:type="spellEnd"/>
            <w:r w:rsidRPr="00940DFC">
              <w:rPr>
                <w:rFonts w:asciiTheme="majorHAnsi" w:hAnsiTheme="majorHAnsi" w:cstheme="majorHAnsi"/>
                <w:color w:val="000000"/>
                <w:lang w:eastAsia="vi-VN"/>
              </w:rPr>
              <w:t xml:space="preserve"> TTĐB </w:t>
            </w:r>
            <w:proofErr w:type="spellStart"/>
            <w:r w:rsidRPr="00940DFC">
              <w:rPr>
                <w:rFonts w:asciiTheme="majorHAnsi" w:hAnsiTheme="majorHAnsi" w:cstheme="majorHAnsi"/>
                <w:color w:val="000000"/>
                <w:lang w:eastAsia="vi-VN"/>
              </w:rPr>
              <w:t>phải</w:t>
            </w:r>
            <w:proofErr w:type="spellEnd"/>
            <w:r w:rsidRPr="00940DFC">
              <w:rPr>
                <w:rFonts w:asciiTheme="majorHAnsi" w:hAnsiTheme="majorHAnsi" w:cstheme="majorHAnsi"/>
                <w:color w:val="000000"/>
                <w:lang w:eastAsia="vi-VN"/>
              </w:rPr>
              <w:t xml:space="preserve"> thu</w:t>
            </w:r>
          </w:p>
        </w:tc>
        <w:tc>
          <w:tcPr>
            <w:tcW w:w="1705" w:type="pct"/>
            <w:tcBorders>
              <w:top w:val="nil"/>
              <w:left w:val="nil"/>
              <w:bottom w:val="single" w:sz="4" w:space="0" w:color="auto"/>
              <w:right w:val="single" w:sz="4" w:space="0" w:color="auto"/>
            </w:tcBorders>
            <w:shd w:val="clear" w:color="auto" w:fill="auto"/>
            <w:noWrap/>
            <w:vAlign w:val="bottom"/>
            <w:hideMark/>
          </w:tcPr>
          <w:p w:rsidR="00940DFC" w:rsidRPr="00940DFC" w:rsidRDefault="00940DFC" w:rsidP="008256DA">
            <w:pPr>
              <w:jc w:val="center"/>
              <w:rPr>
                <w:rFonts w:asciiTheme="majorHAnsi" w:hAnsiTheme="majorHAnsi" w:cstheme="majorHAnsi"/>
                <w:color w:val="000000"/>
                <w:lang w:val="vi-VN" w:eastAsia="vi-VN"/>
              </w:rPr>
            </w:pPr>
            <w:r w:rsidRPr="00940DFC">
              <w:rPr>
                <w:rFonts w:asciiTheme="majorHAnsi" w:hAnsiTheme="majorHAnsi" w:cstheme="majorHAnsi"/>
                <w:color w:val="000000"/>
                <w:lang w:val="vi-VN" w:eastAsia="vi-VN"/>
              </w:rPr>
              <w:t>1.946.640</w:t>
            </w:r>
          </w:p>
        </w:tc>
        <w:tc>
          <w:tcPr>
            <w:tcW w:w="1705" w:type="pct"/>
            <w:tcBorders>
              <w:top w:val="nil"/>
              <w:left w:val="nil"/>
              <w:bottom w:val="single" w:sz="4" w:space="0" w:color="auto"/>
              <w:right w:val="single" w:sz="4" w:space="0" w:color="auto"/>
            </w:tcBorders>
            <w:shd w:val="clear" w:color="auto" w:fill="auto"/>
            <w:noWrap/>
            <w:vAlign w:val="bottom"/>
            <w:hideMark/>
          </w:tcPr>
          <w:p w:rsidR="00940DFC" w:rsidRPr="00940DFC" w:rsidRDefault="00940DFC" w:rsidP="008256DA">
            <w:pPr>
              <w:jc w:val="center"/>
              <w:rPr>
                <w:rFonts w:asciiTheme="majorHAnsi" w:hAnsiTheme="majorHAnsi" w:cstheme="majorHAnsi"/>
                <w:color w:val="000000"/>
                <w:lang w:val="vi-VN" w:eastAsia="vi-VN"/>
              </w:rPr>
            </w:pPr>
            <w:r w:rsidRPr="00940DFC">
              <w:rPr>
                <w:rFonts w:asciiTheme="majorHAnsi" w:hAnsiTheme="majorHAnsi" w:cstheme="majorHAnsi"/>
                <w:color w:val="000000"/>
                <w:lang w:val="vi-VN" w:eastAsia="vi-VN"/>
              </w:rPr>
              <w:t>111.702.212</w:t>
            </w:r>
          </w:p>
        </w:tc>
      </w:tr>
    </w:tbl>
    <w:p w:rsidR="002E534D" w:rsidRPr="00EF6C2C" w:rsidRDefault="006C18BB" w:rsidP="00111796">
      <w:pPr>
        <w:widowControl w:val="0"/>
        <w:spacing w:before="120" w:after="120" w:line="276" w:lineRule="auto"/>
        <w:ind w:firstLine="709"/>
        <w:jc w:val="both"/>
        <w:rPr>
          <w:rFonts w:asciiTheme="majorHAnsi" w:hAnsiTheme="majorHAnsi" w:cstheme="majorHAnsi"/>
          <w:sz w:val="28"/>
          <w:szCs w:val="28"/>
          <w:lang w:val="nb-NO"/>
        </w:rPr>
      </w:pPr>
      <w:r w:rsidRPr="006C18BB">
        <w:rPr>
          <w:rFonts w:asciiTheme="majorHAnsi" w:hAnsiTheme="majorHAnsi" w:cstheme="majorHAnsi"/>
          <w:sz w:val="28"/>
          <w:szCs w:val="28"/>
          <w:lang w:val="vi-VN"/>
        </w:rPr>
        <w:t>Tại b</w:t>
      </w:r>
      <w:r w:rsidR="006A1A1E">
        <w:rPr>
          <w:rFonts w:asciiTheme="majorHAnsi" w:hAnsiTheme="majorHAnsi" w:cstheme="majorHAnsi"/>
          <w:sz w:val="28"/>
          <w:szCs w:val="28"/>
          <w:lang w:val="nb-NO"/>
        </w:rPr>
        <w:t>ảng 4 và 5</w:t>
      </w:r>
      <w:r>
        <w:rPr>
          <w:rFonts w:asciiTheme="majorHAnsi" w:hAnsiTheme="majorHAnsi" w:cstheme="majorHAnsi"/>
          <w:sz w:val="28"/>
          <w:szCs w:val="28"/>
          <w:lang w:val="nb-NO"/>
        </w:rPr>
        <w:t xml:space="preserve"> thể hiện s</w:t>
      </w:r>
      <w:r w:rsidR="00773FE8" w:rsidRPr="002F2BD0">
        <w:rPr>
          <w:rFonts w:asciiTheme="majorHAnsi" w:hAnsiTheme="majorHAnsi" w:cstheme="majorHAnsi"/>
          <w:sz w:val="28"/>
          <w:szCs w:val="28"/>
          <w:lang w:val="nb-NO"/>
        </w:rPr>
        <w:t>ự sụt giảm này chủ yếu đến từ nhóm “nguyên phụ liệu dệt, may, da, giày” từ 162,2 tỷ VND năm 2016 xuống 4,7 tỷ VND trong năm 2017 (giảm 97%) mặc dù giá trị hải quan của nhóm hàng tăng 3% trong cùng kỳ. Bên cạnh đó, thu thuế nhập khẩu từ nhóm “vải các loại” cũng giảm mạnh từ 55,9 tỷ VND năm 2016 xuống 1,8 tỷ VND trong năm 2017 (giảm 97%) mặc dù giá trị nhập khẩu mặt hàng trong năm 2017 tăng 7% so với năm 2016. Giá trị nhập khẩu năm 2017 tăng 11% so với năm 2016, tuy nhiên số thu từ thuế nhập khẩu giảm có thể do thuế MFN 2017 giảm tương ứng so với năm 2016 hoặc diện mặt hàng nhập khẩu tập trung vào mức thuế MFN thấp.</w:t>
      </w:r>
    </w:p>
    <w:p w:rsidR="00A7506F" w:rsidRPr="00773FE8" w:rsidRDefault="006C18BB" w:rsidP="00773FE8">
      <w:pPr>
        <w:jc w:val="center"/>
        <w:rPr>
          <w:rFonts w:asciiTheme="majorHAnsi" w:hAnsiTheme="majorHAnsi" w:cstheme="majorHAnsi"/>
          <w:i/>
          <w:sz w:val="28"/>
          <w:szCs w:val="28"/>
          <w:lang w:val="nb-NO"/>
        </w:rPr>
      </w:pPr>
      <w:r>
        <w:rPr>
          <w:rFonts w:asciiTheme="majorHAnsi" w:hAnsiTheme="majorHAnsi" w:cstheme="majorHAnsi"/>
          <w:i/>
          <w:sz w:val="28"/>
          <w:szCs w:val="28"/>
          <w:lang w:val="nb-NO"/>
        </w:rPr>
        <w:t xml:space="preserve">Bảng 4: </w:t>
      </w:r>
      <w:r w:rsidR="00940DFC" w:rsidRPr="00773FE8">
        <w:rPr>
          <w:rFonts w:asciiTheme="majorHAnsi" w:hAnsiTheme="majorHAnsi" w:cstheme="majorHAnsi"/>
          <w:i/>
          <w:sz w:val="28"/>
          <w:szCs w:val="28"/>
          <w:lang w:val="nb-NO"/>
        </w:rPr>
        <w:t>Nguyên phụ liệu dệt, may, da, giày</w:t>
      </w:r>
    </w:p>
    <w:tbl>
      <w:tblPr>
        <w:tblW w:w="5000" w:type="pct"/>
        <w:tblLook w:val="04A0" w:firstRow="1" w:lastRow="0" w:firstColumn="1" w:lastColumn="0" w:noHBand="0" w:noVBand="1"/>
      </w:tblPr>
      <w:tblGrid>
        <w:gridCol w:w="1743"/>
        <w:gridCol w:w="1857"/>
        <w:gridCol w:w="1928"/>
        <w:gridCol w:w="1557"/>
        <w:gridCol w:w="1976"/>
      </w:tblGrid>
      <w:tr w:rsidR="00940DFC" w:rsidRPr="00940DFC" w:rsidTr="00EF6C2C">
        <w:trPr>
          <w:trHeight w:val="315"/>
        </w:trPr>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DFC" w:rsidRPr="00940DFC" w:rsidRDefault="00940DFC" w:rsidP="00940DFC">
            <w:pPr>
              <w:rPr>
                <w:rFonts w:asciiTheme="majorHAnsi" w:hAnsiTheme="majorHAnsi" w:cstheme="majorHAnsi"/>
                <w:lang w:val="vi-VN" w:eastAsia="vi-VN"/>
              </w:rPr>
            </w:pPr>
          </w:p>
        </w:tc>
        <w:tc>
          <w:tcPr>
            <w:tcW w:w="1025" w:type="pct"/>
            <w:tcBorders>
              <w:top w:val="single" w:sz="4" w:space="0" w:color="auto"/>
              <w:left w:val="nil"/>
              <w:bottom w:val="single" w:sz="4" w:space="0" w:color="auto"/>
              <w:right w:val="single" w:sz="4" w:space="0" w:color="auto"/>
            </w:tcBorders>
            <w:shd w:val="clear" w:color="auto" w:fill="auto"/>
            <w:noWrap/>
            <w:vAlign w:val="bottom"/>
            <w:hideMark/>
          </w:tcPr>
          <w:p w:rsidR="00940DFC" w:rsidRPr="00940DFC" w:rsidRDefault="00940DFC" w:rsidP="00940DFC">
            <w:pPr>
              <w:jc w:val="center"/>
              <w:rPr>
                <w:rFonts w:asciiTheme="majorHAnsi" w:hAnsiTheme="majorHAnsi" w:cstheme="majorHAnsi"/>
                <w:color w:val="000000"/>
                <w:lang w:eastAsia="vi-VN"/>
              </w:rPr>
            </w:pPr>
            <w:r w:rsidRPr="00940DFC">
              <w:rPr>
                <w:rFonts w:asciiTheme="majorHAnsi" w:hAnsiTheme="majorHAnsi" w:cstheme="majorHAnsi"/>
                <w:color w:val="000000"/>
                <w:lang w:eastAsia="vi-VN"/>
              </w:rPr>
              <w:t>2016</w:t>
            </w:r>
          </w:p>
        </w:tc>
        <w:tc>
          <w:tcPr>
            <w:tcW w:w="1064" w:type="pct"/>
            <w:tcBorders>
              <w:top w:val="single" w:sz="4" w:space="0" w:color="auto"/>
              <w:left w:val="nil"/>
              <w:bottom w:val="single" w:sz="4" w:space="0" w:color="auto"/>
              <w:right w:val="single" w:sz="4" w:space="0" w:color="auto"/>
            </w:tcBorders>
            <w:shd w:val="clear" w:color="auto" w:fill="auto"/>
            <w:noWrap/>
            <w:vAlign w:val="bottom"/>
            <w:hideMark/>
          </w:tcPr>
          <w:p w:rsidR="00940DFC" w:rsidRPr="00940DFC" w:rsidRDefault="00940DFC" w:rsidP="00940DFC">
            <w:pPr>
              <w:jc w:val="center"/>
              <w:rPr>
                <w:rFonts w:asciiTheme="majorHAnsi" w:hAnsiTheme="majorHAnsi" w:cstheme="majorHAnsi"/>
                <w:color w:val="000000"/>
                <w:lang w:eastAsia="vi-VN"/>
              </w:rPr>
            </w:pPr>
            <w:r w:rsidRPr="00940DFC">
              <w:rPr>
                <w:rFonts w:asciiTheme="majorHAnsi" w:hAnsiTheme="majorHAnsi" w:cstheme="majorHAnsi"/>
                <w:color w:val="000000"/>
                <w:lang w:eastAsia="vi-VN"/>
              </w:rPr>
              <w:t>2017</w:t>
            </w:r>
          </w:p>
        </w:tc>
        <w:tc>
          <w:tcPr>
            <w:tcW w:w="859" w:type="pct"/>
            <w:tcBorders>
              <w:top w:val="single" w:sz="4" w:space="0" w:color="auto"/>
              <w:left w:val="nil"/>
              <w:bottom w:val="single" w:sz="4" w:space="0" w:color="auto"/>
              <w:right w:val="single" w:sz="4" w:space="0" w:color="auto"/>
            </w:tcBorders>
            <w:shd w:val="clear" w:color="auto" w:fill="auto"/>
            <w:noWrap/>
            <w:vAlign w:val="bottom"/>
            <w:hideMark/>
          </w:tcPr>
          <w:p w:rsidR="00940DFC" w:rsidRPr="00940DFC" w:rsidRDefault="00940DFC" w:rsidP="00940DFC">
            <w:pPr>
              <w:jc w:val="center"/>
              <w:rPr>
                <w:rFonts w:asciiTheme="majorHAnsi" w:hAnsiTheme="majorHAnsi" w:cstheme="majorHAnsi"/>
                <w:color w:val="000000"/>
                <w:lang w:eastAsia="vi-VN"/>
              </w:rPr>
            </w:pPr>
            <w:proofErr w:type="spellStart"/>
            <w:r w:rsidRPr="00940DFC">
              <w:rPr>
                <w:rFonts w:asciiTheme="majorHAnsi" w:hAnsiTheme="majorHAnsi" w:cstheme="majorHAnsi"/>
                <w:color w:val="000000"/>
                <w:lang w:eastAsia="vi-VN"/>
              </w:rPr>
              <w:t>Tỷ</w:t>
            </w:r>
            <w:proofErr w:type="spellEnd"/>
            <w:r w:rsidRPr="00940DFC">
              <w:rPr>
                <w:rFonts w:asciiTheme="majorHAnsi" w:hAnsiTheme="majorHAnsi" w:cstheme="majorHAnsi"/>
                <w:color w:val="000000"/>
                <w:lang w:eastAsia="vi-VN"/>
              </w:rPr>
              <w:t xml:space="preserve"> </w:t>
            </w:r>
            <w:proofErr w:type="spellStart"/>
            <w:r w:rsidRPr="00940DFC">
              <w:rPr>
                <w:rFonts w:asciiTheme="majorHAnsi" w:hAnsiTheme="majorHAnsi" w:cstheme="majorHAnsi"/>
                <w:color w:val="000000"/>
                <w:lang w:eastAsia="vi-VN"/>
              </w:rPr>
              <w:t>lệ</w:t>
            </w:r>
            <w:proofErr w:type="spellEnd"/>
            <w:r w:rsidRPr="00940DFC">
              <w:rPr>
                <w:rFonts w:asciiTheme="majorHAnsi" w:hAnsiTheme="majorHAnsi" w:cstheme="majorHAnsi"/>
                <w:color w:val="000000"/>
                <w:lang w:eastAsia="vi-VN"/>
              </w:rPr>
              <w:t xml:space="preserve"> </w:t>
            </w:r>
            <w:proofErr w:type="spellStart"/>
            <w:r w:rsidRPr="00940DFC">
              <w:rPr>
                <w:rFonts w:asciiTheme="majorHAnsi" w:hAnsiTheme="majorHAnsi" w:cstheme="majorHAnsi"/>
                <w:color w:val="000000"/>
                <w:lang w:eastAsia="vi-VN"/>
              </w:rPr>
              <w:t>thay</w:t>
            </w:r>
            <w:proofErr w:type="spellEnd"/>
            <w:r w:rsidRPr="00940DFC">
              <w:rPr>
                <w:rFonts w:asciiTheme="majorHAnsi" w:hAnsiTheme="majorHAnsi" w:cstheme="majorHAnsi"/>
                <w:color w:val="000000"/>
                <w:lang w:eastAsia="vi-VN"/>
              </w:rPr>
              <w:t xml:space="preserve"> </w:t>
            </w:r>
            <w:proofErr w:type="spellStart"/>
            <w:r w:rsidRPr="00940DFC">
              <w:rPr>
                <w:rFonts w:asciiTheme="majorHAnsi" w:hAnsiTheme="majorHAnsi" w:cstheme="majorHAnsi"/>
                <w:color w:val="000000"/>
                <w:lang w:eastAsia="vi-VN"/>
              </w:rPr>
              <w:t>đổi</w:t>
            </w:r>
            <w:proofErr w:type="spellEnd"/>
          </w:p>
        </w:tc>
        <w:tc>
          <w:tcPr>
            <w:tcW w:w="1090" w:type="pct"/>
            <w:tcBorders>
              <w:top w:val="single" w:sz="4" w:space="0" w:color="auto"/>
              <w:left w:val="nil"/>
              <w:bottom w:val="single" w:sz="4" w:space="0" w:color="auto"/>
              <w:right w:val="single" w:sz="4" w:space="0" w:color="auto"/>
            </w:tcBorders>
            <w:shd w:val="clear" w:color="auto" w:fill="auto"/>
            <w:noWrap/>
            <w:vAlign w:val="bottom"/>
            <w:hideMark/>
          </w:tcPr>
          <w:p w:rsidR="00940DFC" w:rsidRPr="00940DFC" w:rsidRDefault="00940DFC" w:rsidP="00940DFC">
            <w:pPr>
              <w:jc w:val="center"/>
              <w:rPr>
                <w:rFonts w:asciiTheme="majorHAnsi" w:hAnsiTheme="majorHAnsi" w:cstheme="majorHAnsi"/>
                <w:color w:val="000000"/>
                <w:lang w:eastAsia="vi-VN"/>
              </w:rPr>
            </w:pPr>
            <w:proofErr w:type="spellStart"/>
            <w:r w:rsidRPr="00940DFC">
              <w:rPr>
                <w:rFonts w:asciiTheme="majorHAnsi" w:hAnsiTheme="majorHAnsi" w:cstheme="majorHAnsi"/>
                <w:color w:val="000000"/>
                <w:lang w:eastAsia="vi-VN"/>
              </w:rPr>
              <w:t>Giá</w:t>
            </w:r>
            <w:proofErr w:type="spellEnd"/>
            <w:r w:rsidRPr="00940DFC">
              <w:rPr>
                <w:rFonts w:asciiTheme="majorHAnsi" w:hAnsiTheme="majorHAnsi" w:cstheme="majorHAnsi"/>
                <w:color w:val="000000"/>
                <w:lang w:eastAsia="vi-VN"/>
              </w:rPr>
              <w:t xml:space="preserve"> </w:t>
            </w:r>
            <w:proofErr w:type="spellStart"/>
            <w:r w:rsidRPr="00940DFC">
              <w:rPr>
                <w:rFonts w:asciiTheme="majorHAnsi" w:hAnsiTheme="majorHAnsi" w:cstheme="majorHAnsi"/>
                <w:color w:val="000000"/>
                <w:lang w:eastAsia="vi-VN"/>
              </w:rPr>
              <w:t>trị</w:t>
            </w:r>
            <w:proofErr w:type="spellEnd"/>
            <w:r w:rsidRPr="00940DFC">
              <w:rPr>
                <w:rFonts w:asciiTheme="majorHAnsi" w:hAnsiTheme="majorHAnsi" w:cstheme="majorHAnsi"/>
                <w:color w:val="000000"/>
                <w:lang w:eastAsia="vi-VN"/>
              </w:rPr>
              <w:t xml:space="preserve"> </w:t>
            </w:r>
            <w:proofErr w:type="spellStart"/>
            <w:r w:rsidRPr="00940DFC">
              <w:rPr>
                <w:rFonts w:asciiTheme="majorHAnsi" w:hAnsiTheme="majorHAnsi" w:cstheme="majorHAnsi"/>
                <w:color w:val="000000"/>
                <w:lang w:eastAsia="vi-VN"/>
              </w:rPr>
              <w:t>thay</w:t>
            </w:r>
            <w:proofErr w:type="spellEnd"/>
            <w:r w:rsidRPr="00940DFC">
              <w:rPr>
                <w:rFonts w:asciiTheme="majorHAnsi" w:hAnsiTheme="majorHAnsi" w:cstheme="majorHAnsi"/>
                <w:color w:val="000000"/>
                <w:lang w:eastAsia="vi-VN"/>
              </w:rPr>
              <w:t xml:space="preserve"> </w:t>
            </w:r>
            <w:proofErr w:type="spellStart"/>
            <w:r w:rsidRPr="00940DFC">
              <w:rPr>
                <w:rFonts w:asciiTheme="majorHAnsi" w:hAnsiTheme="majorHAnsi" w:cstheme="majorHAnsi"/>
                <w:color w:val="000000"/>
                <w:lang w:eastAsia="vi-VN"/>
              </w:rPr>
              <w:t>đổi</w:t>
            </w:r>
            <w:proofErr w:type="spellEnd"/>
          </w:p>
        </w:tc>
      </w:tr>
      <w:tr w:rsidR="00940DFC" w:rsidRPr="00940DFC" w:rsidTr="00EF6C2C">
        <w:trPr>
          <w:trHeight w:val="315"/>
        </w:trPr>
        <w:tc>
          <w:tcPr>
            <w:tcW w:w="962" w:type="pct"/>
            <w:tcBorders>
              <w:top w:val="nil"/>
              <w:left w:val="single" w:sz="4" w:space="0" w:color="auto"/>
              <w:bottom w:val="single" w:sz="4" w:space="0" w:color="auto"/>
              <w:right w:val="single" w:sz="4" w:space="0" w:color="auto"/>
            </w:tcBorders>
            <w:shd w:val="clear" w:color="auto" w:fill="auto"/>
            <w:noWrap/>
            <w:vAlign w:val="bottom"/>
            <w:hideMark/>
          </w:tcPr>
          <w:p w:rsidR="00940DFC" w:rsidRPr="00940DFC" w:rsidRDefault="00940DFC" w:rsidP="00940DFC">
            <w:pPr>
              <w:rPr>
                <w:rFonts w:asciiTheme="majorHAnsi" w:hAnsiTheme="majorHAnsi" w:cstheme="majorHAnsi"/>
                <w:color w:val="000000"/>
                <w:lang w:val="vi-VN" w:eastAsia="vi-VN"/>
              </w:rPr>
            </w:pPr>
            <w:r w:rsidRPr="00940DFC">
              <w:rPr>
                <w:rFonts w:asciiTheme="majorHAnsi" w:hAnsiTheme="majorHAnsi" w:cstheme="majorHAnsi"/>
                <w:color w:val="000000"/>
                <w:lang w:val="vi-VN" w:eastAsia="vi-VN"/>
              </w:rPr>
              <w:t>Trị giá hải quan</w:t>
            </w:r>
          </w:p>
        </w:tc>
        <w:tc>
          <w:tcPr>
            <w:tcW w:w="1025" w:type="pct"/>
            <w:tcBorders>
              <w:top w:val="nil"/>
              <w:left w:val="nil"/>
              <w:bottom w:val="single" w:sz="4" w:space="0" w:color="auto"/>
              <w:right w:val="single" w:sz="4" w:space="0" w:color="auto"/>
            </w:tcBorders>
            <w:shd w:val="clear" w:color="auto" w:fill="auto"/>
            <w:noWrap/>
            <w:vAlign w:val="bottom"/>
            <w:hideMark/>
          </w:tcPr>
          <w:p w:rsidR="00940DFC" w:rsidRPr="00940DFC" w:rsidRDefault="00940DFC" w:rsidP="00940DFC">
            <w:pPr>
              <w:jc w:val="center"/>
              <w:rPr>
                <w:rFonts w:asciiTheme="majorHAnsi" w:hAnsiTheme="majorHAnsi" w:cstheme="majorHAnsi"/>
                <w:color w:val="000000"/>
                <w:lang w:val="vi-VN" w:eastAsia="vi-VN"/>
              </w:rPr>
            </w:pPr>
            <w:r w:rsidRPr="00940DFC">
              <w:rPr>
                <w:rFonts w:asciiTheme="majorHAnsi" w:hAnsiTheme="majorHAnsi" w:cstheme="majorHAnsi"/>
                <w:color w:val="000000"/>
                <w:lang w:val="vi-VN" w:eastAsia="vi-VN"/>
              </w:rPr>
              <w:t>207.941.344</w:t>
            </w:r>
          </w:p>
        </w:tc>
        <w:tc>
          <w:tcPr>
            <w:tcW w:w="1064" w:type="pct"/>
            <w:tcBorders>
              <w:top w:val="nil"/>
              <w:left w:val="nil"/>
              <w:bottom w:val="single" w:sz="4" w:space="0" w:color="auto"/>
              <w:right w:val="single" w:sz="4" w:space="0" w:color="auto"/>
            </w:tcBorders>
            <w:shd w:val="clear" w:color="auto" w:fill="auto"/>
            <w:noWrap/>
            <w:vAlign w:val="bottom"/>
            <w:hideMark/>
          </w:tcPr>
          <w:p w:rsidR="00940DFC" w:rsidRPr="00940DFC" w:rsidRDefault="00940DFC" w:rsidP="00940DFC">
            <w:pPr>
              <w:jc w:val="center"/>
              <w:rPr>
                <w:rFonts w:asciiTheme="majorHAnsi" w:hAnsiTheme="majorHAnsi" w:cstheme="majorHAnsi"/>
                <w:color w:val="000000"/>
                <w:lang w:val="vi-VN" w:eastAsia="vi-VN"/>
              </w:rPr>
            </w:pPr>
            <w:r w:rsidRPr="00940DFC">
              <w:rPr>
                <w:rFonts w:asciiTheme="majorHAnsi" w:hAnsiTheme="majorHAnsi" w:cstheme="majorHAnsi"/>
                <w:color w:val="000000"/>
                <w:lang w:val="vi-VN" w:eastAsia="vi-VN"/>
              </w:rPr>
              <w:t>215.148.618</w:t>
            </w:r>
          </w:p>
        </w:tc>
        <w:tc>
          <w:tcPr>
            <w:tcW w:w="859" w:type="pct"/>
            <w:tcBorders>
              <w:top w:val="nil"/>
              <w:left w:val="nil"/>
              <w:bottom w:val="single" w:sz="4" w:space="0" w:color="auto"/>
              <w:right w:val="single" w:sz="4" w:space="0" w:color="auto"/>
            </w:tcBorders>
            <w:shd w:val="clear" w:color="auto" w:fill="auto"/>
            <w:noWrap/>
            <w:vAlign w:val="bottom"/>
            <w:hideMark/>
          </w:tcPr>
          <w:p w:rsidR="00940DFC" w:rsidRPr="00940DFC" w:rsidRDefault="00940DFC" w:rsidP="00940DFC">
            <w:pPr>
              <w:jc w:val="center"/>
              <w:rPr>
                <w:rFonts w:asciiTheme="majorHAnsi" w:hAnsiTheme="majorHAnsi" w:cstheme="majorHAnsi"/>
                <w:color w:val="000000"/>
                <w:lang w:val="vi-VN" w:eastAsia="vi-VN"/>
              </w:rPr>
            </w:pPr>
            <w:r w:rsidRPr="00940DFC">
              <w:rPr>
                <w:rFonts w:asciiTheme="majorHAnsi" w:hAnsiTheme="majorHAnsi" w:cstheme="majorHAnsi"/>
                <w:color w:val="000000"/>
                <w:lang w:val="vi-VN" w:eastAsia="vi-VN"/>
              </w:rPr>
              <w:t>3%</w:t>
            </w:r>
          </w:p>
        </w:tc>
        <w:tc>
          <w:tcPr>
            <w:tcW w:w="1090" w:type="pct"/>
            <w:tcBorders>
              <w:top w:val="nil"/>
              <w:left w:val="nil"/>
              <w:bottom w:val="single" w:sz="4" w:space="0" w:color="auto"/>
              <w:right w:val="single" w:sz="4" w:space="0" w:color="auto"/>
            </w:tcBorders>
            <w:shd w:val="clear" w:color="auto" w:fill="auto"/>
            <w:noWrap/>
            <w:vAlign w:val="bottom"/>
            <w:hideMark/>
          </w:tcPr>
          <w:p w:rsidR="00940DFC" w:rsidRPr="00940DFC" w:rsidRDefault="00940DFC" w:rsidP="00940DFC">
            <w:pPr>
              <w:jc w:val="center"/>
              <w:rPr>
                <w:rFonts w:asciiTheme="majorHAnsi" w:hAnsiTheme="majorHAnsi" w:cstheme="majorHAnsi"/>
                <w:color w:val="000000"/>
                <w:lang w:eastAsia="vi-VN"/>
              </w:rPr>
            </w:pPr>
            <w:r w:rsidRPr="00940DFC">
              <w:rPr>
                <w:rFonts w:asciiTheme="majorHAnsi" w:hAnsiTheme="majorHAnsi" w:cstheme="majorHAnsi"/>
                <w:color w:val="000000"/>
                <w:lang w:eastAsia="vi-VN"/>
              </w:rPr>
              <w:t>7.207.274</w:t>
            </w:r>
          </w:p>
        </w:tc>
      </w:tr>
      <w:tr w:rsidR="00940DFC" w:rsidRPr="00940DFC" w:rsidTr="00EF6C2C">
        <w:trPr>
          <w:trHeight w:val="630"/>
        </w:trPr>
        <w:tc>
          <w:tcPr>
            <w:tcW w:w="962" w:type="pct"/>
            <w:tcBorders>
              <w:top w:val="nil"/>
              <w:left w:val="single" w:sz="4" w:space="0" w:color="auto"/>
              <w:bottom w:val="single" w:sz="4" w:space="0" w:color="auto"/>
              <w:right w:val="single" w:sz="4" w:space="0" w:color="auto"/>
            </w:tcBorders>
            <w:shd w:val="clear" w:color="auto" w:fill="auto"/>
            <w:vAlign w:val="center"/>
            <w:hideMark/>
          </w:tcPr>
          <w:p w:rsidR="00940DFC" w:rsidRPr="00940DFC" w:rsidRDefault="00940DFC" w:rsidP="00940DFC">
            <w:pPr>
              <w:rPr>
                <w:rFonts w:asciiTheme="majorHAnsi" w:hAnsiTheme="majorHAnsi" w:cstheme="majorHAnsi"/>
                <w:color w:val="000000"/>
                <w:lang w:val="vi-VN" w:eastAsia="vi-VN"/>
              </w:rPr>
            </w:pPr>
            <w:r w:rsidRPr="00940DFC">
              <w:rPr>
                <w:rFonts w:asciiTheme="majorHAnsi" w:hAnsiTheme="majorHAnsi" w:cstheme="majorHAnsi"/>
                <w:color w:val="000000"/>
                <w:lang w:val="vi-VN" w:eastAsia="vi-VN"/>
              </w:rPr>
              <w:t>Số thuế NK phải thu (VNĐ)</w:t>
            </w:r>
          </w:p>
        </w:tc>
        <w:tc>
          <w:tcPr>
            <w:tcW w:w="1025" w:type="pct"/>
            <w:tcBorders>
              <w:top w:val="nil"/>
              <w:left w:val="nil"/>
              <w:bottom w:val="single" w:sz="4" w:space="0" w:color="auto"/>
              <w:right w:val="single" w:sz="4" w:space="0" w:color="auto"/>
            </w:tcBorders>
            <w:shd w:val="clear" w:color="auto" w:fill="auto"/>
            <w:noWrap/>
            <w:vAlign w:val="bottom"/>
            <w:hideMark/>
          </w:tcPr>
          <w:p w:rsidR="00940DFC" w:rsidRPr="00940DFC" w:rsidRDefault="00940DFC" w:rsidP="00940DFC">
            <w:pPr>
              <w:jc w:val="center"/>
              <w:rPr>
                <w:rFonts w:asciiTheme="majorHAnsi" w:hAnsiTheme="majorHAnsi" w:cstheme="majorHAnsi"/>
                <w:color w:val="000000"/>
                <w:lang w:val="vi-VN" w:eastAsia="vi-VN"/>
              </w:rPr>
            </w:pPr>
            <w:r w:rsidRPr="00940DFC">
              <w:rPr>
                <w:rFonts w:asciiTheme="majorHAnsi" w:hAnsiTheme="majorHAnsi" w:cstheme="majorHAnsi"/>
                <w:color w:val="000000"/>
                <w:lang w:val="vi-VN" w:eastAsia="vi-VN"/>
              </w:rPr>
              <w:t>162.166.802.066</w:t>
            </w:r>
          </w:p>
        </w:tc>
        <w:tc>
          <w:tcPr>
            <w:tcW w:w="1064" w:type="pct"/>
            <w:tcBorders>
              <w:top w:val="nil"/>
              <w:left w:val="nil"/>
              <w:bottom w:val="single" w:sz="4" w:space="0" w:color="auto"/>
              <w:right w:val="single" w:sz="4" w:space="0" w:color="auto"/>
            </w:tcBorders>
            <w:shd w:val="clear" w:color="auto" w:fill="auto"/>
            <w:noWrap/>
            <w:vAlign w:val="bottom"/>
            <w:hideMark/>
          </w:tcPr>
          <w:p w:rsidR="00940DFC" w:rsidRPr="00940DFC" w:rsidRDefault="00940DFC" w:rsidP="00940DFC">
            <w:pPr>
              <w:jc w:val="center"/>
              <w:rPr>
                <w:rFonts w:asciiTheme="majorHAnsi" w:hAnsiTheme="majorHAnsi" w:cstheme="majorHAnsi"/>
                <w:color w:val="000000"/>
                <w:lang w:val="vi-VN" w:eastAsia="vi-VN"/>
              </w:rPr>
            </w:pPr>
            <w:r w:rsidRPr="00940DFC">
              <w:rPr>
                <w:rFonts w:asciiTheme="majorHAnsi" w:hAnsiTheme="majorHAnsi" w:cstheme="majorHAnsi"/>
                <w:color w:val="000000"/>
                <w:lang w:val="vi-VN" w:eastAsia="vi-VN"/>
              </w:rPr>
              <w:t>4.741.988.868</w:t>
            </w:r>
          </w:p>
        </w:tc>
        <w:tc>
          <w:tcPr>
            <w:tcW w:w="859" w:type="pct"/>
            <w:tcBorders>
              <w:top w:val="nil"/>
              <w:left w:val="nil"/>
              <w:bottom w:val="single" w:sz="4" w:space="0" w:color="auto"/>
              <w:right w:val="single" w:sz="4" w:space="0" w:color="auto"/>
            </w:tcBorders>
            <w:shd w:val="clear" w:color="auto" w:fill="auto"/>
            <w:noWrap/>
            <w:vAlign w:val="bottom"/>
            <w:hideMark/>
          </w:tcPr>
          <w:p w:rsidR="00940DFC" w:rsidRPr="00940DFC" w:rsidRDefault="00940DFC" w:rsidP="00940DFC">
            <w:pPr>
              <w:jc w:val="center"/>
              <w:rPr>
                <w:rFonts w:asciiTheme="majorHAnsi" w:hAnsiTheme="majorHAnsi" w:cstheme="majorHAnsi"/>
                <w:color w:val="000000"/>
                <w:lang w:val="vi-VN" w:eastAsia="vi-VN"/>
              </w:rPr>
            </w:pPr>
            <w:r w:rsidRPr="00940DFC">
              <w:rPr>
                <w:rFonts w:asciiTheme="majorHAnsi" w:hAnsiTheme="majorHAnsi" w:cstheme="majorHAnsi"/>
                <w:color w:val="000000"/>
                <w:lang w:val="vi-VN" w:eastAsia="vi-VN"/>
              </w:rPr>
              <w:t>-</w:t>
            </w:r>
            <w:r w:rsidR="00E272F8">
              <w:rPr>
                <w:rFonts w:asciiTheme="majorHAnsi" w:hAnsiTheme="majorHAnsi" w:cstheme="majorHAnsi"/>
                <w:color w:val="000000"/>
                <w:lang w:eastAsia="vi-VN"/>
              </w:rPr>
              <w:t xml:space="preserve"> </w:t>
            </w:r>
            <w:r w:rsidRPr="00940DFC">
              <w:rPr>
                <w:rFonts w:asciiTheme="majorHAnsi" w:hAnsiTheme="majorHAnsi" w:cstheme="majorHAnsi"/>
                <w:color w:val="000000"/>
                <w:lang w:val="vi-VN" w:eastAsia="vi-VN"/>
              </w:rPr>
              <w:t>97%</w:t>
            </w:r>
          </w:p>
        </w:tc>
        <w:tc>
          <w:tcPr>
            <w:tcW w:w="1090" w:type="pct"/>
            <w:tcBorders>
              <w:top w:val="nil"/>
              <w:left w:val="nil"/>
              <w:bottom w:val="single" w:sz="4" w:space="0" w:color="auto"/>
              <w:right w:val="single" w:sz="4" w:space="0" w:color="auto"/>
            </w:tcBorders>
            <w:shd w:val="clear" w:color="auto" w:fill="auto"/>
            <w:noWrap/>
            <w:vAlign w:val="bottom"/>
            <w:hideMark/>
          </w:tcPr>
          <w:p w:rsidR="00940DFC" w:rsidRPr="00940DFC" w:rsidRDefault="00E272F8" w:rsidP="00940DFC">
            <w:pPr>
              <w:jc w:val="center"/>
              <w:rPr>
                <w:rFonts w:asciiTheme="majorHAnsi" w:hAnsiTheme="majorHAnsi" w:cstheme="majorHAnsi"/>
                <w:color w:val="000000"/>
                <w:lang w:val="vi-VN" w:eastAsia="vi-VN"/>
              </w:rPr>
            </w:pPr>
            <w:r>
              <w:rPr>
                <w:rFonts w:asciiTheme="majorHAnsi" w:hAnsiTheme="majorHAnsi" w:cstheme="majorHAnsi"/>
                <w:color w:val="000000"/>
                <w:lang w:val="vi-VN" w:eastAsia="vi-VN"/>
              </w:rPr>
              <w:t xml:space="preserve">- </w:t>
            </w:r>
            <w:r w:rsidR="00940DFC" w:rsidRPr="00940DFC">
              <w:rPr>
                <w:rFonts w:asciiTheme="majorHAnsi" w:hAnsiTheme="majorHAnsi" w:cstheme="majorHAnsi"/>
                <w:color w:val="000000"/>
                <w:lang w:val="vi-VN" w:eastAsia="vi-VN"/>
              </w:rPr>
              <w:t>157.424.813.198</w:t>
            </w:r>
          </w:p>
        </w:tc>
      </w:tr>
    </w:tbl>
    <w:p w:rsidR="00940DFC" w:rsidRDefault="00940DFC">
      <w:pPr>
        <w:rPr>
          <w:lang w:val="nb-NO"/>
        </w:rPr>
      </w:pPr>
    </w:p>
    <w:p w:rsidR="00940DFC" w:rsidRPr="006C18BB" w:rsidRDefault="006A1A1E" w:rsidP="00773FE8">
      <w:pPr>
        <w:jc w:val="center"/>
        <w:rPr>
          <w:rFonts w:asciiTheme="majorHAnsi" w:hAnsiTheme="majorHAnsi" w:cstheme="majorHAnsi"/>
          <w:i/>
          <w:sz w:val="28"/>
          <w:szCs w:val="28"/>
          <w:lang w:val="nb-NO"/>
        </w:rPr>
      </w:pPr>
      <w:r>
        <w:rPr>
          <w:rFonts w:asciiTheme="majorHAnsi" w:hAnsiTheme="majorHAnsi" w:cstheme="majorHAnsi"/>
          <w:i/>
          <w:sz w:val="28"/>
          <w:szCs w:val="28"/>
          <w:lang w:val="nb-NO"/>
        </w:rPr>
        <w:t>Bảng 5</w:t>
      </w:r>
      <w:r w:rsidR="006C18BB">
        <w:rPr>
          <w:rFonts w:asciiTheme="majorHAnsi" w:hAnsiTheme="majorHAnsi" w:cstheme="majorHAnsi"/>
          <w:i/>
          <w:sz w:val="28"/>
          <w:szCs w:val="28"/>
          <w:lang w:val="nb-NO"/>
        </w:rPr>
        <w:t xml:space="preserve">: </w:t>
      </w:r>
      <w:r w:rsidR="00940DFC" w:rsidRPr="006C18BB">
        <w:rPr>
          <w:rFonts w:asciiTheme="majorHAnsi" w:hAnsiTheme="majorHAnsi" w:cstheme="majorHAnsi"/>
          <w:i/>
          <w:sz w:val="28"/>
          <w:szCs w:val="28"/>
          <w:lang w:val="nb-NO"/>
        </w:rPr>
        <w:t>Vải các loại</w:t>
      </w:r>
    </w:p>
    <w:tbl>
      <w:tblPr>
        <w:tblW w:w="5000" w:type="pct"/>
        <w:tblLook w:val="04A0" w:firstRow="1" w:lastRow="0" w:firstColumn="1" w:lastColumn="0" w:noHBand="0" w:noVBand="1"/>
      </w:tblPr>
      <w:tblGrid>
        <w:gridCol w:w="1743"/>
        <w:gridCol w:w="1953"/>
        <w:gridCol w:w="1953"/>
        <w:gridCol w:w="1556"/>
        <w:gridCol w:w="1856"/>
      </w:tblGrid>
      <w:tr w:rsidR="00E272F8" w:rsidRPr="00940DFC" w:rsidTr="00E272F8">
        <w:trPr>
          <w:trHeight w:val="285"/>
        </w:trPr>
        <w:tc>
          <w:tcPr>
            <w:tcW w:w="9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2F8" w:rsidRPr="00940DFC" w:rsidRDefault="00E272F8" w:rsidP="00E272F8">
            <w:pPr>
              <w:rPr>
                <w:rFonts w:asciiTheme="majorHAnsi" w:hAnsiTheme="majorHAnsi" w:cstheme="majorHAnsi"/>
                <w:color w:val="000000"/>
                <w:lang w:val="vi-VN" w:eastAsia="vi-VN"/>
              </w:rPr>
            </w:pPr>
          </w:p>
        </w:tc>
        <w:tc>
          <w:tcPr>
            <w:tcW w:w="1266" w:type="pct"/>
            <w:tcBorders>
              <w:top w:val="single" w:sz="4" w:space="0" w:color="auto"/>
              <w:left w:val="nil"/>
              <w:bottom w:val="single" w:sz="4" w:space="0" w:color="auto"/>
              <w:right w:val="single" w:sz="4" w:space="0" w:color="auto"/>
            </w:tcBorders>
            <w:shd w:val="clear" w:color="auto" w:fill="auto"/>
            <w:noWrap/>
            <w:vAlign w:val="bottom"/>
            <w:hideMark/>
          </w:tcPr>
          <w:p w:rsidR="00E272F8" w:rsidRPr="00940DFC" w:rsidRDefault="00E272F8" w:rsidP="00E272F8">
            <w:pPr>
              <w:jc w:val="center"/>
              <w:rPr>
                <w:rFonts w:asciiTheme="majorHAnsi" w:hAnsiTheme="majorHAnsi" w:cstheme="majorHAnsi"/>
                <w:color w:val="000000"/>
                <w:lang w:eastAsia="vi-VN"/>
              </w:rPr>
            </w:pPr>
            <w:r w:rsidRPr="00E272F8">
              <w:rPr>
                <w:rFonts w:asciiTheme="majorHAnsi" w:hAnsiTheme="majorHAnsi" w:cstheme="majorHAnsi"/>
                <w:color w:val="000000"/>
                <w:lang w:eastAsia="vi-VN"/>
              </w:rPr>
              <w:t>2016</w:t>
            </w:r>
          </w:p>
        </w:tc>
        <w:tc>
          <w:tcPr>
            <w:tcW w:w="1266" w:type="pct"/>
            <w:tcBorders>
              <w:top w:val="single" w:sz="4" w:space="0" w:color="auto"/>
              <w:left w:val="nil"/>
              <w:bottom w:val="single" w:sz="4" w:space="0" w:color="auto"/>
              <w:right w:val="single" w:sz="4" w:space="0" w:color="auto"/>
            </w:tcBorders>
            <w:shd w:val="clear" w:color="auto" w:fill="auto"/>
            <w:noWrap/>
            <w:vAlign w:val="bottom"/>
            <w:hideMark/>
          </w:tcPr>
          <w:p w:rsidR="00E272F8" w:rsidRPr="00940DFC" w:rsidRDefault="00E272F8" w:rsidP="00E272F8">
            <w:pPr>
              <w:jc w:val="center"/>
              <w:rPr>
                <w:rFonts w:asciiTheme="majorHAnsi" w:hAnsiTheme="majorHAnsi" w:cstheme="majorHAnsi"/>
                <w:color w:val="000000"/>
                <w:lang w:eastAsia="vi-VN"/>
              </w:rPr>
            </w:pPr>
            <w:r>
              <w:rPr>
                <w:rFonts w:asciiTheme="majorHAnsi" w:hAnsiTheme="majorHAnsi" w:cstheme="majorHAnsi"/>
                <w:color w:val="000000"/>
                <w:lang w:eastAsia="vi-VN"/>
              </w:rPr>
              <w:t>2017</w:t>
            </w:r>
          </w:p>
        </w:tc>
        <w:tc>
          <w:tcPr>
            <w:tcW w:w="403" w:type="pct"/>
            <w:tcBorders>
              <w:top w:val="single" w:sz="4" w:space="0" w:color="auto"/>
              <w:left w:val="nil"/>
              <w:bottom w:val="single" w:sz="4" w:space="0" w:color="auto"/>
              <w:right w:val="single" w:sz="4" w:space="0" w:color="auto"/>
            </w:tcBorders>
            <w:shd w:val="clear" w:color="auto" w:fill="auto"/>
            <w:noWrap/>
            <w:vAlign w:val="bottom"/>
            <w:hideMark/>
          </w:tcPr>
          <w:p w:rsidR="00E272F8" w:rsidRPr="00940DFC" w:rsidRDefault="00E272F8" w:rsidP="00E272F8">
            <w:pPr>
              <w:jc w:val="center"/>
              <w:rPr>
                <w:rFonts w:asciiTheme="majorHAnsi" w:hAnsiTheme="majorHAnsi" w:cstheme="majorHAnsi"/>
                <w:color w:val="000000"/>
                <w:lang w:eastAsia="vi-VN"/>
              </w:rPr>
            </w:pPr>
            <w:proofErr w:type="spellStart"/>
            <w:r w:rsidRPr="00940DFC">
              <w:rPr>
                <w:rFonts w:asciiTheme="majorHAnsi" w:hAnsiTheme="majorHAnsi" w:cstheme="majorHAnsi"/>
                <w:color w:val="000000"/>
                <w:lang w:eastAsia="vi-VN"/>
              </w:rPr>
              <w:t>Tỷ</w:t>
            </w:r>
            <w:proofErr w:type="spellEnd"/>
            <w:r w:rsidRPr="00940DFC">
              <w:rPr>
                <w:rFonts w:asciiTheme="majorHAnsi" w:hAnsiTheme="majorHAnsi" w:cstheme="majorHAnsi"/>
                <w:color w:val="000000"/>
                <w:lang w:eastAsia="vi-VN"/>
              </w:rPr>
              <w:t xml:space="preserve"> </w:t>
            </w:r>
            <w:proofErr w:type="spellStart"/>
            <w:r w:rsidRPr="00940DFC">
              <w:rPr>
                <w:rFonts w:asciiTheme="majorHAnsi" w:hAnsiTheme="majorHAnsi" w:cstheme="majorHAnsi"/>
                <w:color w:val="000000"/>
                <w:lang w:eastAsia="vi-VN"/>
              </w:rPr>
              <w:t>lệ</w:t>
            </w:r>
            <w:proofErr w:type="spellEnd"/>
            <w:r w:rsidRPr="00940DFC">
              <w:rPr>
                <w:rFonts w:asciiTheme="majorHAnsi" w:hAnsiTheme="majorHAnsi" w:cstheme="majorHAnsi"/>
                <w:color w:val="000000"/>
                <w:lang w:eastAsia="vi-VN"/>
              </w:rPr>
              <w:t xml:space="preserve"> </w:t>
            </w:r>
            <w:proofErr w:type="spellStart"/>
            <w:r w:rsidRPr="00940DFC">
              <w:rPr>
                <w:rFonts w:asciiTheme="majorHAnsi" w:hAnsiTheme="majorHAnsi" w:cstheme="majorHAnsi"/>
                <w:color w:val="000000"/>
                <w:lang w:eastAsia="vi-VN"/>
              </w:rPr>
              <w:t>thay</w:t>
            </w:r>
            <w:proofErr w:type="spellEnd"/>
            <w:r w:rsidRPr="00940DFC">
              <w:rPr>
                <w:rFonts w:asciiTheme="majorHAnsi" w:hAnsiTheme="majorHAnsi" w:cstheme="majorHAnsi"/>
                <w:color w:val="000000"/>
                <w:lang w:eastAsia="vi-VN"/>
              </w:rPr>
              <w:t xml:space="preserve"> </w:t>
            </w:r>
            <w:proofErr w:type="spellStart"/>
            <w:r w:rsidRPr="00940DFC">
              <w:rPr>
                <w:rFonts w:asciiTheme="majorHAnsi" w:hAnsiTheme="majorHAnsi" w:cstheme="majorHAnsi"/>
                <w:color w:val="000000"/>
                <w:lang w:eastAsia="vi-VN"/>
              </w:rPr>
              <w:t>đổi</w:t>
            </w:r>
            <w:proofErr w:type="spellEnd"/>
          </w:p>
        </w:tc>
        <w:tc>
          <w:tcPr>
            <w:tcW w:w="1113" w:type="pct"/>
            <w:tcBorders>
              <w:top w:val="single" w:sz="4" w:space="0" w:color="auto"/>
              <w:left w:val="nil"/>
              <w:bottom w:val="single" w:sz="4" w:space="0" w:color="auto"/>
              <w:right w:val="single" w:sz="4" w:space="0" w:color="auto"/>
            </w:tcBorders>
            <w:shd w:val="clear" w:color="auto" w:fill="auto"/>
            <w:noWrap/>
            <w:vAlign w:val="bottom"/>
            <w:hideMark/>
          </w:tcPr>
          <w:p w:rsidR="00E272F8" w:rsidRPr="00940DFC" w:rsidRDefault="00E272F8" w:rsidP="00E272F8">
            <w:pPr>
              <w:jc w:val="center"/>
              <w:rPr>
                <w:rFonts w:asciiTheme="majorHAnsi" w:hAnsiTheme="majorHAnsi" w:cstheme="majorHAnsi"/>
                <w:color w:val="000000"/>
                <w:lang w:eastAsia="vi-VN"/>
              </w:rPr>
            </w:pPr>
            <w:proofErr w:type="spellStart"/>
            <w:r w:rsidRPr="00940DFC">
              <w:rPr>
                <w:rFonts w:asciiTheme="majorHAnsi" w:hAnsiTheme="majorHAnsi" w:cstheme="majorHAnsi"/>
                <w:color w:val="000000"/>
                <w:lang w:eastAsia="vi-VN"/>
              </w:rPr>
              <w:t>Giá</w:t>
            </w:r>
            <w:proofErr w:type="spellEnd"/>
            <w:r w:rsidRPr="00940DFC">
              <w:rPr>
                <w:rFonts w:asciiTheme="majorHAnsi" w:hAnsiTheme="majorHAnsi" w:cstheme="majorHAnsi"/>
                <w:color w:val="000000"/>
                <w:lang w:eastAsia="vi-VN"/>
              </w:rPr>
              <w:t xml:space="preserve"> </w:t>
            </w:r>
            <w:proofErr w:type="spellStart"/>
            <w:r w:rsidRPr="00940DFC">
              <w:rPr>
                <w:rFonts w:asciiTheme="majorHAnsi" w:hAnsiTheme="majorHAnsi" w:cstheme="majorHAnsi"/>
                <w:color w:val="000000"/>
                <w:lang w:eastAsia="vi-VN"/>
              </w:rPr>
              <w:t>trị</w:t>
            </w:r>
            <w:proofErr w:type="spellEnd"/>
            <w:r w:rsidRPr="00940DFC">
              <w:rPr>
                <w:rFonts w:asciiTheme="majorHAnsi" w:hAnsiTheme="majorHAnsi" w:cstheme="majorHAnsi"/>
                <w:color w:val="000000"/>
                <w:lang w:eastAsia="vi-VN"/>
              </w:rPr>
              <w:t xml:space="preserve"> </w:t>
            </w:r>
            <w:proofErr w:type="spellStart"/>
            <w:r w:rsidRPr="00940DFC">
              <w:rPr>
                <w:rFonts w:asciiTheme="majorHAnsi" w:hAnsiTheme="majorHAnsi" w:cstheme="majorHAnsi"/>
                <w:color w:val="000000"/>
                <w:lang w:eastAsia="vi-VN"/>
              </w:rPr>
              <w:t>thay</w:t>
            </w:r>
            <w:proofErr w:type="spellEnd"/>
            <w:r w:rsidRPr="00940DFC">
              <w:rPr>
                <w:rFonts w:asciiTheme="majorHAnsi" w:hAnsiTheme="majorHAnsi" w:cstheme="majorHAnsi"/>
                <w:color w:val="000000"/>
                <w:lang w:eastAsia="vi-VN"/>
              </w:rPr>
              <w:t xml:space="preserve"> </w:t>
            </w:r>
            <w:proofErr w:type="spellStart"/>
            <w:r w:rsidRPr="00940DFC">
              <w:rPr>
                <w:rFonts w:asciiTheme="majorHAnsi" w:hAnsiTheme="majorHAnsi" w:cstheme="majorHAnsi"/>
                <w:color w:val="000000"/>
                <w:lang w:eastAsia="vi-VN"/>
              </w:rPr>
              <w:t>đổi</w:t>
            </w:r>
            <w:proofErr w:type="spellEnd"/>
          </w:p>
        </w:tc>
      </w:tr>
      <w:tr w:rsidR="00940DFC" w:rsidRPr="00940DFC" w:rsidTr="00E272F8">
        <w:trPr>
          <w:trHeight w:val="315"/>
        </w:trPr>
        <w:tc>
          <w:tcPr>
            <w:tcW w:w="952" w:type="pct"/>
            <w:tcBorders>
              <w:top w:val="nil"/>
              <w:left w:val="single" w:sz="4" w:space="0" w:color="auto"/>
              <w:bottom w:val="single" w:sz="4" w:space="0" w:color="auto"/>
              <w:right w:val="single" w:sz="4" w:space="0" w:color="auto"/>
            </w:tcBorders>
            <w:shd w:val="clear" w:color="auto" w:fill="auto"/>
            <w:noWrap/>
            <w:vAlign w:val="bottom"/>
            <w:hideMark/>
          </w:tcPr>
          <w:p w:rsidR="00940DFC" w:rsidRPr="00940DFC" w:rsidRDefault="00940DFC" w:rsidP="00E272F8">
            <w:pPr>
              <w:rPr>
                <w:rFonts w:asciiTheme="majorHAnsi" w:hAnsiTheme="majorHAnsi" w:cstheme="majorHAnsi"/>
                <w:color w:val="000000"/>
                <w:lang w:val="vi-VN" w:eastAsia="vi-VN"/>
              </w:rPr>
            </w:pPr>
            <w:r w:rsidRPr="00940DFC">
              <w:rPr>
                <w:rFonts w:asciiTheme="majorHAnsi" w:hAnsiTheme="majorHAnsi" w:cstheme="majorHAnsi"/>
                <w:color w:val="000000"/>
                <w:lang w:val="vi-VN" w:eastAsia="vi-VN"/>
              </w:rPr>
              <w:t>Trị giá hải quan</w:t>
            </w:r>
          </w:p>
        </w:tc>
        <w:tc>
          <w:tcPr>
            <w:tcW w:w="1266" w:type="pct"/>
            <w:tcBorders>
              <w:top w:val="nil"/>
              <w:left w:val="nil"/>
              <w:bottom w:val="single" w:sz="4" w:space="0" w:color="auto"/>
              <w:right w:val="single" w:sz="4" w:space="0" w:color="auto"/>
            </w:tcBorders>
            <w:shd w:val="clear" w:color="auto" w:fill="auto"/>
            <w:noWrap/>
            <w:vAlign w:val="bottom"/>
            <w:hideMark/>
          </w:tcPr>
          <w:p w:rsidR="00940DFC" w:rsidRPr="00940DFC" w:rsidRDefault="00940DFC" w:rsidP="00E272F8">
            <w:pPr>
              <w:jc w:val="center"/>
              <w:rPr>
                <w:rFonts w:asciiTheme="majorHAnsi" w:hAnsiTheme="majorHAnsi" w:cstheme="majorHAnsi"/>
                <w:color w:val="000000"/>
                <w:lang w:val="vi-VN" w:eastAsia="vi-VN"/>
              </w:rPr>
            </w:pPr>
            <w:r w:rsidRPr="00940DFC">
              <w:rPr>
                <w:rFonts w:asciiTheme="majorHAnsi" w:hAnsiTheme="majorHAnsi" w:cstheme="majorHAnsi"/>
                <w:color w:val="000000"/>
                <w:lang w:val="vi-VN" w:eastAsia="vi-VN"/>
              </w:rPr>
              <w:t>227.309.789</w:t>
            </w:r>
          </w:p>
        </w:tc>
        <w:tc>
          <w:tcPr>
            <w:tcW w:w="1266" w:type="pct"/>
            <w:tcBorders>
              <w:top w:val="nil"/>
              <w:left w:val="nil"/>
              <w:bottom w:val="single" w:sz="4" w:space="0" w:color="auto"/>
              <w:right w:val="single" w:sz="4" w:space="0" w:color="auto"/>
            </w:tcBorders>
            <w:shd w:val="clear" w:color="auto" w:fill="auto"/>
            <w:noWrap/>
            <w:vAlign w:val="bottom"/>
            <w:hideMark/>
          </w:tcPr>
          <w:p w:rsidR="00940DFC" w:rsidRPr="00940DFC" w:rsidRDefault="00940DFC" w:rsidP="00E272F8">
            <w:pPr>
              <w:jc w:val="center"/>
              <w:rPr>
                <w:rFonts w:asciiTheme="majorHAnsi" w:hAnsiTheme="majorHAnsi" w:cstheme="majorHAnsi"/>
                <w:color w:val="000000"/>
                <w:lang w:val="vi-VN" w:eastAsia="vi-VN"/>
              </w:rPr>
            </w:pPr>
            <w:r w:rsidRPr="00940DFC">
              <w:rPr>
                <w:rFonts w:asciiTheme="majorHAnsi" w:hAnsiTheme="majorHAnsi" w:cstheme="majorHAnsi"/>
                <w:color w:val="000000"/>
                <w:lang w:val="vi-VN" w:eastAsia="vi-VN"/>
              </w:rPr>
              <w:t>242.296.119</w:t>
            </w:r>
          </w:p>
        </w:tc>
        <w:tc>
          <w:tcPr>
            <w:tcW w:w="403" w:type="pct"/>
            <w:tcBorders>
              <w:top w:val="nil"/>
              <w:left w:val="nil"/>
              <w:bottom w:val="single" w:sz="4" w:space="0" w:color="auto"/>
              <w:right w:val="single" w:sz="4" w:space="0" w:color="auto"/>
            </w:tcBorders>
            <w:shd w:val="clear" w:color="auto" w:fill="auto"/>
            <w:noWrap/>
            <w:vAlign w:val="bottom"/>
            <w:hideMark/>
          </w:tcPr>
          <w:p w:rsidR="00940DFC" w:rsidRPr="00940DFC" w:rsidRDefault="00940DFC" w:rsidP="00E272F8">
            <w:pPr>
              <w:jc w:val="center"/>
              <w:rPr>
                <w:rFonts w:asciiTheme="majorHAnsi" w:hAnsiTheme="majorHAnsi" w:cstheme="majorHAnsi"/>
                <w:color w:val="000000"/>
                <w:lang w:val="vi-VN" w:eastAsia="vi-VN"/>
              </w:rPr>
            </w:pPr>
            <w:r w:rsidRPr="00940DFC">
              <w:rPr>
                <w:rFonts w:asciiTheme="majorHAnsi" w:hAnsiTheme="majorHAnsi" w:cstheme="majorHAnsi"/>
                <w:color w:val="000000"/>
                <w:lang w:val="vi-VN" w:eastAsia="vi-VN"/>
              </w:rPr>
              <w:t>7%</w:t>
            </w:r>
          </w:p>
        </w:tc>
        <w:tc>
          <w:tcPr>
            <w:tcW w:w="1113" w:type="pct"/>
            <w:tcBorders>
              <w:top w:val="nil"/>
              <w:left w:val="nil"/>
              <w:bottom w:val="single" w:sz="4" w:space="0" w:color="auto"/>
              <w:right w:val="single" w:sz="4" w:space="0" w:color="auto"/>
            </w:tcBorders>
            <w:shd w:val="clear" w:color="auto" w:fill="auto"/>
            <w:noWrap/>
            <w:vAlign w:val="bottom"/>
            <w:hideMark/>
          </w:tcPr>
          <w:p w:rsidR="00940DFC" w:rsidRPr="00940DFC" w:rsidRDefault="00940DFC" w:rsidP="00E272F8">
            <w:pPr>
              <w:jc w:val="center"/>
              <w:rPr>
                <w:rFonts w:asciiTheme="majorHAnsi" w:hAnsiTheme="majorHAnsi" w:cstheme="majorHAnsi"/>
                <w:color w:val="000000"/>
                <w:lang w:val="vi-VN" w:eastAsia="vi-VN"/>
              </w:rPr>
            </w:pPr>
            <w:r w:rsidRPr="00940DFC">
              <w:rPr>
                <w:rFonts w:asciiTheme="majorHAnsi" w:hAnsiTheme="majorHAnsi" w:cstheme="majorHAnsi"/>
                <w:color w:val="000000"/>
                <w:lang w:val="vi-VN" w:eastAsia="vi-VN"/>
              </w:rPr>
              <w:t>14.986.330</w:t>
            </w:r>
          </w:p>
        </w:tc>
      </w:tr>
      <w:tr w:rsidR="00940DFC" w:rsidRPr="00940DFC" w:rsidTr="00E272F8">
        <w:trPr>
          <w:trHeight w:val="630"/>
        </w:trPr>
        <w:tc>
          <w:tcPr>
            <w:tcW w:w="952" w:type="pct"/>
            <w:tcBorders>
              <w:top w:val="nil"/>
              <w:left w:val="single" w:sz="4" w:space="0" w:color="auto"/>
              <w:bottom w:val="single" w:sz="4" w:space="0" w:color="auto"/>
              <w:right w:val="single" w:sz="4" w:space="0" w:color="auto"/>
            </w:tcBorders>
            <w:shd w:val="clear" w:color="auto" w:fill="auto"/>
            <w:vAlign w:val="center"/>
            <w:hideMark/>
          </w:tcPr>
          <w:p w:rsidR="00940DFC" w:rsidRPr="00940DFC" w:rsidRDefault="00940DFC" w:rsidP="00E272F8">
            <w:pPr>
              <w:rPr>
                <w:rFonts w:asciiTheme="majorHAnsi" w:hAnsiTheme="majorHAnsi" w:cstheme="majorHAnsi"/>
                <w:color w:val="000000"/>
                <w:lang w:val="vi-VN" w:eastAsia="vi-VN"/>
              </w:rPr>
            </w:pPr>
            <w:r w:rsidRPr="00940DFC">
              <w:rPr>
                <w:rFonts w:asciiTheme="majorHAnsi" w:hAnsiTheme="majorHAnsi" w:cstheme="majorHAnsi"/>
                <w:color w:val="000000"/>
                <w:lang w:val="vi-VN" w:eastAsia="vi-VN"/>
              </w:rPr>
              <w:t>Số thuế NK phải thu (VNĐ)</w:t>
            </w:r>
          </w:p>
        </w:tc>
        <w:tc>
          <w:tcPr>
            <w:tcW w:w="1266" w:type="pct"/>
            <w:tcBorders>
              <w:top w:val="nil"/>
              <w:left w:val="nil"/>
              <w:bottom w:val="single" w:sz="4" w:space="0" w:color="auto"/>
              <w:right w:val="single" w:sz="4" w:space="0" w:color="auto"/>
            </w:tcBorders>
            <w:shd w:val="clear" w:color="auto" w:fill="auto"/>
            <w:noWrap/>
            <w:vAlign w:val="bottom"/>
            <w:hideMark/>
          </w:tcPr>
          <w:p w:rsidR="00940DFC" w:rsidRPr="00940DFC" w:rsidRDefault="00940DFC" w:rsidP="00E272F8">
            <w:pPr>
              <w:jc w:val="center"/>
              <w:rPr>
                <w:rFonts w:asciiTheme="majorHAnsi" w:hAnsiTheme="majorHAnsi" w:cstheme="majorHAnsi"/>
                <w:color w:val="000000"/>
                <w:lang w:val="vi-VN" w:eastAsia="vi-VN"/>
              </w:rPr>
            </w:pPr>
            <w:r w:rsidRPr="00940DFC">
              <w:rPr>
                <w:rFonts w:asciiTheme="majorHAnsi" w:hAnsiTheme="majorHAnsi" w:cstheme="majorHAnsi"/>
                <w:color w:val="000000"/>
                <w:lang w:val="vi-VN" w:eastAsia="vi-VN"/>
              </w:rPr>
              <w:t>55.884.816.396</w:t>
            </w:r>
          </w:p>
        </w:tc>
        <w:tc>
          <w:tcPr>
            <w:tcW w:w="1266" w:type="pct"/>
            <w:tcBorders>
              <w:top w:val="nil"/>
              <w:left w:val="nil"/>
              <w:bottom w:val="single" w:sz="4" w:space="0" w:color="auto"/>
              <w:right w:val="single" w:sz="4" w:space="0" w:color="auto"/>
            </w:tcBorders>
            <w:shd w:val="clear" w:color="auto" w:fill="auto"/>
            <w:noWrap/>
            <w:vAlign w:val="bottom"/>
            <w:hideMark/>
          </w:tcPr>
          <w:p w:rsidR="00940DFC" w:rsidRPr="00940DFC" w:rsidRDefault="00940DFC" w:rsidP="00E272F8">
            <w:pPr>
              <w:jc w:val="center"/>
              <w:rPr>
                <w:rFonts w:asciiTheme="majorHAnsi" w:hAnsiTheme="majorHAnsi" w:cstheme="majorHAnsi"/>
                <w:color w:val="000000"/>
                <w:lang w:val="vi-VN" w:eastAsia="vi-VN"/>
              </w:rPr>
            </w:pPr>
            <w:r w:rsidRPr="00940DFC">
              <w:rPr>
                <w:rFonts w:asciiTheme="majorHAnsi" w:hAnsiTheme="majorHAnsi" w:cstheme="majorHAnsi"/>
                <w:color w:val="000000"/>
                <w:lang w:val="vi-VN" w:eastAsia="vi-VN"/>
              </w:rPr>
              <w:t>1.798.858.299</w:t>
            </w:r>
          </w:p>
        </w:tc>
        <w:tc>
          <w:tcPr>
            <w:tcW w:w="403" w:type="pct"/>
            <w:tcBorders>
              <w:top w:val="nil"/>
              <w:left w:val="nil"/>
              <w:bottom w:val="single" w:sz="4" w:space="0" w:color="auto"/>
              <w:right w:val="single" w:sz="4" w:space="0" w:color="auto"/>
            </w:tcBorders>
            <w:shd w:val="clear" w:color="auto" w:fill="auto"/>
            <w:noWrap/>
            <w:vAlign w:val="bottom"/>
            <w:hideMark/>
          </w:tcPr>
          <w:p w:rsidR="00940DFC" w:rsidRPr="00940DFC" w:rsidRDefault="00940DFC" w:rsidP="00E272F8">
            <w:pPr>
              <w:jc w:val="center"/>
              <w:rPr>
                <w:rFonts w:asciiTheme="majorHAnsi" w:hAnsiTheme="majorHAnsi" w:cstheme="majorHAnsi"/>
                <w:color w:val="000000"/>
                <w:lang w:val="vi-VN" w:eastAsia="vi-VN"/>
              </w:rPr>
            </w:pPr>
            <w:r w:rsidRPr="00940DFC">
              <w:rPr>
                <w:rFonts w:asciiTheme="majorHAnsi" w:hAnsiTheme="majorHAnsi" w:cstheme="majorHAnsi"/>
                <w:color w:val="000000"/>
                <w:lang w:val="vi-VN" w:eastAsia="vi-VN"/>
              </w:rPr>
              <w:t>-</w:t>
            </w:r>
            <w:r w:rsidR="00E272F8">
              <w:rPr>
                <w:rFonts w:asciiTheme="majorHAnsi" w:hAnsiTheme="majorHAnsi" w:cstheme="majorHAnsi"/>
                <w:color w:val="000000"/>
                <w:lang w:eastAsia="vi-VN"/>
              </w:rPr>
              <w:t xml:space="preserve"> </w:t>
            </w:r>
            <w:r w:rsidRPr="00940DFC">
              <w:rPr>
                <w:rFonts w:asciiTheme="majorHAnsi" w:hAnsiTheme="majorHAnsi" w:cstheme="majorHAnsi"/>
                <w:color w:val="000000"/>
                <w:lang w:val="vi-VN" w:eastAsia="vi-VN"/>
              </w:rPr>
              <w:t>97%</w:t>
            </w:r>
          </w:p>
        </w:tc>
        <w:tc>
          <w:tcPr>
            <w:tcW w:w="1113" w:type="pct"/>
            <w:tcBorders>
              <w:top w:val="nil"/>
              <w:left w:val="nil"/>
              <w:bottom w:val="single" w:sz="4" w:space="0" w:color="auto"/>
              <w:right w:val="single" w:sz="4" w:space="0" w:color="auto"/>
            </w:tcBorders>
            <w:shd w:val="clear" w:color="auto" w:fill="auto"/>
            <w:noWrap/>
            <w:vAlign w:val="bottom"/>
            <w:hideMark/>
          </w:tcPr>
          <w:p w:rsidR="00940DFC" w:rsidRPr="00940DFC" w:rsidRDefault="00E272F8" w:rsidP="00E272F8">
            <w:pPr>
              <w:jc w:val="center"/>
              <w:rPr>
                <w:rFonts w:asciiTheme="majorHAnsi" w:hAnsiTheme="majorHAnsi" w:cstheme="majorHAnsi"/>
                <w:color w:val="000000"/>
                <w:lang w:val="vi-VN" w:eastAsia="vi-VN"/>
              </w:rPr>
            </w:pPr>
            <w:r>
              <w:rPr>
                <w:rFonts w:asciiTheme="majorHAnsi" w:hAnsiTheme="majorHAnsi" w:cstheme="majorHAnsi"/>
                <w:color w:val="000000"/>
                <w:lang w:val="vi-VN" w:eastAsia="vi-VN"/>
              </w:rPr>
              <w:t xml:space="preserve">- </w:t>
            </w:r>
            <w:r w:rsidR="00940DFC" w:rsidRPr="00940DFC">
              <w:rPr>
                <w:rFonts w:asciiTheme="majorHAnsi" w:hAnsiTheme="majorHAnsi" w:cstheme="majorHAnsi"/>
                <w:color w:val="000000"/>
                <w:lang w:val="vi-VN" w:eastAsia="vi-VN"/>
              </w:rPr>
              <w:t>54.085.958.097</w:t>
            </w:r>
          </w:p>
        </w:tc>
      </w:tr>
    </w:tbl>
    <w:p w:rsidR="00842AED" w:rsidRDefault="00842AED" w:rsidP="006D4DCB">
      <w:pPr>
        <w:jc w:val="center"/>
        <w:rPr>
          <w:rFonts w:asciiTheme="majorHAnsi" w:hAnsiTheme="majorHAnsi" w:cstheme="majorHAnsi"/>
          <w:i/>
          <w:sz w:val="28"/>
          <w:szCs w:val="28"/>
          <w:lang w:val="nb-NO"/>
        </w:rPr>
      </w:pPr>
    </w:p>
    <w:p w:rsidR="00BD646E" w:rsidRDefault="00842AED" w:rsidP="00111796">
      <w:pPr>
        <w:spacing w:before="120" w:after="120" w:line="276" w:lineRule="auto"/>
        <w:jc w:val="both"/>
        <w:rPr>
          <w:rFonts w:asciiTheme="majorHAnsi" w:hAnsiTheme="majorHAnsi" w:cstheme="majorHAnsi"/>
          <w:i/>
          <w:sz w:val="28"/>
          <w:szCs w:val="28"/>
          <w:lang w:val="nb-NO"/>
        </w:rPr>
      </w:pPr>
      <w:r>
        <w:rPr>
          <w:rFonts w:asciiTheme="majorHAnsi" w:hAnsiTheme="majorHAnsi" w:cstheme="majorHAnsi"/>
          <w:i/>
          <w:sz w:val="28"/>
          <w:szCs w:val="28"/>
          <w:lang w:val="nb-NO"/>
        </w:rPr>
        <w:tab/>
      </w:r>
      <w:r>
        <w:rPr>
          <w:rFonts w:asciiTheme="majorHAnsi" w:hAnsiTheme="majorHAnsi" w:cstheme="majorHAnsi"/>
          <w:sz w:val="28"/>
          <w:szCs w:val="28"/>
          <w:lang w:val="nb-NO"/>
        </w:rPr>
        <w:t xml:space="preserve">Trong giai đoạn từ năm 2019 đến năm 2022, mức thuế suất trung bình tại Hiệp định AHKFTA giảm từ 6,97% năm 2019 xuống 4,98% </w:t>
      </w:r>
      <w:r w:rsidR="00BD646E">
        <w:rPr>
          <w:rFonts w:asciiTheme="majorHAnsi" w:hAnsiTheme="majorHAnsi" w:cstheme="majorHAnsi"/>
          <w:sz w:val="28"/>
          <w:szCs w:val="28"/>
          <w:lang w:val="nb-NO"/>
        </w:rPr>
        <w:t xml:space="preserve"> năm 2022. Mức thay đổi thuế suất trung bình lớn nhất diễn ra trong năm 2021 với mức giảm từ 6,52% </w:t>
      </w:r>
      <w:r w:rsidR="00BD646E">
        <w:rPr>
          <w:rFonts w:asciiTheme="majorHAnsi" w:hAnsiTheme="majorHAnsi" w:cstheme="majorHAnsi"/>
          <w:sz w:val="28"/>
          <w:szCs w:val="28"/>
          <w:lang w:val="nb-NO"/>
        </w:rPr>
        <w:lastRenderedPageBreak/>
        <w:t xml:space="preserve">năm </w:t>
      </w:r>
      <w:r w:rsidR="00D1384B">
        <w:rPr>
          <w:rFonts w:asciiTheme="majorHAnsi" w:hAnsiTheme="majorHAnsi" w:cstheme="majorHAnsi"/>
          <w:sz w:val="28"/>
          <w:szCs w:val="28"/>
          <w:lang w:val="nb-NO"/>
        </w:rPr>
        <w:t>2020 xuống 4,98% trong năm 2021 tương ứng với mức sụt giảm 63,8 tỷ đồng số thu thuế nhập khẩu (theo giả định về kim ngạch nhập khẩu tương đương với KNNK từ Hồng Kông năm 2017).</w:t>
      </w:r>
    </w:p>
    <w:p w:rsidR="0025659C" w:rsidRPr="006D4DCB" w:rsidRDefault="006D4DCB" w:rsidP="006D4DCB">
      <w:pPr>
        <w:jc w:val="center"/>
        <w:rPr>
          <w:rFonts w:asciiTheme="majorHAnsi" w:hAnsiTheme="majorHAnsi" w:cstheme="majorHAnsi"/>
          <w:i/>
          <w:sz w:val="28"/>
          <w:szCs w:val="28"/>
          <w:lang w:val="nb-NO"/>
        </w:rPr>
      </w:pPr>
      <w:r w:rsidRPr="006D4DCB">
        <w:rPr>
          <w:rFonts w:asciiTheme="majorHAnsi" w:hAnsiTheme="majorHAnsi" w:cstheme="majorHAnsi"/>
          <w:i/>
          <w:sz w:val="28"/>
          <w:szCs w:val="28"/>
          <w:lang w:val="nb-NO"/>
        </w:rPr>
        <w:t xml:space="preserve">Bảng 6: </w:t>
      </w:r>
      <w:r w:rsidR="00D1384B">
        <w:rPr>
          <w:rFonts w:asciiTheme="majorHAnsi" w:hAnsiTheme="majorHAnsi" w:cstheme="majorHAnsi"/>
          <w:i/>
          <w:sz w:val="28"/>
          <w:szCs w:val="28"/>
          <w:lang w:val="nb-NO"/>
        </w:rPr>
        <w:t>Mức giảm thuế suất nhập khẩu</w:t>
      </w:r>
    </w:p>
    <w:tbl>
      <w:tblPr>
        <w:tblStyle w:val="TableGrid"/>
        <w:tblW w:w="5000" w:type="pct"/>
        <w:tblLook w:val="04A0" w:firstRow="1" w:lastRow="0" w:firstColumn="1" w:lastColumn="0" w:noHBand="0" w:noVBand="1"/>
      </w:tblPr>
      <w:tblGrid>
        <w:gridCol w:w="3192"/>
        <w:gridCol w:w="1845"/>
        <w:gridCol w:w="1006"/>
        <w:gridCol w:w="1006"/>
        <w:gridCol w:w="1006"/>
        <w:gridCol w:w="1006"/>
      </w:tblGrid>
      <w:tr w:rsidR="004D09BA" w:rsidRPr="006D4DCB" w:rsidTr="00EF6C2C">
        <w:tc>
          <w:tcPr>
            <w:tcW w:w="1762" w:type="pct"/>
          </w:tcPr>
          <w:p w:rsidR="004D09BA" w:rsidRPr="004D09BA" w:rsidRDefault="004D09BA" w:rsidP="004D09BA">
            <w:pPr>
              <w:widowControl w:val="0"/>
              <w:spacing w:before="120" w:after="120" w:line="271" w:lineRule="auto"/>
              <w:jc w:val="center"/>
              <w:rPr>
                <w:rFonts w:asciiTheme="majorHAnsi" w:hAnsiTheme="majorHAnsi" w:cstheme="majorHAnsi"/>
                <w:lang w:val="nb-NO"/>
              </w:rPr>
            </w:pPr>
          </w:p>
        </w:tc>
        <w:tc>
          <w:tcPr>
            <w:tcW w:w="1018" w:type="pct"/>
          </w:tcPr>
          <w:p w:rsidR="004D09BA" w:rsidRPr="004D09BA" w:rsidRDefault="004D09BA" w:rsidP="004D09BA">
            <w:pPr>
              <w:widowControl w:val="0"/>
              <w:spacing w:before="120" w:after="120" w:line="271" w:lineRule="auto"/>
              <w:jc w:val="center"/>
              <w:rPr>
                <w:rFonts w:asciiTheme="majorHAnsi" w:hAnsiTheme="majorHAnsi" w:cstheme="majorHAnsi"/>
                <w:lang w:val="nb-NO"/>
              </w:rPr>
            </w:pPr>
            <w:r w:rsidRPr="004D09BA">
              <w:rPr>
                <w:rFonts w:asciiTheme="majorHAnsi" w:hAnsiTheme="majorHAnsi" w:cstheme="majorHAnsi"/>
                <w:lang w:val="nb-NO"/>
              </w:rPr>
              <w:t>MFN</w:t>
            </w:r>
            <w:r>
              <w:rPr>
                <w:rFonts w:asciiTheme="majorHAnsi" w:hAnsiTheme="majorHAnsi" w:cstheme="majorHAnsi"/>
                <w:lang w:val="nb-NO"/>
              </w:rPr>
              <w:t xml:space="preserve"> 2018</w:t>
            </w:r>
          </w:p>
        </w:tc>
        <w:tc>
          <w:tcPr>
            <w:tcW w:w="555" w:type="pct"/>
          </w:tcPr>
          <w:p w:rsidR="004D09BA" w:rsidRPr="004D09BA" w:rsidRDefault="004D09BA" w:rsidP="004D09BA">
            <w:pPr>
              <w:widowControl w:val="0"/>
              <w:spacing w:before="120" w:after="120" w:line="271" w:lineRule="auto"/>
              <w:jc w:val="center"/>
              <w:rPr>
                <w:rFonts w:asciiTheme="majorHAnsi" w:hAnsiTheme="majorHAnsi" w:cstheme="majorHAnsi"/>
                <w:lang w:val="nb-NO"/>
              </w:rPr>
            </w:pPr>
            <w:r w:rsidRPr="004D09BA">
              <w:rPr>
                <w:rFonts w:asciiTheme="majorHAnsi" w:hAnsiTheme="majorHAnsi" w:cstheme="majorHAnsi"/>
                <w:lang w:val="nb-NO"/>
              </w:rPr>
              <w:t>2019</w:t>
            </w:r>
          </w:p>
        </w:tc>
        <w:tc>
          <w:tcPr>
            <w:tcW w:w="555" w:type="pct"/>
          </w:tcPr>
          <w:p w:rsidR="004D09BA" w:rsidRPr="004D09BA" w:rsidRDefault="004D09BA" w:rsidP="004D09BA">
            <w:pPr>
              <w:widowControl w:val="0"/>
              <w:spacing w:before="120" w:after="120" w:line="271" w:lineRule="auto"/>
              <w:jc w:val="center"/>
              <w:rPr>
                <w:rFonts w:asciiTheme="majorHAnsi" w:hAnsiTheme="majorHAnsi" w:cstheme="majorHAnsi"/>
                <w:lang w:val="nb-NO"/>
              </w:rPr>
            </w:pPr>
            <w:r w:rsidRPr="004D09BA">
              <w:rPr>
                <w:rFonts w:asciiTheme="majorHAnsi" w:hAnsiTheme="majorHAnsi" w:cstheme="majorHAnsi"/>
                <w:lang w:val="nb-NO"/>
              </w:rPr>
              <w:t>2020</w:t>
            </w:r>
          </w:p>
        </w:tc>
        <w:tc>
          <w:tcPr>
            <w:tcW w:w="555" w:type="pct"/>
          </w:tcPr>
          <w:p w:rsidR="004D09BA" w:rsidRPr="004D09BA" w:rsidRDefault="004D09BA" w:rsidP="004D09BA">
            <w:pPr>
              <w:widowControl w:val="0"/>
              <w:spacing w:before="120" w:after="120" w:line="271" w:lineRule="auto"/>
              <w:jc w:val="center"/>
              <w:rPr>
                <w:rFonts w:asciiTheme="majorHAnsi" w:hAnsiTheme="majorHAnsi" w:cstheme="majorHAnsi"/>
                <w:lang w:val="nb-NO"/>
              </w:rPr>
            </w:pPr>
            <w:r w:rsidRPr="004D09BA">
              <w:rPr>
                <w:rFonts w:asciiTheme="majorHAnsi" w:hAnsiTheme="majorHAnsi" w:cstheme="majorHAnsi"/>
                <w:lang w:val="nb-NO"/>
              </w:rPr>
              <w:t>2021</w:t>
            </w:r>
          </w:p>
        </w:tc>
        <w:tc>
          <w:tcPr>
            <w:tcW w:w="555" w:type="pct"/>
          </w:tcPr>
          <w:p w:rsidR="004D09BA" w:rsidRPr="004D09BA" w:rsidRDefault="004D09BA" w:rsidP="004D09BA">
            <w:pPr>
              <w:widowControl w:val="0"/>
              <w:spacing w:before="120" w:after="120" w:line="271" w:lineRule="auto"/>
              <w:jc w:val="center"/>
              <w:rPr>
                <w:rFonts w:asciiTheme="majorHAnsi" w:hAnsiTheme="majorHAnsi" w:cstheme="majorHAnsi"/>
                <w:lang w:val="nb-NO"/>
              </w:rPr>
            </w:pPr>
            <w:r w:rsidRPr="004D09BA">
              <w:rPr>
                <w:rFonts w:asciiTheme="majorHAnsi" w:hAnsiTheme="majorHAnsi" w:cstheme="majorHAnsi"/>
                <w:lang w:val="nb-NO"/>
              </w:rPr>
              <w:t>2022</w:t>
            </w:r>
          </w:p>
        </w:tc>
      </w:tr>
      <w:tr w:rsidR="004D09BA" w:rsidRPr="006D4DCB" w:rsidTr="00EF6C2C">
        <w:tc>
          <w:tcPr>
            <w:tcW w:w="1762" w:type="pct"/>
          </w:tcPr>
          <w:p w:rsidR="004D09BA" w:rsidRPr="004D09BA" w:rsidRDefault="004D09BA" w:rsidP="004D09BA">
            <w:pPr>
              <w:widowControl w:val="0"/>
              <w:spacing w:before="120" w:after="120" w:line="271" w:lineRule="auto"/>
              <w:rPr>
                <w:rFonts w:asciiTheme="majorHAnsi" w:hAnsiTheme="majorHAnsi" w:cstheme="majorHAnsi"/>
                <w:lang w:val="nb-NO"/>
              </w:rPr>
            </w:pPr>
            <w:r w:rsidRPr="004D09BA">
              <w:rPr>
                <w:rFonts w:asciiTheme="majorHAnsi" w:hAnsiTheme="majorHAnsi" w:cstheme="majorHAnsi"/>
                <w:lang w:val="nb-NO"/>
              </w:rPr>
              <w:t>Thuế suất trung bình</w:t>
            </w:r>
          </w:p>
        </w:tc>
        <w:tc>
          <w:tcPr>
            <w:tcW w:w="1018" w:type="pct"/>
          </w:tcPr>
          <w:p w:rsidR="004D09BA" w:rsidRPr="004D09BA" w:rsidRDefault="004D09BA" w:rsidP="004D09BA">
            <w:pPr>
              <w:widowControl w:val="0"/>
              <w:spacing w:before="120" w:after="120" w:line="271" w:lineRule="auto"/>
              <w:jc w:val="center"/>
              <w:rPr>
                <w:rFonts w:asciiTheme="majorHAnsi" w:hAnsiTheme="majorHAnsi" w:cstheme="majorHAnsi"/>
                <w:lang w:val="nb-NO"/>
              </w:rPr>
            </w:pPr>
            <w:r>
              <w:rPr>
                <w:rFonts w:asciiTheme="majorHAnsi" w:hAnsiTheme="majorHAnsi" w:cstheme="majorHAnsi"/>
                <w:lang w:val="nb-NO"/>
              </w:rPr>
              <w:t>12,06</w:t>
            </w:r>
          </w:p>
        </w:tc>
        <w:tc>
          <w:tcPr>
            <w:tcW w:w="555" w:type="pct"/>
          </w:tcPr>
          <w:p w:rsidR="004D09BA" w:rsidRPr="004D09BA" w:rsidRDefault="004D09BA" w:rsidP="004D09BA">
            <w:pPr>
              <w:widowControl w:val="0"/>
              <w:spacing w:before="120" w:after="120" w:line="271" w:lineRule="auto"/>
              <w:jc w:val="center"/>
              <w:rPr>
                <w:rFonts w:asciiTheme="majorHAnsi" w:hAnsiTheme="majorHAnsi" w:cstheme="majorHAnsi"/>
                <w:lang w:val="nb-NO"/>
              </w:rPr>
            </w:pPr>
            <w:r>
              <w:rPr>
                <w:rFonts w:asciiTheme="majorHAnsi" w:hAnsiTheme="majorHAnsi" w:cstheme="majorHAnsi"/>
                <w:lang w:val="nb-NO"/>
              </w:rPr>
              <w:t>6,97</w:t>
            </w:r>
          </w:p>
        </w:tc>
        <w:tc>
          <w:tcPr>
            <w:tcW w:w="555" w:type="pct"/>
          </w:tcPr>
          <w:p w:rsidR="004D09BA" w:rsidRPr="004D09BA" w:rsidRDefault="004D09BA" w:rsidP="004D09BA">
            <w:pPr>
              <w:widowControl w:val="0"/>
              <w:spacing w:before="120" w:after="120" w:line="271" w:lineRule="auto"/>
              <w:jc w:val="center"/>
              <w:rPr>
                <w:rFonts w:asciiTheme="majorHAnsi" w:hAnsiTheme="majorHAnsi" w:cstheme="majorHAnsi"/>
                <w:lang w:val="nb-NO"/>
              </w:rPr>
            </w:pPr>
            <w:r>
              <w:rPr>
                <w:rFonts w:asciiTheme="majorHAnsi" w:hAnsiTheme="majorHAnsi" w:cstheme="majorHAnsi"/>
                <w:lang w:val="nb-NO"/>
              </w:rPr>
              <w:t>6,52</w:t>
            </w:r>
          </w:p>
        </w:tc>
        <w:tc>
          <w:tcPr>
            <w:tcW w:w="555" w:type="pct"/>
          </w:tcPr>
          <w:p w:rsidR="004D09BA" w:rsidRPr="004D09BA" w:rsidRDefault="004D09BA" w:rsidP="004D09BA">
            <w:pPr>
              <w:widowControl w:val="0"/>
              <w:spacing w:before="120" w:after="120" w:line="271" w:lineRule="auto"/>
              <w:jc w:val="center"/>
              <w:rPr>
                <w:rFonts w:asciiTheme="majorHAnsi" w:hAnsiTheme="majorHAnsi" w:cstheme="majorHAnsi"/>
                <w:lang w:val="nb-NO"/>
              </w:rPr>
            </w:pPr>
            <w:r>
              <w:rPr>
                <w:rFonts w:asciiTheme="majorHAnsi" w:hAnsiTheme="majorHAnsi" w:cstheme="majorHAnsi"/>
                <w:lang w:val="nb-NO"/>
              </w:rPr>
              <w:t>4,98</w:t>
            </w:r>
          </w:p>
        </w:tc>
        <w:tc>
          <w:tcPr>
            <w:tcW w:w="555" w:type="pct"/>
          </w:tcPr>
          <w:p w:rsidR="004D09BA" w:rsidRPr="004D09BA" w:rsidRDefault="004D09BA" w:rsidP="004D09BA">
            <w:pPr>
              <w:widowControl w:val="0"/>
              <w:spacing w:before="120" w:after="120" w:line="271" w:lineRule="auto"/>
              <w:jc w:val="center"/>
              <w:rPr>
                <w:rFonts w:asciiTheme="majorHAnsi" w:hAnsiTheme="majorHAnsi" w:cstheme="majorHAnsi"/>
                <w:lang w:val="nb-NO"/>
              </w:rPr>
            </w:pPr>
            <w:r>
              <w:rPr>
                <w:rFonts w:asciiTheme="majorHAnsi" w:hAnsiTheme="majorHAnsi" w:cstheme="majorHAnsi"/>
                <w:lang w:val="nb-NO"/>
              </w:rPr>
              <w:t>4,98</w:t>
            </w:r>
          </w:p>
        </w:tc>
      </w:tr>
    </w:tbl>
    <w:p w:rsidR="00111796" w:rsidRDefault="00111796">
      <w:pPr>
        <w:rPr>
          <w:lang w:val="nb-NO"/>
        </w:rPr>
      </w:pPr>
    </w:p>
    <w:p w:rsidR="006C18BB" w:rsidRDefault="006C18BB" w:rsidP="00111796">
      <w:pPr>
        <w:spacing w:line="276" w:lineRule="auto"/>
        <w:rPr>
          <w:rFonts w:asciiTheme="majorHAnsi" w:hAnsiTheme="majorHAnsi" w:cstheme="majorHAnsi"/>
          <w:b/>
          <w:sz w:val="28"/>
          <w:szCs w:val="28"/>
          <w:lang w:val="nb-NO"/>
        </w:rPr>
      </w:pPr>
      <w:r>
        <w:rPr>
          <w:rFonts w:asciiTheme="majorHAnsi" w:hAnsiTheme="majorHAnsi" w:cstheme="majorHAnsi"/>
          <w:b/>
          <w:sz w:val="28"/>
          <w:szCs w:val="28"/>
          <w:lang w:val="nb-NO"/>
        </w:rPr>
        <w:tab/>
        <w:t xml:space="preserve">4. </w:t>
      </w:r>
      <w:r w:rsidR="00415B15">
        <w:rPr>
          <w:rFonts w:asciiTheme="majorHAnsi" w:hAnsiTheme="majorHAnsi" w:cstheme="majorHAnsi"/>
          <w:b/>
          <w:sz w:val="28"/>
          <w:szCs w:val="28"/>
          <w:lang w:val="nb-NO"/>
        </w:rPr>
        <w:t>Một số</w:t>
      </w:r>
      <w:r>
        <w:rPr>
          <w:rFonts w:asciiTheme="majorHAnsi" w:hAnsiTheme="majorHAnsi" w:cstheme="majorHAnsi"/>
          <w:b/>
          <w:sz w:val="28"/>
          <w:szCs w:val="28"/>
          <w:lang w:val="nb-NO"/>
        </w:rPr>
        <w:t xml:space="preserve"> giả định:</w:t>
      </w:r>
    </w:p>
    <w:p w:rsidR="002373FB" w:rsidRPr="002373FB" w:rsidRDefault="002373FB" w:rsidP="00111796">
      <w:pPr>
        <w:spacing w:before="120" w:after="120" w:line="276" w:lineRule="auto"/>
        <w:ind w:firstLine="720"/>
        <w:jc w:val="both"/>
        <w:rPr>
          <w:rFonts w:ascii="Times New Roman" w:hAnsi="Times New Roman"/>
          <w:sz w:val="28"/>
          <w:szCs w:val="28"/>
          <w:lang w:val="nb-NO"/>
        </w:rPr>
      </w:pPr>
      <w:r w:rsidRPr="002373FB">
        <w:rPr>
          <w:rFonts w:ascii="Times New Roman" w:hAnsi="Times New Roman"/>
          <w:sz w:val="28"/>
          <w:szCs w:val="28"/>
          <w:lang w:val="nb-NO"/>
        </w:rPr>
        <w:t xml:space="preserve">Giả định KNNK và tỷ lệ sử dụng Form C/O </w:t>
      </w:r>
      <w:r w:rsidR="006636F2">
        <w:rPr>
          <w:rFonts w:ascii="Times New Roman" w:hAnsi="Times New Roman"/>
          <w:sz w:val="28"/>
          <w:szCs w:val="28"/>
          <w:lang w:val="nb-NO"/>
        </w:rPr>
        <w:t>năm 2019 và các năm giai đoạn 2020-2022</w:t>
      </w:r>
      <w:r w:rsidRPr="002373FB">
        <w:rPr>
          <w:rFonts w:ascii="Times New Roman" w:hAnsi="Times New Roman"/>
          <w:sz w:val="28"/>
          <w:szCs w:val="28"/>
          <w:lang w:val="nb-NO"/>
        </w:rPr>
        <w:t xml:space="preserve"> không đổi so với KNNK năm 2017. Theo đó, mức cắt giảm thuế nhập khẩu ưu đãi đặc biệt của Việt Nam trong </w:t>
      </w:r>
      <w:r w:rsidR="006636F2">
        <w:rPr>
          <w:rFonts w:ascii="Times New Roman" w:hAnsi="Times New Roman"/>
          <w:sz w:val="28"/>
          <w:szCs w:val="28"/>
          <w:lang w:val="nb-NO"/>
        </w:rPr>
        <w:t>Hiệp định AHK</w:t>
      </w:r>
      <w:r w:rsidRPr="002373FB">
        <w:rPr>
          <w:rFonts w:ascii="Times New Roman" w:hAnsi="Times New Roman"/>
          <w:sz w:val="28"/>
          <w:szCs w:val="28"/>
          <w:lang w:val="nb-NO"/>
        </w:rPr>
        <w:t>FTA sẽ dẫn đến giảm số thu từ hoạt động nhập khẩu theo đối tác. Trên cơ sở đó, nếu mức tăng trưởng KNNK từ đối tác và tỷ lệ sử dụng Form C/O thống kê thực tế theo từng năm tăng đủ để bù đắp mức giảm số thu từ hoạt động nhập khẩu theo đối tác nêu trên thì dự kiến sẽ dẫn đến tăng thu từ hoạt động nhập khẩu, và ngược lại sẽ dẫn đến giảm thu.</w:t>
      </w:r>
    </w:p>
    <w:p w:rsidR="002373FB" w:rsidRPr="002373FB" w:rsidRDefault="002373FB" w:rsidP="00111796">
      <w:pPr>
        <w:spacing w:before="120" w:after="120" w:line="276" w:lineRule="auto"/>
        <w:ind w:firstLine="720"/>
        <w:jc w:val="both"/>
        <w:rPr>
          <w:rFonts w:ascii="Times New Roman" w:hAnsi="Times New Roman"/>
          <w:sz w:val="28"/>
          <w:szCs w:val="28"/>
          <w:lang w:val="nb-NO"/>
        </w:rPr>
      </w:pPr>
      <w:r w:rsidRPr="002373FB">
        <w:rPr>
          <w:rFonts w:ascii="Times New Roman" w:hAnsi="Times New Roman"/>
          <w:sz w:val="28"/>
          <w:szCs w:val="28"/>
          <w:lang w:val="nb-NO"/>
        </w:rPr>
        <w:t>Dự kiến thu thuế NK năm 201</w:t>
      </w:r>
      <w:r>
        <w:rPr>
          <w:rFonts w:ascii="Times New Roman" w:hAnsi="Times New Roman"/>
          <w:sz w:val="28"/>
          <w:szCs w:val="28"/>
          <w:lang w:val="nb-NO"/>
        </w:rPr>
        <w:t>9</w:t>
      </w:r>
      <w:r w:rsidRPr="002373FB">
        <w:rPr>
          <w:rFonts w:ascii="Times New Roman" w:hAnsi="Times New Roman"/>
          <w:sz w:val="28"/>
          <w:szCs w:val="28"/>
          <w:lang w:val="nb-NO"/>
        </w:rPr>
        <w:t xml:space="preserve"> (tính theo dòng) = KNNK 2017 x tỷ lệ KNNK có C/O 2017 x ts FTA 201</w:t>
      </w:r>
      <w:r>
        <w:rPr>
          <w:rFonts w:ascii="Times New Roman" w:hAnsi="Times New Roman"/>
          <w:sz w:val="28"/>
          <w:szCs w:val="28"/>
          <w:lang w:val="nb-NO"/>
        </w:rPr>
        <w:t>9</w:t>
      </w:r>
      <w:r w:rsidRPr="002373FB">
        <w:rPr>
          <w:rFonts w:ascii="Times New Roman" w:hAnsi="Times New Roman"/>
          <w:sz w:val="28"/>
          <w:szCs w:val="28"/>
          <w:lang w:val="nb-NO"/>
        </w:rPr>
        <w:t xml:space="preserve"> x 22.500</w:t>
      </w:r>
    </w:p>
    <w:p w:rsidR="00D1384B" w:rsidRPr="00111796" w:rsidRDefault="002373FB" w:rsidP="00111796">
      <w:pPr>
        <w:spacing w:before="120" w:after="120" w:line="276" w:lineRule="auto"/>
        <w:ind w:firstLine="720"/>
        <w:jc w:val="both"/>
        <w:rPr>
          <w:rFonts w:ascii="Times New Roman" w:hAnsi="Times New Roman"/>
          <w:sz w:val="28"/>
          <w:szCs w:val="28"/>
          <w:lang w:val="nb-NO"/>
        </w:rPr>
      </w:pPr>
      <w:r w:rsidRPr="002373FB">
        <w:rPr>
          <w:rFonts w:ascii="Times New Roman" w:hAnsi="Times New Roman"/>
          <w:sz w:val="28"/>
          <w:szCs w:val="28"/>
          <w:lang w:val="nb-NO"/>
        </w:rPr>
        <w:t xml:space="preserve">Dự kiến số thu từng năm và thay đổi số thu năm sau so với năm trước giai đoạn </w:t>
      </w:r>
      <w:r>
        <w:rPr>
          <w:rFonts w:ascii="Times New Roman" w:hAnsi="Times New Roman"/>
          <w:sz w:val="28"/>
          <w:szCs w:val="28"/>
          <w:lang w:val="nb-NO"/>
        </w:rPr>
        <w:t>2020</w:t>
      </w:r>
      <w:r w:rsidRPr="002373FB">
        <w:rPr>
          <w:rFonts w:ascii="Times New Roman" w:hAnsi="Times New Roman"/>
          <w:sz w:val="28"/>
          <w:szCs w:val="28"/>
          <w:lang w:val="nb-NO"/>
        </w:rPr>
        <w:t>-202</w:t>
      </w:r>
      <w:r>
        <w:rPr>
          <w:rFonts w:ascii="Times New Roman" w:hAnsi="Times New Roman"/>
          <w:sz w:val="28"/>
          <w:szCs w:val="28"/>
          <w:lang w:val="nb-NO"/>
        </w:rPr>
        <w:t>2</w:t>
      </w:r>
      <w:r w:rsidRPr="002373FB">
        <w:rPr>
          <w:rFonts w:ascii="Times New Roman" w:hAnsi="Times New Roman"/>
          <w:sz w:val="28"/>
          <w:szCs w:val="28"/>
          <w:lang w:val="nb-NO"/>
        </w:rPr>
        <w:t xml:space="preserve"> tương tự phương pháp tính cho năm 201</w:t>
      </w:r>
      <w:r>
        <w:rPr>
          <w:rFonts w:ascii="Times New Roman" w:hAnsi="Times New Roman"/>
          <w:sz w:val="28"/>
          <w:szCs w:val="28"/>
          <w:lang w:val="nb-NO"/>
        </w:rPr>
        <w:t>9</w:t>
      </w:r>
      <w:r w:rsidRPr="002373FB">
        <w:rPr>
          <w:rFonts w:ascii="Times New Roman" w:hAnsi="Times New Roman"/>
          <w:sz w:val="28"/>
          <w:szCs w:val="28"/>
          <w:lang w:val="nb-NO"/>
        </w:rPr>
        <w:t>.</w:t>
      </w:r>
      <w:r>
        <w:rPr>
          <w:rFonts w:asciiTheme="majorHAnsi" w:hAnsiTheme="majorHAnsi" w:cstheme="majorHAnsi"/>
          <w:sz w:val="28"/>
          <w:szCs w:val="28"/>
          <w:lang w:val="nb-NO"/>
        </w:rPr>
        <w:tab/>
      </w:r>
    </w:p>
    <w:p w:rsidR="001D77BE" w:rsidRPr="006D48AF" w:rsidRDefault="002373FB" w:rsidP="00111796">
      <w:pPr>
        <w:spacing w:before="120" w:after="120" w:line="276" w:lineRule="auto"/>
        <w:rPr>
          <w:rFonts w:asciiTheme="majorHAnsi" w:hAnsiTheme="majorHAnsi" w:cstheme="majorHAnsi"/>
          <w:b/>
          <w:sz w:val="28"/>
          <w:szCs w:val="28"/>
          <w:u w:val="single"/>
          <w:lang w:val="nb-NO"/>
        </w:rPr>
      </w:pPr>
      <w:r w:rsidRPr="002373FB">
        <w:rPr>
          <w:rFonts w:asciiTheme="majorHAnsi" w:hAnsiTheme="majorHAnsi" w:cstheme="majorHAnsi"/>
          <w:b/>
          <w:sz w:val="28"/>
          <w:szCs w:val="28"/>
          <w:lang w:val="nb-NO"/>
        </w:rPr>
        <w:tab/>
      </w:r>
      <w:r w:rsidR="0025659C" w:rsidRPr="0025659C">
        <w:rPr>
          <w:rFonts w:asciiTheme="majorHAnsi" w:hAnsiTheme="majorHAnsi" w:cstheme="majorHAnsi"/>
          <w:b/>
          <w:sz w:val="28"/>
          <w:szCs w:val="28"/>
          <w:u w:val="single"/>
          <w:lang w:val="nb-NO"/>
        </w:rPr>
        <w:t xml:space="preserve">Giả </w:t>
      </w:r>
      <w:r w:rsidR="0025659C">
        <w:rPr>
          <w:rFonts w:asciiTheme="majorHAnsi" w:hAnsiTheme="majorHAnsi" w:cstheme="majorHAnsi"/>
          <w:b/>
          <w:sz w:val="28"/>
          <w:szCs w:val="28"/>
          <w:u w:val="single"/>
          <w:lang w:val="nb-NO"/>
        </w:rPr>
        <w:t>định</w:t>
      </w:r>
      <w:r w:rsidR="006A1A1E">
        <w:rPr>
          <w:rFonts w:asciiTheme="majorHAnsi" w:hAnsiTheme="majorHAnsi" w:cstheme="majorHAnsi"/>
          <w:b/>
          <w:sz w:val="28"/>
          <w:szCs w:val="28"/>
          <w:u w:val="single"/>
          <w:lang w:val="nb-NO"/>
        </w:rPr>
        <w:t xml:space="preserve"> tỷ lệ</w:t>
      </w:r>
      <w:r w:rsidR="0025659C">
        <w:rPr>
          <w:rFonts w:asciiTheme="majorHAnsi" w:hAnsiTheme="majorHAnsi" w:cstheme="majorHAnsi"/>
          <w:b/>
          <w:sz w:val="28"/>
          <w:szCs w:val="28"/>
          <w:u w:val="single"/>
          <w:lang w:val="nb-NO"/>
        </w:rPr>
        <w:t xml:space="preserve"> form C/O được sử dụng </w:t>
      </w:r>
      <w:r w:rsidR="006A1A1E">
        <w:rPr>
          <w:rFonts w:asciiTheme="majorHAnsi" w:hAnsiTheme="majorHAnsi" w:cstheme="majorHAnsi"/>
          <w:b/>
          <w:sz w:val="28"/>
          <w:szCs w:val="28"/>
          <w:u w:val="single"/>
          <w:lang w:val="nb-NO"/>
        </w:rPr>
        <w:t xml:space="preserve">là </w:t>
      </w:r>
      <w:r w:rsidR="00111796">
        <w:rPr>
          <w:rFonts w:asciiTheme="majorHAnsi" w:hAnsiTheme="majorHAnsi" w:cstheme="majorHAnsi"/>
          <w:b/>
          <w:sz w:val="28"/>
          <w:szCs w:val="28"/>
          <w:u w:val="single"/>
          <w:lang w:val="nb-NO"/>
        </w:rPr>
        <w:t>35</w:t>
      </w:r>
      <w:r w:rsidR="0025659C">
        <w:rPr>
          <w:rFonts w:asciiTheme="majorHAnsi" w:hAnsiTheme="majorHAnsi" w:cstheme="majorHAnsi"/>
          <w:b/>
          <w:sz w:val="28"/>
          <w:szCs w:val="28"/>
          <w:u w:val="single"/>
          <w:lang w:val="nb-NO"/>
        </w:rPr>
        <w:t>%</w:t>
      </w:r>
      <w:r w:rsidR="00EF6C2C">
        <w:rPr>
          <w:rFonts w:asciiTheme="majorHAnsi" w:hAnsiTheme="majorHAnsi" w:cstheme="majorHAnsi"/>
          <w:b/>
          <w:sz w:val="28"/>
          <w:szCs w:val="28"/>
          <w:u w:val="single"/>
          <w:lang w:val="nb-NO"/>
        </w:rPr>
        <w:t>:</w:t>
      </w:r>
    </w:p>
    <w:p w:rsidR="0025659C" w:rsidRDefault="001D77BE" w:rsidP="00111796">
      <w:pPr>
        <w:spacing w:before="120" w:after="120" w:line="276" w:lineRule="auto"/>
        <w:jc w:val="both"/>
        <w:rPr>
          <w:rFonts w:asciiTheme="majorHAnsi" w:hAnsiTheme="majorHAnsi" w:cstheme="majorHAnsi"/>
          <w:sz w:val="28"/>
          <w:szCs w:val="28"/>
          <w:lang w:val="nb-NO"/>
        </w:rPr>
      </w:pPr>
      <w:r>
        <w:rPr>
          <w:rFonts w:asciiTheme="majorHAnsi" w:hAnsiTheme="majorHAnsi" w:cstheme="majorHAnsi"/>
          <w:sz w:val="28"/>
          <w:szCs w:val="28"/>
          <w:lang w:val="nb-NO"/>
        </w:rPr>
        <w:tab/>
      </w:r>
      <w:r w:rsidR="00111796">
        <w:rPr>
          <w:rFonts w:asciiTheme="majorHAnsi" w:hAnsiTheme="majorHAnsi" w:cstheme="majorHAnsi"/>
          <w:sz w:val="28"/>
          <w:szCs w:val="28"/>
          <w:lang w:val="nb-NO"/>
        </w:rPr>
        <w:t xml:space="preserve">Giả định mức tận dụng ưu đãi form C/O </w:t>
      </w:r>
      <w:r w:rsidR="00111796">
        <w:rPr>
          <w:rFonts w:asciiTheme="majorHAnsi" w:hAnsiTheme="majorHAnsi" w:cstheme="majorHAnsi"/>
          <w:sz w:val="28"/>
          <w:szCs w:val="28"/>
          <w:lang w:val="nb-NO"/>
        </w:rPr>
        <w:t xml:space="preserve">từ Hiệp định </w:t>
      </w:r>
      <w:r w:rsidR="00111796">
        <w:rPr>
          <w:rFonts w:asciiTheme="majorHAnsi" w:hAnsiTheme="majorHAnsi" w:cstheme="majorHAnsi"/>
          <w:sz w:val="28"/>
          <w:szCs w:val="28"/>
          <w:lang w:val="nb-NO"/>
        </w:rPr>
        <w:t>ASEAN – Hồng Kông đạt tỷ lệ 35%, là mức tận dụng ưu đãi trung bình tại các Hiệp định thương mại tự do năm 2016 và 2017.</w:t>
      </w:r>
      <w:r w:rsidR="006D48AF">
        <w:rPr>
          <w:rFonts w:asciiTheme="majorHAnsi" w:hAnsiTheme="majorHAnsi" w:cstheme="majorHAnsi"/>
          <w:sz w:val="28"/>
          <w:szCs w:val="28"/>
          <w:lang w:val="nb-NO"/>
        </w:rPr>
        <w:t xml:space="preserve"> Theo đó, dự thu thuế nhập khẩu năm 2019 sẽ đạt </w:t>
      </w:r>
      <w:r w:rsidR="00EF6C2C">
        <w:rPr>
          <w:rFonts w:asciiTheme="majorHAnsi" w:hAnsiTheme="majorHAnsi" w:cstheme="majorHAnsi"/>
          <w:sz w:val="28"/>
          <w:szCs w:val="28"/>
          <w:lang w:val="nb-NO"/>
        </w:rPr>
        <w:t>119,64</w:t>
      </w:r>
      <w:r w:rsidR="006D48AF">
        <w:rPr>
          <w:rFonts w:asciiTheme="majorHAnsi" w:hAnsiTheme="majorHAnsi" w:cstheme="majorHAnsi"/>
          <w:sz w:val="28"/>
          <w:szCs w:val="28"/>
          <w:lang w:val="nb-NO"/>
        </w:rPr>
        <w:t xml:space="preserve"> tỷ đồng và giảm dần trong các năm tiếp theo. Tới năm 2022, dự thu thuế nhập khẩu giảm </w:t>
      </w:r>
      <w:r w:rsidR="00EF6C2C">
        <w:rPr>
          <w:rFonts w:asciiTheme="majorHAnsi" w:hAnsiTheme="majorHAnsi" w:cstheme="majorHAnsi"/>
          <w:sz w:val="28"/>
          <w:szCs w:val="28"/>
          <w:lang w:val="nb-NO"/>
        </w:rPr>
        <w:t>2</w:t>
      </w:r>
      <w:r w:rsidR="006D48AF">
        <w:rPr>
          <w:rFonts w:asciiTheme="majorHAnsi" w:hAnsiTheme="majorHAnsi" w:cstheme="majorHAnsi"/>
          <w:sz w:val="28"/>
          <w:szCs w:val="28"/>
          <w:lang w:val="nb-NO"/>
        </w:rPr>
        <w:t>7,</w:t>
      </w:r>
      <w:r w:rsidR="00EF6C2C">
        <w:rPr>
          <w:rFonts w:asciiTheme="majorHAnsi" w:hAnsiTheme="majorHAnsi" w:cstheme="majorHAnsi"/>
          <w:sz w:val="28"/>
          <w:szCs w:val="28"/>
          <w:lang w:val="nb-NO"/>
        </w:rPr>
        <w:t>62</w:t>
      </w:r>
      <w:r w:rsidR="006D48AF">
        <w:rPr>
          <w:rFonts w:asciiTheme="majorHAnsi" w:hAnsiTheme="majorHAnsi" w:cstheme="majorHAnsi"/>
          <w:sz w:val="28"/>
          <w:szCs w:val="28"/>
          <w:lang w:val="nb-NO"/>
        </w:rPr>
        <w:t xml:space="preserve"> tỷ đồng (tươn</w:t>
      </w:r>
      <w:r w:rsidR="00EF6C2C">
        <w:rPr>
          <w:rFonts w:asciiTheme="majorHAnsi" w:hAnsiTheme="majorHAnsi" w:cstheme="majorHAnsi"/>
          <w:sz w:val="28"/>
          <w:szCs w:val="28"/>
          <w:lang w:val="nb-NO"/>
        </w:rPr>
        <w:t>g ứng mức giảm 23%) xuống mức 91</w:t>
      </w:r>
      <w:r w:rsidR="006D48AF">
        <w:rPr>
          <w:rFonts w:asciiTheme="majorHAnsi" w:hAnsiTheme="majorHAnsi" w:cstheme="majorHAnsi"/>
          <w:sz w:val="28"/>
          <w:szCs w:val="28"/>
          <w:lang w:val="nb-NO"/>
        </w:rPr>
        <w:t>,</w:t>
      </w:r>
      <w:r w:rsidR="00EF6C2C">
        <w:rPr>
          <w:rFonts w:asciiTheme="majorHAnsi" w:hAnsiTheme="majorHAnsi" w:cstheme="majorHAnsi"/>
          <w:sz w:val="28"/>
          <w:szCs w:val="28"/>
          <w:lang w:val="nb-NO"/>
        </w:rPr>
        <w:t>98</w:t>
      </w:r>
      <w:r w:rsidR="006D48AF">
        <w:rPr>
          <w:rFonts w:asciiTheme="majorHAnsi" w:hAnsiTheme="majorHAnsi" w:cstheme="majorHAnsi"/>
          <w:sz w:val="28"/>
          <w:szCs w:val="28"/>
          <w:lang w:val="nb-NO"/>
        </w:rPr>
        <w:t xml:space="preserve"> tỷ đồng.</w:t>
      </w:r>
    </w:p>
    <w:tbl>
      <w:tblPr>
        <w:tblStyle w:val="TableGrid"/>
        <w:tblW w:w="5000" w:type="pct"/>
        <w:tblLook w:val="04A0" w:firstRow="1" w:lastRow="0" w:firstColumn="1" w:lastColumn="0" w:noHBand="0" w:noVBand="1"/>
      </w:tblPr>
      <w:tblGrid>
        <w:gridCol w:w="1695"/>
        <w:gridCol w:w="1868"/>
        <w:gridCol w:w="1868"/>
        <w:gridCol w:w="1816"/>
        <w:gridCol w:w="1814"/>
      </w:tblGrid>
      <w:tr w:rsidR="00EF6C2C" w:rsidTr="00EF6C2C">
        <w:tc>
          <w:tcPr>
            <w:tcW w:w="935" w:type="pct"/>
          </w:tcPr>
          <w:p w:rsidR="00EF6C2C" w:rsidRPr="0025659C" w:rsidRDefault="00EF6C2C" w:rsidP="00EF6C2C">
            <w:pPr>
              <w:jc w:val="center"/>
              <w:rPr>
                <w:rFonts w:asciiTheme="majorHAnsi" w:hAnsiTheme="majorHAnsi" w:cstheme="majorHAnsi"/>
                <w:lang w:val="nb-NO"/>
              </w:rPr>
            </w:pPr>
          </w:p>
        </w:tc>
        <w:tc>
          <w:tcPr>
            <w:tcW w:w="1031" w:type="pct"/>
          </w:tcPr>
          <w:p w:rsidR="00EF6C2C" w:rsidRPr="0025659C" w:rsidRDefault="00EF6C2C" w:rsidP="00EF6C2C">
            <w:pPr>
              <w:jc w:val="center"/>
              <w:rPr>
                <w:rFonts w:asciiTheme="majorHAnsi" w:hAnsiTheme="majorHAnsi" w:cstheme="majorHAnsi"/>
                <w:lang w:val="nb-NO"/>
              </w:rPr>
            </w:pPr>
            <w:r w:rsidRPr="0025659C">
              <w:rPr>
                <w:rFonts w:asciiTheme="majorHAnsi" w:hAnsiTheme="majorHAnsi" w:cstheme="majorHAnsi"/>
                <w:lang w:val="nb-NO"/>
              </w:rPr>
              <w:t xml:space="preserve">Dự thu </w:t>
            </w:r>
            <w:r>
              <w:rPr>
                <w:rFonts w:asciiTheme="majorHAnsi" w:hAnsiTheme="majorHAnsi" w:cstheme="majorHAnsi"/>
                <w:lang w:val="nb-NO"/>
              </w:rPr>
              <w:t>2019</w:t>
            </w:r>
          </w:p>
        </w:tc>
        <w:tc>
          <w:tcPr>
            <w:tcW w:w="1031" w:type="pct"/>
          </w:tcPr>
          <w:p w:rsidR="00EF6C2C" w:rsidRPr="0025659C" w:rsidRDefault="00EF6C2C" w:rsidP="00EF6C2C">
            <w:pPr>
              <w:jc w:val="center"/>
              <w:rPr>
                <w:rFonts w:asciiTheme="majorHAnsi" w:hAnsiTheme="majorHAnsi" w:cstheme="majorHAnsi"/>
                <w:lang w:val="nb-NO"/>
              </w:rPr>
            </w:pPr>
            <w:r w:rsidRPr="0025659C">
              <w:rPr>
                <w:rFonts w:asciiTheme="majorHAnsi" w:hAnsiTheme="majorHAnsi" w:cstheme="majorHAnsi"/>
                <w:lang w:val="nb-NO"/>
              </w:rPr>
              <w:t xml:space="preserve">Dự thu </w:t>
            </w:r>
            <w:r>
              <w:rPr>
                <w:rFonts w:asciiTheme="majorHAnsi" w:hAnsiTheme="majorHAnsi" w:cstheme="majorHAnsi"/>
                <w:lang w:val="nb-NO"/>
              </w:rPr>
              <w:t>2020</w:t>
            </w:r>
          </w:p>
        </w:tc>
        <w:tc>
          <w:tcPr>
            <w:tcW w:w="1002" w:type="pct"/>
          </w:tcPr>
          <w:p w:rsidR="00EF6C2C" w:rsidRPr="0025659C" w:rsidRDefault="00EF6C2C" w:rsidP="00EF6C2C">
            <w:pPr>
              <w:jc w:val="center"/>
              <w:rPr>
                <w:rFonts w:asciiTheme="majorHAnsi" w:hAnsiTheme="majorHAnsi" w:cstheme="majorHAnsi"/>
                <w:lang w:val="nb-NO"/>
              </w:rPr>
            </w:pPr>
            <w:r w:rsidRPr="0025659C">
              <w:rPr>
                <w:rFonts w:asciiTheme="majorHAnsi" w:hAnsiTheme="majorHAnsi" w:cstheme="majorHAnsi"/>
                <w:lang w:val="nb-NO"/>
              </w:rPr>
              <w:t xml:space="preserve">Dự thu </w:t>
            </w:r>
            <w:r>
              <w:rPr>
                <w:rFonts w:asciiTheme="majorHAnsi" w:hAnsiTheme="majorHAnsi" w:cstheme="majorHAnsi"/>
                <w:lang w:val="nb-NO"/>
              </w:rPr>
              <w:t>2021</w:t>
            </w:r>
          </w:p>
        </w:tc>
        <w:tc>
          <w:tcPr>
            <w:tcW w:w="1002" w:type="pct"/>
          </w:tcPr>
          <w:p w:rsidR="00EF6C2C" w:rsidRPr="0025659C" w:rsidRDefault="00EF6C2C" w:rsidP="00EF6C2C">
            <w:pPr>
              <w:jc w:val="center"/>
              <w:rPr>
                <w:rFonts w:asciiTheme="majorHAnsi" w:hAnsiTheme="majorHAnsi" w:cstheme="majorHAnsi"/>
                <w:lang w:val="nb-NO"/>
              </w:rPr>
            </w:pPr>
            <w:r w:rsidRPr="0025659C">
              <w:rPr>
                <w:rFonts w:asciiTheme="majorHAnsi" w:hAnsiTheme="majorHAnsi" w:cstheme="majorHAnsi"/>
                <w:lang w:val="nb-NO"/>
              </w:rPr>
              <w:t xml:space="preserve">Dự thu </w:t>
            </w:r>
            <w:r>
              <w:rPr>
                <w:rFonts w:asciiTheme="majorHAnsi" w:hAnsiTheme="majorHAnsi" w:cstheme="majorHAnsi"/>
                <w:lang w:val="nb-NO"/>
              </w:rPr>
              <w:t>2022</w:t>
            </w:r>
          </w:p>
        </w:tc>
      </w:tr>
      <w:tr w:rsidR="00EF6C2C" w:rsidTr="00EF6C2C">
        <w:tc>
          <w:tcPr>
            <w:tcW w:w="935" w:type="pct"/>
          </w:tcPr>
          <w:p w:rsidR="00EF6C2C" w:rsidRDefault="00EF6C2C" w:rsidP="00EF6C2C">
            <w:pPr>
              <w:jc w:val="center"/>
              <w:rPr>
                <w:rFonts w:asciiTheme="majorHAnsi" w:hAnsiTheme="majorHAnsi" w:cstheme="majorHAnsi"/>
                <w:lang w:val="nb-NO"/>
              </w:rPr>
            </w:pPr>
          </w:p>
          <w:p w:rsidR="00EF6C2C" w:rsidRPr="0025659C" w:rsidRDefault="00EF6C2C" w:rsidP="00EF6C2C">
            <w:pPr>
              <w:jc w:val="center"/>
              <w:rPr>
                <w:rFonts w:asciiTheme="majorHAnsi" w:hAnsiTheme="majorHAnsi" w:cstheme="majorHAnsi"/>
                <w:lang w:val="nb-NO"/>
              </w:rPr>
            </w:pPr>
            <w:r>
              <w:rPr>
                <w:rFonts w:asciiTheme="majorHAnsi" w:hAnsiTheme="majorHAnsi" w:cstheme="majorHAnsi"/>
                <w:lang w:val="nb-NO"/>
              </w:rPr>
              <w:t>Giá trị</w:t>
            </w:r>
          </w:p>
        </w:tc>
        <w:tc>
          <w:tcPr>
            <w:tcW w:w="1031" w:type="pct"/>
            <w:vAlign w:val="bottom"/>
          </w:tcPr>
          <w:p w:rsidR="00EF6C2C" w:rsidRDefault="00EF6C2C" w:rsidP="00EF6C2C">
            <w:pPr>
              <w:rPr>
                <w:rFonts w:ascii="Arial" w:hAnsi="Arial" w:cs="Arial"/>
                <w:color w:val="000000"/>
                <w:sz w:val="22"/>
                <w:szCs w:val="22"/>
                <w:lang w:val="vi-VN"/>
              </w:rPr>
            </w:pPr>
            <w:r>
              <w:rPr>
                <w:rFonts w:ascii="Arial" w:hAnsi="Arial" w:cs="Arial"/>
                <w:color w:val="000000"/>
                <w:sz w:val="22"/>
                <w:szCs w:val="22"/>
              </w:rPr>
              <w:t xml:space="preserve">                       119.644.232.515   </w:t>
            </w:r>
          </w:p>
        </w:tc>
        <w:tc>
          <w:tcPr>
            <w:tcW w:w="1031" w:type="pct"/>
            <w:vAlign w:val="bottom"/>
          </w:tcPr>
          <w:p w:rsidR="00EF6C2C" w:rsidRDefault="00EF6C2C" w:rsidP="00EF6C2C">
            <w:pPr>
              <w:rPr>
                <w:rFonts w:ascii="Arial" w:hAnsi="Arial" w:cs="Arial"/>
                <w:color w:val="000000"/>
                <w:sz w:val="22"/>
                <w:szCs w:val="22"/>
              </w:rPr>
            </w:pPr>
            <w:r>
              <w:rPr>
                <w:rFonts w:ascii="Arial" w:hAnsi="Arial" w:cs="Arial"/>
                <w:color w:val="000000"/>
                <w:sz w:val="22"/>
                <w:szCs w:val="22"/>
              </w:rPr>
              <w:t xml:space="preserve">                  114.317.481.555   </w:t>
            </w:r>
          </w:p>
        </w:tc>
        <w:tc>
          <w:tcPr>
            <w:tcW w:w="1002" w:type="pct"/>
            <w:vAlign w:val="bottom"/>
          </w:tcPr>
          <w:p w:rsidR="00EF6C2C" w:rsidRDefault="00EF6C2C" w:rsidP="00EF6C2C">
            <w:pPr>
              <w:rPr>
                <w:rFonts w:ascii="Arial" w:hAnsi="Arial" w:cs="Arial"/>
                <w:color w:val="000000"/>
                <w:sz w:val="22"/>
                <w:szCs w:val="22"/>
              </w:rPr>
            </w:pPr>
            <w:r>
              <w:rPr>
                <w:rFonts w:ascii="Arial" w:hAnsi="Arial" w:cs="Arial"/>
                <w:color w:val="000000"/>
                <w:sz w:val="22"/>
                <w:szCs w:val="22"/>
              </w:rPr>
              <w:t xml:space="preserve">      91.980.834.713   </w:t>
            </w:r>
          </w:p>
        </w:tc>
        <w:tc>
          <w:tcPr>
            <w:tcW w:w="1002" w:type="pct"/>
            <w:vAlign w:val="bottom"/>
          </w:tcPr>
          <w:p w:rsidR="00EF6C2C" w:rsidRDefault="00EF6C2C" w:rsidP="00EF6C2C">
            <w:pPr>
              <w:rPr>
                <w:rFonts w:ascii="Arial" w:hAnsi="Arial" w:cs="Arial"/>
                <w:color w:val="000000"/>
                <w:sz w:val="22"/>
                <w:szCs w:val="22"/>
              </w:rPr>
            </w:pPr>
            <w:r>
              <w:rPr>
                <w:rFonts w:ascii="Arial" w:hAnsi="Arial" w:cs="Arial"/>
                <w:color w:val="000000"/>
                <w:sz w:val="22"/>
                <w:szCs w:val="22"/>
              </w:rPr>
              <w:t xml:space="preserve">                 91.980.834.713   </w:t>
            </w:r>
          </w:p>
        </w:tc>
      </w:tr>
    </w:tbl>
    <w:p w:rsidR="0025659C" w:rsidRPr="0025659C" w:rsidRDefault="0025659C">
      <w:pPr>
        <w:rPr>
          <w:rFonts w:asciiTheme="majorHAnsi" w:hAnsiTheme="majorHAnsi" w:cstheme="majorHAnsi"/>
          <w:sz w:val="28"/>
          <w:szCs w:val="28"/>
          <w:lang w:val="nb-NO"/>
        </w:rPr>
      </w:pPr>
    </w:p>
    <w:sectPr w:rsidR="0025659C" w:rsidRPr="0025659C" w:rsidSect="00AB48E8">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0AFF" w:usb1="00007843" w:usb2="00000001" w:usb3="00000000" w:csb0="000001BF" w:csb1="00000000"/>
  </w:font>
  <w:font w:name="Times New Roman">
    <w:panose1 w:val="02020603050405020304"/>
    <w:charset w:val="A3"/>
    <w:family w:val="roman"/>
    <w:pitch w:val="variable"/>
    <w:sig w:usb0="E0002AEF" w:usb1="C0007841"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6F"/>
    <w:rsid w:val="00111796"/>
    <w:rsid w:val="00170639"/>
    <w:rsid w:val="001D77BE"/>
    <w:rsid w:val="002373FB"/>
    <w:rsid w:val="0025659C"/>
    <w:rsid w:val="00267EDB"/>
    <w:rsid w:val="002E534D"/>
    <w:rsid w:val="00415B15"/>
    <w:rsid w:val="004546E9"/>
    <w:rsid w:val="004A3B4D"/>
    <w:rsid w:val="004D09BA"/>
    <w:rsid w:val="005560A4"/>
    <w:rsid w:val="005A28D5"/>
    <w:rsid w:val="006636F2"/>
    <w:rsid w:val="006A1A1E"/>
    <w:rsid w:val="006C18BB"/>
    <w:rsid w:val="006C2B3B"/>
    <w:rsid w:val="006D48AF"/>
    <w:rsid w:val="006D4DCB"/>
    <w:rsid w:val="00773FE8"/>
    <w:rsid w:val="008256DA"/>
    <w:rsid w:val="00842AED"/>
    <w:rsid w:val="00940DFC"/>
    <w:rsid w:val="009A396F"/>
    <w:rsid w:val="009C0B00"/>
    <w:rsid w:val="00A7506F"/>
    <w:rsid w:val="00BD646E"/>
    <w:rsid w:val="00CC47AD"/>
    <w:rsid w:val="00D1384B"/>
    <w:rsid w:val="00E26351"/>
    <w:rsid w:val="00E272F8"/>
    <w:rsid w:val="00EF6C2C"/>
    <w:rsid w:val="00F31C56"/>
    <w:rsid w:val="00FE4E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D15D4-233C-4349-A2C8-82F2AC3E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06F"/>
    <w:pPr>
      <w:spacing w:after="0" w:line="240" w:lineRule="auto"/>
    </w:pPr>
    <w:rPr>
      <w:rFonts w:ascii=".VnTime" w:eastAsia="Times New Roman" w:hAnsi=".VnTime"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5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36061">
      <w:bodyDiv w:val="1"/>
      <w:marLeft w:val="0"/>
      <w:marRight w:val="0"/>
      <w:marTop w:val="0"/>
      <w:marBottom w:val="0"/>
      <w:divBdr>
        <w:top w:val="none" w:sz="0" w:space="0" w:color="auto"/>
        <w:left w:val="none" w:sz="0" w:space="0" w:color="auto"/>
        <w:bottom w:val="none" w:sz="0" w:space="0" w:color="auto"/>
        <w:right w:val="none" w:sz="0" w:space="0" w:color="auto"/>
      </w:divBdr>
    </w:div>
    <w:div w:id="413085378">
      <w:bodyDiv w:val="1"/>
      <w:marLeft w:val="0"/>
      <w:marRight w:val="0"/>
      <w:marTop w:val="0"/>
      <w:marBottom w:val="0"/>
      <w:divBdr>
        <w:top w:val="none" w:sz="0" w:space="0" w:color="auto"/>
        <w:left w:val="none" w:sz="0" w:space="0" w:color="auto"/>
        <w:bottom w:val="none" w:sz="0" w:space="0" w:color="auto"/>
        <w:right w:val="none" w:sz="0" w:space="0" w:color="auto"/>
      </w:divBdr>
    </w:div>
    <w:div w:id="541132205">
      <w:bodyDiv w:val="1"/>
      <w:marLeft w:val="0"/>
      <w:marRight w:val="0"/>
      <w:marTop w:val="0"/>
      <w:marBottom w:val="0"/>
      <w:divBdr>
        <w:top w:val="none" w:sz="0" w:space="0" w:color="auto"/>
        <w:left w:val="none" w:sz="0" w:space="0" w:color="auto"/>
        <w:bottom w:val="none" w:sz="0" w:space="0" w:color="auto"/>
        <w:right w:val="none" w:sz="0" w:space="0" w:color="auto"/>
      </w:divBdr>
    </w:div>
    <w:div w:id="566721640">
      <w:bodyDiv w:val="1"/>
      <w:marLeft w:val="0"/>
      <w:marRight w:val="0"/>
      <w:marTop w:val="0"/>
      <w:marBottom w:val="0"/>
      <w:divBdr>
        <w:top w:val="none" w:sz="0" w:space="0" w:color="auto"/>
        <w:left w:val="none" w:sz="0" w:space="0" w:color="auto"/>
        <w:bottom w:val="none" w:sz="0" w:space="0" w:color="auto"/>
        <w:right w:val="none" w:sz="0" w:space="0" w:color="auto"/>
      </w:divBdr>
    </w:div>
    <w:div w:id="649990657">
      <w:bodyDiv w:val="1"/>
      <w:marLeft w:val="0"/>
      <w:marRight w:val="0"/>
      <w:marTop w:val="0"/>
      <w:marBottom w:val="0"/>
      <w:divBdr>
        <w:top w:val="none" w:sz="0" w:space="0" w:color="auto"/>
        <w:left w:val="none" w:sz="0" w:space="0" w:color="auto"/>
        <w:bottom w:val="none" w:sz="0" w:space="0" w:color="auto"/>
        <w:right w:val="none" w:sz="0" w:space="0" w:color="auto"/>
      </w:divBdr>
    </w:div>
    <w:div w:id="718211347">
      <w:bodyDiv w:val="1"/>
      <w:marLeft w:val="0"/>
      <w:marRight w:val="0"/>
      <w:marTop w:val="0"/>
      <w:marBottom w:val="0"/>
      <w:divBdr>
        <w:top w:val="none" w:sz="0" w:space="0" w:color="auto"/>
        <w:left w:val="none" w:sz="0" w:space="0" w:color="auto"/>
        <w:bottom w:val="none" w:sz="0" w:space="0" w:color="auto"/>
        <w:right w:val="none" w:sz="0" w:space="0" w:color="auto"/>
      </w:divBdr>
    </w:div>
    <w:div w:id="726805204">
      <w:bodyDiv w:val="1"/>
      <w:marLeft w:val="0"/>
      <w:marRight w:val="0"/>
      <w:marTop w:val="0"/>
      <w:marBottom w:val="0"/>
      <w:divBdr>
        <w:top w:val="none" w:sz="0" w:space="0" w:color="auto"/>
        <w:left w:val="none" w:sz="0" w:space="0" w:color="auto"/>
        <w:bottom w:val="none" w:sz="0" w:space="0" w:color="auto"/>
        <w:right w:val="none" w:sz="0" w:space="0" w:color="auto"/>
      </w:divBdr>
    </w:div>
    <w:div w:id="775978992">
      <w:bodyDiv w:val="1"/>
      <w:marLeft w:val="0"/>
      <w:marRight w:val="0"/>
      <w:marTop w:val="0"/>
      <w:marBottom w:val="0"/>
      <w:divBdr>
        <w:top w:val="none" w:sz="0" w:space="0" w:color="auto"/>
        <w:left w:val="none" w:sz="0" w:space="0" w:color="auto"/>
        <w:bottom w:val="none" w:sz="0" w:space="0" w:color="auto"/>
        <w:right w:val="none" w:sz="0" w:space="0" w:color="auto"/>
      </w:divBdr>
    </w:div>
    <w:div w:id="808981790">
      <w:bodyDiv w:val="1"/>
      <w:marLeft w:val="0"/>
      <w:marRight w:val="0"/>
      <w:marTop w:val="0"/>
      <w:marBottom w:val="0"/>
      <w:divBdr>
        <w:top w:val="none" w:sz="0" w:space="0" w:color="auto"/>
        <w:left w:val="none" w:sz="0" w:space="0" w:color="auto"/>
        <w:bottom w:val="none" w:sz="0" w:space="0" w:color="auto"/>
        <w:right w:val="none" w:sz="0" w:space="0" w:color="auto"/>
      </w:divBdr>
    </w:div>
    <w:div w:id="827096750">
      <w:bodyDiv w:val="1"/>
      <w:marLeft w:val="0"/>
      <w:marRight w:val="0"/>
      <w:marTop w:val="0"/>
      <w:marBottom w:val="0"/>
      <w:divBdr>
        <w:top w:val="none" w:sz="0" w:space="0" w:color="auto"/>
        <w:left w:val="none" w:sz="0" w:space="0" w:color="auto"/>
        <w:bottom w:val="none" w:sz="0" w:space="0" w:color="auto"/>
        <w:right w:val="none" w:sz="0" w:space="0" w:color="auto"/>
      </w:divBdr>
    </w:div>
    <w:div w:id="976496559">
      <w:bodyDiv w:val="1"/>
      <w:marLeft w:val="0"/>
      <w:marRight w:val="0"/>
      <w:marTop w:val="0"/>
      <w:marBottom w:val="0"/>
      <w:divBdr>
        <w:top w:val="none" w:sz="0" w:space="0" w:color="auto"/>
        <w:left w:val="none" w:sz="0" w:space="0" w:color="auto"/>
        <w:bottom w:val="none" w:sz="0" w:space="0" w:color="auto"/>
        <w:right w:val="none" w:sz="0" w:space="0" w:color="auto"/>
      </w:divBdr>
    </w:div>
    <w:div w:id="1024095712">
      <w:bodyDiv w:val="1"/>
      <w:marLeft w:val="0"/>
      <w:marRight w:val="0"/>
      <w:marTop w:val="0"/>
      <w:marBottom w:val="0"/>
      <w:divBdr>
        <w:top w:val="none" w:sz="0" w:space="0" w:color="auto"/>
        <w:left w:val="none" w:sz="0" w:space="0" w:color="auto"/>
        <w:bottom w:val="none" w:sz="0" w:space="0" w:color="auto"/>
        <w:right w:val="none" w:sz="0" w:space="0" w:color="auto"/>
      </w:divBdr>
    </w:div>
    <w:div w:id="1217669797">
      <w:bodyDiv w:val="1"/>
      <w:marLeft w:val="0"/>
      <w:marRight w:val="0"/>
      <w:marTop w:val="0"/>
      <w:marBottom w:val="0"/>
      <w:divBdr>
        <w:top w:val="none" w:sz="0" w:space="0" w:color="auto"/>
        <w:left w:val="none" w:sz="0" w:space="0" w:color="auto"/>
        <w:bottom w:val="none" w:sz="0" w:space="0" w:color="auto"/>
        <w:right w:val="none" w:sz="0" w:space="0" w:color="auto"/>
      </w:divBdr>
    </w:div>
    <w:div w:id="1443918950">
      <w:bodyDiv w:val="1"/>
      <w:marLeft w:val="0"/>
      <w:marRight w:val="0"/>
      <w:marTop w:val="0"/>
      <w:marBottom w:val="0"/>
      <w:divBdr>
        <w:top w:val="none" w:sz="0" w:space="0" w:color="auto"/>
        <w:left w:val="none" w:sz="0" w:space="0" w:color="auto"/>
        <w:bottom w:val="none" w:sz="0" w:space="0" w:color="auto"/>
        <w:right w:val="none" w:sz="0" w:space="0" w:color="auto"/>
      </w:divBdr>
    </w:div>
    <w:div w:id="1462915184">
      <w:bodyDiv w:val="1"/>
      <w:marLeft w:val="0"/>
      <w:marRight w:val="0"/>
      <w:marTop w:val="0"/>
      <w:marBottom w:val="0"/>
      <w:divBdr>
        <w:top w:val="none" w:sz="0" w:space="0" w:color="auto"/>
        <w:left w:val="none" w:sz="0" w:space="0" w:color="auto"/>
        <w:bottom w:val="none" w:sz="0" w:space="0" w:color="auto"/>
        <w:right w:val="none" w:sz="0" w:space="0" w:color="auto"/>
      </w:divBdr>
    </w:div>
    <w:div w:id="1525751679">
      <w:bodyDiv w:val="1"/>
      <w:marLeft w:val="0"/>
      <w:marRight w:val="0"/>
      <w:marTop w:val="0"/>
      <w:marBottom w:val="0"/>
      <w:divBdr>
        <w:top w:val="none" w:sz="0" w:space="0" w:color="auto"/>
        <w:left w:val="none" w:sz="0" w:space="0" w:color="auto"/>
        <w:bottom w:val="none" w:sz="0" w:space="0" w:color="auto"/>
        <w:right w:val="none" w:sz="0" w:space="0" w:color="auto"/>
      </w:divBdr>
    </w:div>
    <w:div w:id="1593977666">
      <w:bodyDiv w:val="1"/>
      <w:marLeft w:val="0"/>
      <w:marRight w:val="0"/>
      <w:marTop w:val="0"/>
      <w:marBottom w:val="0"/>
      <w:divBdr>
        <w:top w:val="none" w:sz="0" w:space="0" w:color="auto"/>
        <w:left w:val="none" w:sz="0" w:space="0" w:color="auto"/>
        <w:bottom w:val="none" w:sz="0" w:space="0" w:color="auto"/>
        <w:right w:val="none" w:sz="0" w:space="0" w:color="auto"/>
      </w:divBdr>
    </w:div>
    <w:div w:id="1653095069">
      <w:bodyDiv w:val="1"/>
      <w:marLeft w:val="0"/>
      <w:marRight w:val="0"/>
      <w:marTop w:val="0"/>
      <w:marBottom w:val="0"/>
      <w:divBdr>
        <w:top w:val="none" w:sz="0" w:space="0" w:color="auto"/>
        <w:left w:val="none" w:sz="0" w:space="0" w:color="auto"/>
        <w:bottom w:val="none" w:sz="0" w:space="0" w:color="auto"/>
        <w:right w:val="none" w:sz="0" w:space="0" w:color="auto"/>
      </w:divBdr>
    </w:div>
    <w:div w:id="1714234016">
      <w:bodyDiv w:val="1"/>
      <w:marLeft w:val="0"/>
      <w:marRight w:val="0"/>
      <w:marTop w:val="0"/>
      <w:marBottom w:val="0"/>
      <w:divBdr>
        <w:top w:val="none" w:sz="0" w:space="0" w:color="auto"/>
        <w:left w:val="none" w:sz="0" w:space="0" w:color="auto"/>
        <w:bottom w:val="none" w:sz="0" w:space="0" w:color="auto"/>
        <w:right w:val="none" w:sz="0" w:space="0" w:color="auto"/>
      </w:divBdr>
    </w:div>
    <w:div w:id="1858277455">
      <w:bodyDiv w:val="1"/>
      <w:marLeft w:val="0"/>
      <w:marRight w:val="0"/>
      <w:marTop w:val="0"/>
      <w:marBottom w:val="0"/>
      <w:divBdr>
        <w:top w:val="none" w:sz="0" w:space="0" w:color="auto"/>
        <w:left w:val="none" w:sz="0" w:space="0" w:color="auto"/>
        <w:bottom w:val="none" w:sz="0" w:space="0" w:color="auto"/>
        <w:right w:val="none" w:sz="0" w:space="0" w:color="auto"/>
      </w:divBdr>
    </w:div>
    <w:div w:id="200561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Vu Hiep</dc:creator>
  <cp:keywords/>
  <dc:description/>
  <cp:lastModifiedBy>Nguyen Vu Hiep</cp:lastModifiedBy>
  <cp:revision>3</cp:revision>
  <dcterms:created xsi:type="dcterms:W3CDTF">2018-10-04T03:39:00Z</dcterms:created>
  <dcterms:modified xsi:type="dcterms:W3CDTF">2018-10-04T03:44:00Z</dcterms:modified>
</cp:coreProperties>
</file>