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900.0" w:type="dxa"/>
        <w:jc w:val="left"/>
        <w:tblInd w:w="-72.0" w:type="dxa"/>
        <w:tblLayout w:type="fixed"/>
        <w:tblLook w:val="0000"/>
      </w:tblPr>
      <w:tblGrid>
        <w:gridCol w:w="4680"/>
        <w:gridCol w:w="5220"/>
        <w:tblGridChange w:id="0">
          <w:tblGrid>
            <w:gridCol w:w="4680"/>
            <w:gridCol w:w="5220"/>
          </w:tblGrid>
        </w:tblGridChange>
      </w:tblGrid>
      <w:tr>
        <w:trPr>
          <w:trHeight w:val="1300" w:hRule="atLeast"/>
        </w:trPr>
        <w:tc>
          <w:tcPr>
            <w:vAlign w:val="top"/>
          </w:tcPr>
          <w:p w:rsidR="00000000" w:rsidDel="00000000" w:rsidP="00000000" w:rsidRDefault="00000000" w:rsidRPr="00000000" w14:paraId="00000001">
            <w:pPr>
              <w:keepNext w:val="1"/>
              <w:tabs>
                <w:tab w:val="left" w:pos="1220"/>
                <w:tab w:val="center" w:pos="4320"/>
                <w:tab w:val="right" w:pos="8640"/>
              </w:tabs>
              <w:contextualSpacing w:val="0"/>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BỘ VĂN HOÁ, THỂ THAO VÀ DU LỊCH</w:t>
            </w:r>
          </w:p>
          <w:p w:rsidR="00000000" w:rsidDel="00000000" w:rsidP="00000000" w:rsidRDefault="00000000" w:rsidRPr="00000000" w14:paraId="00000002">
            <w:pPr>
              <w:keepNext w:val="1"/>
              <w:tabs>
                <w:tab w:val="left" w:pos="1220"/>
                <w:tab w:val="center" w:pos="4320"/>
                <w:tab w:val="right" w:pos="8640"/>
              </w:tabs>
              <w:contextualSpacing w:val="0"/>
              <w:jc w:val="center"/>
              <w:rPr>
                <w:rFonts w:ascii="Times New Roman" w:cs="Times New Roman" w:eastAsia="Times New Roman" w:hAnsi="Times New Roman"/>
                <w:b w:val="0"/>
                <w:sz w:val="12"/>
                <w:szCs w:val="12"/>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VỤ PHÁP CHẾ</w:t>
            </w:r>
            <w:r w:rsidDel="00000000" w:rsidR="00000000" w:rsidRPr="00000000">
              <w:rPr>
                <w:rtl w:val="0"/>
              </w:rPr>
            </w:r>
          </w:p>
          <w:p w:rsidR="00000000" w:rsidDel="00000000" w:rsidP="00000000" w:rsidRDefault="00000000" w:rsidRPr="00000000" w14:paraId="00000003">
            <w:pPr>
              <w:keepNext w:val="1"/>
              <w:tabs>
                <w:tab w:val="left" w:pos="1220"/>
                <w:tab w:val="center" w:pos="4320"/>
                <w:tab w:val="right" w:pos="8640"/>
              </w:tabs>
              <w:contextualSpacing w:val="0"/>
              <w:jc w:val="center"/>
              <w:rPr>
                <w:rFonts w:ascii="Times New Roman" w:cs="Times New Roman" w:eastAsia="Times New Roman" w:hAnsi="Times New Roman"/>
                <w:b w:val="0"/>
                <w:sz w:val="12"/>
                <w:szCs w:val="12"/>
                <w:vertAlign w:val="baseline"/>
              </w:rPr>
            </w:pPr>
            <w:r w:rsidDel="00000000" w:rsidR="00000000" w:rsidRPr="00000000">
              <w:rPr>
                <w:rFonts w:ascii="Times New Roman" w:cs="Times New Roman" w:eastAsia="Times New Roman" w:hAnsi="Times New Roman"/>
                <w:b w:val="1"/>
                <w:sz w:val="12"/>
                <w:szCs w:val="12"/>
                <w:vertAlign w:val="baseline"/>
                <w:rtl w:val="0"/>
              </w:rPr>
              <w:t xml:space="preserve">_________________</w:t>
            </w:r>
            <w:r w:rsidDel="00000000" w:rsidR="00000000" w:rsidRPr="00000000">
              <w:rPr>
                <w:rtl w:val="0"/>
              </w:rPr>
            </w:r>
          </w:p>
          <w:p w:rsidR="00000000" w:rsidDel="00000000" w:rsidP="00000000" w:rsidRDefault="00000000" w:rsidRPr="00000000" w14:paraId="00000004">
            <w:pPr>
              <w:keepNext w:val="1"/>
              <w:tabs>
                <w:tab w:val="center" w:pos="4320"/>
                <w:tab w:val="right" w:pos="8640"/>
              </w:tabs>
              <w:spacing w:before="120" w:lineRule="auto"/>
              <w:contextualSpacing w:val="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Số:        /PC-TTr</w:t>
            </w:r>
          </w:p>
          <w:p w:rsidR="00000000" w:rsidDel="00000000" w:rsidP="00000000" w:rsidRDefault="00000000" w:rsidRPr="00000000" w14:paraId="00000005">
            <w:pPr>
              <w:tabs>
                <w:tab w:val="center" w:pos="4320"/>
                <w:tab w:val="right" w:pos="8640"/>
              </w:tabs>
              <w:contextualSpacing w:val="0"/>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06">
            <w:pPr>
              <w:tabs>
                <w:tab w:val="center" w:pos="4320"/>
                <w:tab w:val="right" w:pos="8640"/>
              </w:tabs>
              <w:contextualSpacing w:val="0"/>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Dự thảo</w:t>
            </w:r>
            <w:r w:rsidDel="00000000" w:rsidR="00000000" w:rsidRPr="00000000">
              <w:rPr>
                <w:rtl w:val="0"/>
              </w:rPr>
            </w:r>
          </w:p>
        </w:tc>
        <w:tc>
          <w:tcPr>
            <w:vAlign w:val="top"/>
          </w:tcPr>
          <w:p w:rsidR="00000000" w:rsidDel="00000000" w:rsidP="00000000" w:rsidRDefault="00000000" w:rsidRPr="00000000" w14:paraId="00000007">
            <w:pPr>
              <w:tabs>
                <w:tab w:val="center" w:pos="4320"/>
                <w:tab w:val="right" w:pos="8640"/>
              </w:tabs>
              <w:contextualSpacing w:val="0"/>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CỘNG HOÀ XÃ HỘI CHỦ NGHĨA VIỆT NAM</w:t>
            </w:r>
            <w:r w:rsidDel="00000000" w:rsidR="00000000" w:rsidRPr="00000000">
              <w:rPr>
                <w:rtl w:val="0"/>
              </w:rPr>
            </w:r>
          </w:p>
          <w:p w:rsidR="00000000" w:rsidDel="00000000" w:rsidP="00000000" w:rsidRDefault="00000000" w:rsidRPr="00000000" w14:paraId="00000008">
            <w:pPr>
              <w:tabs>
                <w:tab w:val="center" w:pos="4320"/>
                <w:tab w:val="right" w:pos="8640"/>
              </w:tabs>
              <w:contextualSpacing w:val="0"/>
              <w:jc w:val="center"/>
              <w:rPr>
                <w:rFonts w:ascii="Times New Roman" w:cs="Times New Roman" w:eastAsia="Times New Roman" w:hAnsi="Times New Roman"/>
                <w:b w:val="0"/>
                <w:sz w:val="12"/>
                <w:szCs w:val="12"/>
                <w:vertAlign w:val="baseline"/>
              </w:rPr>
            </w:pPr>
            <w:r w:rsidDel="00000000" w:rsidR="00000000" w:rsidRPr="00000000">
              <w:rPr>
                <w:rFonts w:ascii="Times New Roman" w:cs="Times New Roman" w:eastAsia="Times New Roman" w:hAnsi="Times New Roman"/>
                <w:b w:val="1"/>
                <w:vertAlign w:val="baseline"/>
                <w:rtl w:val="0"/>
              </w:rPr>
              <w:t xml:space="preserve">Độc lập - Tự do - Hạnh phúc</w:t>
            </w:r>
            <w:r w:rsidDel="00000000" w:rsidR="00000000" w:rsidRPr="00000000">
              <w:rPr>
                <w:rtl w:val="0"/>
              </w:rPr>
            </w:r>
          </w:p>
          <w:p w:rsidR="00000000" w:rsidDel="00000000" w:rsidP="00000000" w:rsidRDefault="00000000" w:rsidRPr="00000000" w14:paraId="00000009">
            <w:pPr>
              <w:tabs>
                <w:tab w:val="center" w:pos="4320"/>
                <w:tab w:val="right" w:pos="8640"/>
              </w:tabs>
              <w:contextualSpacing w:val="0"/>
              <w:jc w:val="center"/>
              <w:rPr>
                <w:rFonts w:ascii="Times New Roman" w:cs="Times New Roman" w:eastAsia="Times New Roman" w:hAnsi="Times New Roman"/>
                <w:b w:val="0"/>
                <w:sz w:val="12"/>
                <w:szCs w:val="12"/>
                <w:vertAlign w:val="baseline"/>
              </w:rPr>
            </w:pPr>
            <w:r w:rsidDel="00000000" w:rsidR="00000000" w:rsidRPr="00000000">
              <w:rPr>
                <w:rFonts w:ascii="Times New Roman" w:cs="Times New Roman" w:eastAsia="Times New Roman" w:hAnsi="Times New Roman"/>
                <w:b w:val="1"/>
                <w:sz w:val="12"/>
                <w:szCs w:val="12"/>
                <w:vertAlign w:val="baseline"/>
                <w:rtl w:val="0"/>
              </w:rPr>
              <w:t xml:space="preserve">______________________________________________________</w:t>
            </w:r>
            <w:r w:rsidDel="00000000" w:rsidR="00000000" w:rsidRPr="00000000">
              <w:rPr>
                <w:rtl w:val="0"/>
              </w:rPr>
            </w:r>
          </w:p>
          <w:p w:rsidR="00000000" w:rsidDel="00000000" w:rsidP="00000000" w:rsidRDefault="00000000" w:rsidRPr="00000000" w14:paraId="0000000A">
            <w:pPr>
              <w:tabs>
                <w:tab w:val="center" w:pos="4320"/>
                <w:tab w:val="right" w:pos="8640"/>
              </w:tabs>
              <w:spacing w:after="120" w:lineRule="auto"/>
              <w:contextualSpacing w:val="0"/>
              <w:jc w:val="center"/>
              <w:rPr>
                <w:rFonts w:ascii="Times New Roman" w:cs="Times New Roman" w:eastAsia="Times New Roman" w:hAnsi="Times New Roman"/>
                <w:i w:val="0"/>
                <w:sz w:val="4"/>
                <w:szCs w:val="4"/>
                <w:vertAlign w:val="baseline"/>
              </w:rPr>
            </w:pPr>
            <w:r w:rsidDel="00000000" w:rsidR="00000000" w:rsidRPr="00000000">
              <w:rPr>
                <w:rtl w:val="0"/>
              </w:rPr>
            </w:r>
          </w:p>
          <w:p w:rsidR="00000000" w:rsidDel="00000000" w:rsidP="00000000" w:rsidRDefault="00000000" w:rsidRPr="00000000" w14:paraId="0000000B">
            <w:pPr>
              <w:tabs>
                <w:tab w:val="center" w:pos="4320"/>
                <w:tab w:val="right" w:pos="8640"/>
              </w:tabs>
              <w:contextualSpacing w:val="0"/>
              <w:jc w:val="center"/>
              <w:rPr>
                <w:rFonts w:ascii="Times New Roman" w:cs="Times New Roman" w:eastAsia="Times New Roman" w:hAnsi="Times New Roman"/>
                <w:b w:val="0"/>
                <w:sz w:val="16"/>
                <w:szCs w:val="16"/>
                <w:vertAlign w:val="baseline"/>
              </w:rPr>
            </w:pPr>
            <w:r w:rsidDel="00000000" w:rsidR="00000000" w:rsidRPr="00000000">
              <w:rPr>
                <w:rFonts w:ascii="Times New Roman" w:cs="Times New Roman" w:eastAsia="Times New Roman" w:hAnsi="Times New Roman"/>
                <w:i w:val="1"/>
                <w:vertAlign w:val="baseline"/>
                <w:rtl w:val="0"/>
              </w:rPr>
              <w:t xml:space="preserve">Hà Nội, ngày       tháng      năm 2018</w:t>
            </w:r>
            <w:r w:rsidDel="00000000" w:rsidR="00000000" w:rsidRPr="00000000">
              <w:rPr>
                <w:rtl w:val="0"/>
              </w:rPr>
            </w:r>
          </w:p>
        </w:tc>
      </w:tr>
    </w:tbl>
    <w:p w:rsidR="00000000" w:rsidDel="00000000" w:rsidP="00000000" w:rsidRDefault="00000000" w:rsidRPr="00000000" w14:paraId="0000000C">
      <w:pPr>
        <w:contextualSpacing w:val="0"/>
        <w:jc w:val="center"/>
        <w:rPr>
          <w:rFonts w:ascii="Times New Roman" w:cs="Times New Roman" w:eastAsia="Times New Roman" w:hAnsi="Times New Roman"/>
          <w:b w:val="0"/>
          <w:sz w:val="2"/>
          <w:szCs w:val="2"/>
          <w:vertAlign w:val="baseline"/>
        </w:rPr>
      </w:pPr>
      <w:r w:rsidDel="00000000" w:rsidR="00000000" w:rsidRPr="00000000">
        <w:rPr>
          <w:rtl w:val="0"/>
        </w:rPr>
      </w:r>
    </w:p>
    <w:p w:rsidR="00000000" w:rsidDel="00000000" w:rsidP="00000000" w:rsidRDefault="00000000" w:rsidRPr="00000000" w14:paraId="0000000D">
      <w:pPr>
        <w:contextualSpacing w:val="0"/>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TỜ TRÌNH</w:t>
      </w:r>
      <w:r w:rsidDel="00000000" w:rsidR="00000000" w:rsidRPr="00000000">
        <w:rPr>
          <w:rtl w:val="0"/>
        </w:rPr>
      </w:r>
    </w:p>
    <w:p w:rsidR="00000000" w:rsidDel="00000000" w:rsidP="00000000" w:rsidRDefault="00000000" w:rsidRPr="00000000" w14:paraId="0000000E">
      <w:pPr>
        <w:contextualSpacing w:val="0"/>
        <w:jc w:val="center"/>
        <w:rPr>
          <w:rFonts w:ascii="Times" w:cs="Times" w:eastAsia="Times" w:hAnsi="Times"/>
          <w:b w:val="1"/>
          <w:strike w:val="0"/>
          <w:sz w:val="10"/>
          <w:szCs w:val="10"/>
          <w:vertAlign w:val="baseline"/>
        </w:rPr>
      </w:pPr>
      <w:r w:rsidDel="00000000" w:rsidR="00000000" w:rsidRPr="00000000">
        <w:rPr>
          <w:rFonts w:ascii="Times New Roman" w:cs="Times New Roman" w:eastAsia="Times New Roman" w:hAnsi="Times New Roman"/>
          <w:b w:val="1"/>
          <w:vertAlign w:val="baseline"/>
          <w:rtl w:val="0"/>
        </w:rPr>
        <w:t xml:space="preserve">Về việc ban hành Thông tư sửa đổi, bổ sung một số điều của Thông tư số 11/2014/TT-BVHTTDL, Thông tư số 15/2012/TT-BVHTTDL, Thông tư số 0</w:t>
      </w:r>
      <w:r w:rsidDel="00000000" w:rsidR="00000000" w:rsidRPr="00000000">
        <w:rPr>
          <w:b w:val="1"/>
          <w:vertAlign w:val="baseline"/>
          <w:rtl w:val="0"/>
        </w:rPr>
        <w:t xml:space="preserve">4</w:t>
      </w:r>
      <w:r w:rsidDel="00000000" w:rsidR="00000000" w:rsidRPr="00000000">
        <w:rPr>
          <w:rFonts w:ascii="Times New Roman" w:cs="Times New Roman" w:eastAsia="Times New Roman" w:hAnsi="Times New Roman"/>
          <w:b w:val="1"/>
          <w:vertAlign w:val="baseline"/>
          <w:rtl w:val="0"/>
        </w:rPr>
        <w:t xml:space="preserve">/201</w:t>
      </w:r>
      <w:r w:rsidDel="00000000" w:rsidR="00000000" w:rsidRPr="00000000">
        <w:rPr>
          <w:b w:val="1"/>
          <w:vertAlign w:val="baseline"/>
          <w:rtl w:val="0"/>
        </w:rPr>
        <w:t xml:space="preserve">6/TT-BVHTTDL, </w:t>
      </w:r>
      <w:r w:rsidDel="00000000" w:rsidR="00000000" w:rsidRPr="00000000">
        <w:rPr>
          <w:rFonts w:ascii="Times New Roman" w:cs="Times New Roman" w:eastAsia="Times New Roman" w:hAnsi="Times New Roman"/>
          <w:b w:val="1"/>
          <w:vertAlign w:val="baseline"/>
          <w:rtl w:val="0"/>
        </w:rPr>
        <w:t xml:space="preserve">Thông tư số 06/2015/TT-BVHTTDL</w:t>
      </w:r>
      <w:r w:rsidDel="00000000" w:rsidR="00000000" w:rsidRPr="00000000">
        <w:rPr>
          <w:rtl w:val="0"/>
        </w:rPr>
      </w:r>
    </w:p>
    <w:p w:rsidR="00000000" w:rsidDel="00000000" w:rsidP="00000000" w:rsidRDefault="00000000" w:rsidRPr="00000000" w14:paraId="0000000F">
      <w:pPr>
        <w:contextualSpacing w:val="0"/>
        <w:jc w:val="center"/>
        <w:rPr>
          <w:rFonts w:ascii="Times New Roman" w:cs="Times New Roman" w:eastAsia="Times New Roman" w:hAnsi="Times New Roman"/>
          <w:b w:val="0"/>
          <w:sz w:val="12"/>
          <w:szCs w:val="12"/>
          <w:vertAlign w:val="baseline"/>
        </w:rPr>
      </w:pPr>
      <w:r w:rsidDel="00000000" w:rsidR="00000000" w:rsidRPr="00000000">
        <w:rPr>
          <w:rFonts w:ascii="Times New Roman" w:cs="Times New Roman" w:eastAsia="Times New Roman" w:hAnsi="Times New Roman"/>
          <w:b w:val="1"/>
          <w:sz w:val="12"/>
          <w:szCs w:val="12"/>
          <w:vertAlign w:val="baseline"/>
          <w:rtl w:val="0"/>
        </w:rPr>
        <w:t xml:space="preserve">_______________________________</w:t>
      </w:r>
      <w:r w:rsidDel="00000000" w:rsidR="00000000" w:rsidRPr="00000000">
        <w:rPr>
          <w:rtl w:val="0"/>
        </w:rPr>
      </w:r>
    </w:p>
    <w:p w:rsidR="00000000" w:rsidDel="00000000" w:rsidP="00000000" w:rsidRDefault="00000000" w:rsidRPr="00000000" w14:paraId="00000010">
      <w:pPr>
        <w:pStyle w:val="Heading2"/>
        <w:contextualSpacing w:val="0"/>
        <w:rPr>
          <w:sz w:val="12"/>
          <w:szCs w:val="12"/>
          <w:vertAlign w:val="baseline"/>
        </w:rPr>
      </w:pPr>
      <w:r w:rsidDel="00000000" w:rsidR="00000000" w:rsidRPr="00000000">
        <w:rPr>
          <w:rtl w:val="0"/>
        </w:rPr>
      </w:r>
    </w:p>
    <w:p w:rsidR="00000000" w:rsidDel="00000000" w:rsidP="00000000" w:rsidRDefault="00000000" w:rsidRPr="00000000" w14:paraId="00000011">
      <w:pPr>
        <w:contextualSpacing w:val="0"/>
        <w:rPr>
          <w:sz w:val="16"/>
          <w:szCs w:val="16"/>
          <w:vertAlign w:val="baseline"/>
        </w:rPr>
      </w:pPr>
      <w:r w:rsidDel="00000000" w:rsidR="00000000" w:rsidRPr="00000000">
        <w:rPr>
          <w:rtl w:val="0"/>
        </w:rPr>
      </w:r>
    </w:p>
    <w:p w:rsidR="00000000" w:rsidDel="00000000" w:rsidP="00000000" w:rsidRDefault="00000000" w:rsidRPr="00000000" w14:paraId="00000012">
      <w:pPr>
        <w:contextualSpacing w:val="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Kính gửi: Bộ trưởng Nguyễn Ngọc Thiện</w:t>
      </w:r>
    </w:p>
    <w:p w:rsidR="00000000" w:rsidDel="00000000" w:rsidP="00000000" w:rsidRDefault="00000000" w:rsidRPr="00000000" w14:paraId="00000013">
      <w:pPr>
        <w:spacing w:before="120" w:lineRule="auto"/>
        <w:contextualSpacing w:val="0"/>
        <w:jc w:val="center"/>
        <w:rPr>
          <w:rFonts w:ascii="Times New Roman" w:cs="Times New Roman" w:eastAsia="Times New Roman" w:hAnsi="Times New Roman"/>
          <w:sz w:val="2"/>
          <w:szCs w:val="2"/>
          <w:vertAlign w:val="baseline"/>
        </w:rPr>
      </w:pPr>
      <w:r w:rsidDel="00000000" w:rsidR="00000000" w:rsidRPr="00000000">
        <w:rPr>
          <w:rtl w:val="0"/>
        </w:rPr>
      </w:r>
    </w:p>
    <w:p w:rsidR="00000000" w:rsidDel="00000000" w:rsidP="00000000" w:rsidRDefault="00000000" w:rsidRPr="00000000" w14:paraId="00000014">
      <w:pPr>
        <w:pStyle w:val="Heading2"/>
        <w:spacing w:before="120" w:lineRule="auto"/>
        <w:ind w:firstLine="700"/>
        <w:contextualSpacing w:val="0"/>
        <w:jc w:val="both"/>
        <w:rPr>
          <w:b w:val="0"/>
          <w:vertAlign w:val="baseline"/>
        </w:rPr>
      </w:pPr>
      <w:r w:rsidDel="00000000" w:rsidR="00000000" w:rsidRPr="00000000">
        <w:rPr>
          <w:b w:val="0"/>
          <w:vertAlign w:val="baseline"/>
          <w:rtl w:val="0"/>
        </w:rPr>
        <w:t xml:space="preserve">Thực hiện Quyết định số 199/QĐ-TTg ngày 09 tháng 02 năm 2018 của Thủ tướng Chính phủ về việc phê duyệt Phương án đơn giản hóa đối với nhóm thủ tục hành chính, quy định liên quan đến lý lịch tư pháp và yêu cầu nộp bản sao giấy tờ có công chứng, chứng thực;</w:t>
      </w:r>
    </w:p>
    <w:p w:rsidR="00000000" w:rsidDel="00000000" w:rsidP="00000000" w:rsidRDefault="00000000" w:rsidRPr="00000000" w14:paraId="00000015">
      <w:pPr>
        <w:spacing w:before="120" w:lineRule="auto"/>
        <w:ind w:firstLine="600"/>
        <w:contextualSpacing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Căn cứ Quyết định số 2161/QĐ-BVHTTDL ngày 08 tháng 6 năm 2018 của Bộ trưởng Bộ Văn hóa, Thể thao và Du lịch về việc xây dựng Thông tư sửa đổi, bổ sung một số điều của Thông tư số 04/2009/TT-BVHTTDL; Thông tư số 15/2012/TT-BVHTTDL; Thông tư số 11/2014/TT-BVHTTDL; Thông tư số 06/2015/TT-BVHTTDL, </w:t>
      </w:r>
    </w:p>
    <w:p w:rsidR="00000000" w:rsidDel="00000000" w:rsidP="00000000" w:rsidRDefault="00000000" w:rsidRPr="00000000" w14:paraId="00000016">
      <w:pPr>
        <w:spacing w:before="120" w:lineRule="auto"/>
        <w:ind w:firstLine="600"/>
        <w:contextualSpacing w:val="0"/>
        <w:jc w:val="both"/>
        <w:rPr>
          <w:rFonts w:ascii="Times New Roman" w:cs="Times New Roman" w:eastAsia="Times New Roman" w:hAnsi="Times New Roman"/>
          <w:vertAlign w:val="baseline"/>
        </w:rPr>
      </w:pPr>
      <w:r w:rsidDel="00000000" w:rsidR="00000000" w:rsidRPr="00000000">
        <w:rPr>
          <w:vertAlign w:val="baseline"/>
          <w:rtl w:val="0"/>
        </w:rPr>
        <w:tab/>
      </w:r>
      <w:r w:rsidDel="00000000" w:rsidR="00000000" w:rsidRPr="00000000">
        <w:rPr>
          <w:rFonts w:ascii="Times New Roman" w:cs="Times New Roman" w:eastAsia="Times New Roman" w:hAnsi="Times New Roman"/>
          <w:vertAlign w:val="baseline"/>
          <w:rtl w:val="0"/>
        </w:rPr>
        <w:t xml:space="preserve">Thực hiện ý kiến chỉ đạo của lãnh đạo Bộ, Vụ Pháp chế đã dự thảo Thông tư sửa đổi, bổ sung một số điều của Thông tư số 04/2009/TT-BVHTTDL; Thông tư số 15/2012/TT-BVHTTDL; Thông tư số 11/2014/TT-BVHTTDL; Thông tư số 06/2015/TT-BVHTTDL,</w:t>
      </w:r>
    </w:p>
    <w:p w:rsidR="00000000" w:rsidDel="00000000" w:rsidP="00000000" w:rsidRDefault="00000000" w:rsidRPr="00000000" w14:paraId="00000017">
      <w:pPr>
        <w:spacing w:before="120" w:lineRule="auto"/>
        <w:ind w:firstLine="700"/>
        <w:contextualSpacing w:val="0"/>
        <w:jc w:val="both"/>
        <w:rPr>
          <w:vertAlign w:val="baseline"/>
        </w:rPr>
      </w:pPr>
      <w:r w:rsidDel="00000000" w:rsidR="00000000" w:rsidRPr="00000000">
        <w:rPr>
          <w:rFonts w:ascii="Times New Roman" w:cs="Times New Roman" w:eastAsia="Times New Roman" w:hAnsi="Times New Roman"/>
          <w:vertAlign w:val="baseline"/>
          <w:rtl w:val="0"/>
        </w:rPr>
        <w:tab/>
        <w:t xml:space="preserve">Vụ Pháp chế kính trình Bộ trưởng dự thảo Thông tư với những nội dung chính như sau</w:t>
      </w:r>
      <w:r w:rsidDel="00000000" w:rsidR="00000000" w:rsidRPr="00000000">
        <w:rPr>
          <w:vertAlign w:val="baseline"/>
          <w:rtl w:val="0"/>
        </w:rPr>
        <w:t xml:space="preserve">: </w:t>
      </w:r>
    </w:p>
    <w:p w:rsidR="00000000" w:rsidDel="00000000" w:rsidP="00000000" w:rsidRDefault="00000000" w:rsidRPr="00000000" w14:paraId="00000018">
      <w:pPr>
        <w:spacing w:before="120" w:lineRule="auto"/>
        <w:ind w:firstLine="700"/>
        <w:contextualSpacing w:val="0"/>
        <w:jc w:val="both"/>
        <w:rPr>
          <w:rFonts w:ascii="Times New Roman" w:cs="Times New Roman" w:eastAsia="Times New Roman" w:hAnsi="Times New Roman"/>
          <w:b w:val="0"/>
          <w:sz w:val="26"/>
          <w:szCs w:val="26"/>
          <w:vertAlign w:val="baseline"/>
        </w:rPr>
      </w:pPr>
      <w:r w:rsidDel="00000000" w:rsidR="00000000" w:rsidRPr="00000000">
        <w:rPr>
          <w:vertAlign w:val="baseline"/>
          <w:rtl w:val="0"/>
        </w:rPr>
        <w:tab/>
      </w:r>
      <w:r w:rsidDel="00000000" w:rsidR="00000000" w:rsidRPr="00000000">
        <w:rPr>
          <w:rFonts w:ascii="Times New Roman" w:cs="Times New Roman" w:eastAsia="Times New Roman" w:hAnsi="Times New Roman"/>
          <w:b w:val="1"/>
          <w:sz w:val="26"/>
          <w:szCs w:val="26"/>
          <w:vertAlign w:val="baseline"/>
          <w:rtl w:val="0"/>
        </w:rPr>
        <w:t xml:space="preserve">I. SỰ CẦN THIẾT BAN HÀNH THÔNG TƯ </w:t>
      </w:r>
      <w:r w:rsidDel="00000000" w:rsidR="00000000" w:rsidRPr="00000000">
        <w:rPr>
          <w:rtl w:val="0"/>
        </w:rPr>
      </w:r>
    </w:p>
    <w:p w:rsidR="00000000" w:rsidDel="00000000" w:rsidP="00000000" w:rsidRDefault="00000000" w:rsidRPr="00000000" w14:paraId="00000019">
      <w:pPr>
        <w:spacing w:before="120" w:lineRule="auto"/>
        <w:ind w:firstLine="700"/>
        <w:contextualSpacing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Quyết định số 199/QĐ-TTg ngày 09 tháng 02 năm 2018 của Thủ tướng Chính phủ về việc phê duyệt Phương án đơn giản hóa đối với nhóm thủ tục hành chính, quy định liên quan đến lý lịch tư pháp và yêu cầu nộp bản sao giấy tờ có công chứng, chứng thực được ban hành nhằm mục đích mở rộng các hình thức bản sao cho phù hợp với cách thức thực hiện thủ tục hành chính, theo đó quy định người yêu cầu có thể lựa chọn nộp bản sao từ sổ gốc hoặc bản sao và xuất trình bản chính để đối chiếu hoặc bản sao có chứng thực (trường hợp nộp hồ sơ trực tiếp); nộp bản sao từ sổ gốc hoặc bản sao có chứng thực (trường hợp nộp hồ sơ qua bưu điện).</w:t>
      </w:r>
    </w:p>
    <w:p w:rsidR="00000000" w:rsidDel="00000000" w:rsidP="00000000" w:rsidRDefault="00000000" w:rsidRPr="00000000" w14:paraId="0000001A">
      <w:pPr>
        <w:spacing w:before="120" w:lineRule="auto"/>
        <w:ind w:firstLine="700"/>
        <w:contextualSpacing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Thực hiện nhiệm vụ được giao tại Quyết định số 199/QĐ-TTg của Thủ tướng Chính phủ và Quyết định số 2161/QĐ-BVHTTDL của Bộ trưởng Bộ Văn hóa, Thể thao và Du lịch, Vụ Pháp chế xây dựng Thông tư sửa đổi, bổ sung một số điều của Thông tư số 04/2009/TT-BVHTTDL; Thông tư số 15/2012/TT-BVHTTDL; Thông tư số 11/2014/TT-BVHTTDL; Thông tư số 06/2015/TT-BVHTTDL để thực thi Phương án đơn giản hóa đối với nhóm thủ tục hành chính, quy định liên quan đến lý lịch tư pháp và yêu cầu nộp bản sao giấy tờ có công chứng, chứng thực quy định tại Quyết định số 199/QĐ-TTg ngày 09 tháng 02 năm 2018 của Thủ tướng Chính phủ thuộc phạm vi chức năng quản lý của Bộ Văn hóa, Thể thao và Du lịch.</w:t>
      </w:r>
    </w:p>
    <w:p w:rsidR="00000000" w:rsidDel="00000000" w:rsidP="00000000" w:rsidRDefault="00000000" w:rsidRPr="00000000" w14:paraId="0000001B">
      <w:pPr>
        <w:spacing w:before="120" w:lineRule="auto"/>
        <w:ind w:firstLine="700"/>
        <w:contextualSpacing w:val="0"/>
        <w:jc w:val="both"/>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ab/>
        <w:t xml:space="preserve">II. QUAN ĐIỂM VÀ QUÁ TRÌNH XÂY DỰNG THÔNG TƯ </w:t>
      </w:r>
      <w:r w:rsidDel="00000000" w:rsidR="00000000" w:rsidRPr="00000000">
        <w:rPr>
          <w:rtl w:val="0"/>
        </w:rPr>
      </w:r>
    </w:p>
    <w:p w:rsidR="00000000" w:rsidDel="00000000" w:rsidP="00000000" w:rsidRDefault="00000000" w:rsidRPr="00000000" w14:paraId="0000001C">
      <w:pPr>
        <w:spacing w:before="120" w:lineRule="auto"/>
        <w:ind w:firstLine="700"/>
        <w:contextualSpacing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1. Quan điểm xây dựng Thông tư</w:t>
      </w:r>
      <w:r w:rsidDel="00000000" w:rsidR="00000000" w:rsidRPr="00000000">
        <w:rPr>
          <w:rtl w:val="0"/>
        </w:rPr>
      </w:r>
    </w:p>
    <w:p w:rsidR="00000000" w:rsidDel="00000000" w:rsidP="00000000" w:rsidRDefault="00000000" w:rsidRPr="00000000" w14:paraId="0000001D">
      <w:pPr>
        <w:spacing w:before="120" w:lineRule="auto"/>
        <w:ind w:firstLine="700"/>
        <w:contextualSpacing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Dự thảo Thông tư được xây dựng dựa trên những quan điểm cơ bản</w:t>
        <w:br w:type="textWrapping"/>
        <w:t xml:space="preserve">như sau:</w:t>
      </w:r>
    </w:p>
    <w:p w:rsidR="00000000" w:rsidDel="00000000" w:rsidP="00000000" w:rsidRDefault="00000000" w:rsidRPr="00000000" w14:paraId="0000001E">
      <w:pPr>
        <w:spacing w:before="120" w:lineRule="auto"/>
        <w:ind w:firstLine="700"/>
        <w:contextualSpacing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Rà soát các nội dung phương án đơn giản hóa các thủ tục hành chính quy định tại Quyết định số 199/QĐ-TTg thuộc phạm vi chức năng quản lý của Bộ  Văn hóa, Thể thao và Du lịch với các Thông tư do Bộ Văn hóa, Thể thao và Du lịch ban hành theo thẩm quyền để sửa đổi, bổ sung cho phù hợp.</w:t>
      </w:r>
    </w:p>
    <w:p w:rsidR="00000000" w:rsidDel="00000000" w:rsidP="00000000" w:rsidRDefault="00000000" w:rsidRPr="00000000" w14:paraId="0000001F">
      <w:pPr>
        <w:spacing w:before="120" w:lineRule="auto"/>
        <w:ind w:firstLine="700"/>
        <w:contextualSpacing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Quy định cụ thể nội dung phương án đơn giản hóa tại các Thông tư được sửa đổi, bổ sung theo đúng quy định được phê duyệt tại Quyết định số 199/QĐ-TTg của Thủ tướng Chính phủ.</w:t>
      </w:r>
    </w:p>
    <w:p w:rsidR="00000000" w:rsidDel="00000000" w:rsidP="00000000" w:rsidRDefault="00000000" w:rsidRPr="00000000" w14:paraId="00000020">
      <w:pPr>
        <w:spacing w:before="120" w:lineRule="auto"/>
        <w:ind w:firstLine="700"/>
        <w:contextualSpacing w:val="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2. Quá trình soạn thảo</w:t>
      </w:r>
      <w:r w:rsidDel="00000000" w:rsidR="00000000" w:rsidRPr="00000000">
        <w:rPr>
          <w:rtl w:val="0"/>
        </w:rPr>
      </w:r>
    </w:p>
    <w:p w:rsidR="00000000" w:rsidDel="00000000" w:rsidP="00000000" w:rsidRDefault="00000000" w:rsidRPr="00000000" w14:paraId="00000021">
      <w:pPr>
        <w:spacing w:before="120" w:lineRule="auto"/>
        <w:ind w:firstLine="700"/>
        <w:contextualSpacing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Trong quá trình soạn thảo dự thảo Thông tư, Vụ Pháp chế đã thực hiện đúng quy trình theo quy định của Luật Ban hành văn bản quy phạm pháp luật năm 2015, Nghị định số 34/2016/NĐ-CP ngày 14 tháng 5 năm 2016 của Chính phủ quy định chi tiết một số điều và biện pháp thi hành Luật ban hành văn bản quy phạm pháp luật, cụ thể:</w:t>
      </w:r>
    </w:p>
    <w:p w:rsidR="00000000" w:rsidDel="00000000" w:rsidP="00000000" w:rsidRDefault="00000000" w:rsidRPr="00000000" w14:paraId="00000022">
      <w:pPr>
        <w:spacing w:before="120" w:lineRule="auto"/>
        <w:ind w:firstLine="700"/>
        <w:contextualSpacing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Vụ Pháp chế đã rà soát các thủ tục hành chính quy định tại các Thông tư để sửa đổi, bổ sung phương án đơn giản hóa cho phù hợp với yêu cầu tại Quyết định số 199/QĐ-TTg.</w:t>
      </w:r>
    </w:p>
    <w:p w:rsidR="00000000" w:rsidDel="00000000" w:rsidP="00000000" w:rsidRDefault="00000000" w:rsidRPr="00000000" w14:paraId="00000023">
      <w:pPr>
        <w:spacing w:before="120" w:lineRule="auto"/>
        <w:ind w:firstLine="700"/>
        <w:contextualSpacing w:val="0"/>
        <w:jc w:val="both"/>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vertAlign w:val="baseline"/>
          <w:rtl w:val="0"/>
        </w:rPr>
        <w:t xml:space="preserve">- Vụ Pháp chế đã tham mưu để lãnh đạo Bộ ban hành Quyết định thành lập Tổ soạn thảo Thông tư bao gồm đại diện các cơ quan, đơn vị liên quan; xây dựng dự thảo Thông tư và các văn bản khác theo quy định. </w:t>
      </w:r>
      <w:r w:rsidDel="00000000" w:rsidR="00000000" w:rsidRPr="00000000">
        <w:rPr>
          <w:rFonts w:ascii="Times New Roman" w:cs="Times New Roman" w:eastAsia="Times New Roman" w:hAnsi="Times New Roman"/>
          <w:i w:val="1"/>
          <w:vertAlign w:val="baseline"/>
          <w:rtl w:val="0"/>
        </w:rPr>
        <w:t xml:space="preserve">Tổ chức các cuộc họp và gửi văn bản lấy ý kiến góp ý của các Bộ, ngành, các địa phương, các đối tượng liên quan khác và các chuyên gia, đăng tải các dự thảo trên Cổng thông tin điện tử của Bộ Văn hoá, Thể thao và Du lịch.</w:t>
      </w:r>
      <w:r w:rsidDel="00000000" w:rsidR="00000000" w:rsidRPr="00000000">
        <w:rPr>
          <w:rtl w:val="0"/>
        </w:rPr>
      </w:r>
    </w:p>
    <w:p w:rsidR="00000000" w:rsidDel="00000000" w:rsidP="00000000" w:rsidRDefault="00000000" w:rsidRPr="00000000" w14:paraId="00000024">
      <w:pPr>
        <w:spacing w:before="120" w:lineRule="auto"/>
        <w:ind w:firstLine="700"/>
        <w:contextualSpacing w:val="0"/>
        <w:jc w:val="both"/>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Trên cơ sở các ý kiến góp ý, </w:t>
      </w:r>
      <w:r w:rsidDel="00000000" w:rsidR="00000000" w:rsidRPr="00000000">
        <w:rPr>
          <w:rFonts w:ascii="Times New Roman" w:cs="Times New Roman" w:eastAsia="Times New Roman" w:hAnsi="Times New Roman"/>
          <w:vertAlign w:val="baseline"/>
          <w:rtl w:val="0"/>
        </w:rPr>
        <w:t xml:space="preserve">Vụ Pháp chế </w:t>
      </w:r>
      <w:r w:rsidDel="00000000" w:rsidR="00000000" w:rsidRPr="00000000">
        <w:rPr>
          <w:rFonts w:ascii="Times New Roman" w:cs="Times New Roman" w:eastAsia="Times New Roman" w:hAnsi="Times New Roman"/>
          <w:i w:val="1"/>
          <w:vertAlign w:val="baseline"/>
          <w:rtl w:val="0"/>
        </w:rPr>
        <w:t xml:space="preserve">đã hoàn chỉnh‎ dự thảo </w:t>
      </w:r>
      <w:r w:rsidDel="00000000" w:rsidR="00000000" w:rsidRPr="00000000">
        <w:rPr>
          <w:rFonts w:ascii="Times New Roman" w:cs="Times New Roman" w:eastAsia="Times New Roman" w:hAnsi="Times New Roman"/>
          <w:vertAlign w:val="baseline"/>
          <w:rtl w:val="0"/>
        </w:rPr>
        <w:t xml:space="preserve">Thông tư </w:t>
      </w:r>
      <w:r w:rsidDel="00000000" w:rsidR="00000000" w:rsidRPr="00000000">
        <w:rPr>
          <w:rFonts w:ascii="Times New Roman" w:cs="Times New Roman" w:eastAsia="Times New Roman" w:hAnsi="Times New Roman"/>
          <w:i w:val="1"/>
          <w:vertAlign w:val="baseline"/>
          <w:rtl w:val="0"/>
        </w:rPr>
        <w:t xml:space="preserve">và các văn bản theo quy định. Thành lập Hội đồng tư vấn thẩm định. Tiếp thu ý kiến thẩm định của Hội đồng tư vấn thẩm định, </w:t>
      </w:r>
      <w:r w:rsidDel="00000000" w:rsidR="00000000" w:rsidRPr="00000000">
        <w:rPr>
          <w:rFonts w:ascii="Times New Roman" w:cs="Times New Roman" w:eastAsia="Times New Roman" w:hAnsi="Times New Roman"/>
          <w:vertAlign w:val="baseline"/>
          <w:rtl w:val="0"/>
        </w:rPr>
        <w:t xml:space="preserve">Vụ Pháp chế</w:t>
      </w:r>
      <w:r w:rsidDel="00000000" w:rsidR="00000000" w:rsidRPr="00000000">
        <w:rPr>
          <w:rFonts w:ascii="Times New Roman" w:cs="Times New Roman" w:eastAsia="Times New Roman" w:hAnsi="Times New Roman"/>
          <w:i w:val="1"/>
          <w:vertAlign w:val="baseline"/>
          <w:rtl w:val="0"/>
        </w:rPr>
        <w:t xml:space="preserve"> hoàn chỉnh hồ sơ dự thảo </w:t>
      </w:r>
      <w:r w:rsidDel="00000000" w:rsidR="00000000" w:rsidRPr="00000000">
        <w:rPr>
          <w:rFonts w:ascii="Times New Roman" w:cs="Times New Roman" w:eastAsia="Times New Roman" w:hAnsi="Times New Roman"/>
          <w:vertAlign w:val="baseline"/>
          <w:rtl w:val="0"/>
        </w:rPr>
        <w:t xml:space="preserve">Thông tư</w:t>
      </w:r>
      <w:r w:rsidDel="00000000" w:rsidR="00000000" w:rsidRPr="00000000">
        <w:rPr>
          <w:rFonts w:ascii="Times New Roman" w:cs="Times New Roman" w:eastAsia="Times New Roman" w:hAnsi="Times New Roman"/>
          <w:i w:val="1"/>
          <w:vertAlign w:val="baseline"/>
          <w:rtl w:val="0"/>
        </w:rPr>
        <w:t xml:space="preserve"> trình Bộ trưởng. </w:t>
      </w:r>
      <w:r w:rsidDel="00000000" w:rsidR="00000000" w:rsidRPr="00000000">
        <w:rPr>
          <w:rtl w:val="0"/>
        </w:rPr>
      </w:r>
    </w:p>
    <w:p w:rsidR="00000000" w:rsidDel="00000000" w:rsidP="00000000" w:rsidRDefault="00000000" w:rsidRPr="00000000" w14:paraId="00000025">
      <w:pPr>
        <w:spacing w:before="120" w:lineRule="auto"/>
        <w:ind w:firstLine="700"/>
        <w:contextualSpacing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III. NỘI DUNG DỰ THẢO THÔNG TƯ</w:t>
      </w:r>
      <w:r w:rsidDel="00000000" w:rsidR="00000000" w:rsidRPr="00000000">
        <w:rPr>
          <w:rtl w:val="0"/>
        </w:rPr>
      </w:r>
    </w:p>
    <w:p w:rsidR="00000000" w:rsidDel="00000000" w:rsidP="00000000" w:rsidRDefault="00000000" w:rsidRPr="00000000" w14:paraId="00000026">
      <w:pPr>
        <w:numPr>
          <w:ilvl w:val="0"/>
          <w:numId w:val="1"/>
        </w:numPr>
        <w:spacing w:before="120" w:lineRule="auto"/>
        <w:ind w:left="0" w:firstLine="700"/>
        <w:contextualSpacing w:val="0"/>
        <w:jc w:val="both"/>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1"/>
          <w:vertAlign w:val="baseline"/>
          <w:rtl w:val="0"/>
        </w:rPr>
        <w:t xml:space="preserve">Về tên gọi Thông tư</w:t>
      </w:r>
      <w:r w:rsidDel="00000000" w:rsidR="00000000" w:rsidRPr="00000000">
        <w:rPr>
          <w:rtl w:val="0"/>
        </w:rPr>
      </w:r>
    </w:p>
    <w:p w:rsidR="00000000" w:rsidDel="00000000" w:rsidP="00000000" w:rsidRDefault="00000000" w:rsidRPr="00000000" w14:paraId="00000027">
      <w:pPr>
        <w:spacing w:before="120" w:lineRule="auto"/>
        <w:ind w:firstLine="700"/>
        <w:contextualSpacing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Quyết định số 199/QĐ-TTg ngày 09 tháng 02 năm 2018 của Thủ tướng Chính phủ giao Bộ Văn hoá, Thể thao và Du lịch chủ trì, phối hợp với các Bộ, ngành liên quan xây dựng dự thảo Thông tư sửa đổi, bổ sung các Thông tư sau:</w:t>
      </w:r>
    </w:p>
    <w:p w:rsidR="00000000" w:rsidDel="00000000" w:rsidP="00000000" w:rsidRDefault="00000000" w:rsidRPr="00000000" w14:paraId="00000028">
      <w:pPr>
        <w:spacing w:before="120" w:lineRule="auto"/>
        <w:ind w:firstLine="720"/>
        <w:contextualSpacing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Thông tư số 11/2014/TT-BVHTTDL ngày 01/10/2014 của Bộ trưởng Bộ Văn hóa, Thể thao và Du lịch quy định về xét tặng Kỷ niệm chương “Vì sự nghiệp Văn hóa, Thể thao và Du lịch”.</w:t>
      </w:r>
    </w:p>
    <w:p w:rsidR="00000000" w:rsidDel="00000000" w:rsidP="00000000" w:rsidRDefault="00000000" w:rsidRPr="00000000" w14:paraId="00000029">
      <w:pPr>
        <w:spacing w:before="120" w:lineRule="auto"/>
        <w:ind w:firstLine="720"/>
        <w:contextualSpacing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Thông tư số 15/2012/TT-BVHTTDL ngày 13/12/2012 của Bộ Văn hóa, Thể thao và Du lịch hướng dẫn hoạt động giám định quyền tác giả, quyền liên quan.</w:t>
      </w:r>
    </w:p>
    <w:p w:rsidR="00000000" w:rsidDel="00000000" w:rsidP="00000000" w:rsidRDefault="00000000" w:rsidRPr="00000000" w14:paraId="0000002A">
      <w:pPr>
        <w:spacing w:before="120" w:lineRule="auto"/>
        <w:ind w:firstLine="720"/>
        <w:contextualSpacing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Thông tư số 04/2009/TT-BVHTTDL quy định chi tiết thi hành một số quy định tại Quy chế hoạt động văn hóa và kinh doanh dịch vụ văn hóa công cộng ban hành kèm theo Nghị định số 103/2009/NĐ-CP.</w:t>
      </w:r>
    </w:p>
    <w:p w:rsidR="00000000" w:rsidDel="00000000" w:rsidP="00000000" w:rsidRDefault="00000000" w:rsidRPr="00000000" w14:paraId="0000002B">
      <w:pPr>
        <w:spacing w:before="120" w:lineRule="auto"/>
        <w:ind w:firstLine="720"/>
        <w:contextualSpacing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Thông tư số 06/2015/TT-BVHTTDL ngày 8/7/2015 của Bộ trưởng Bộ Văn hóa, Thể thao và Du lịch quy định trình tự, thủ tục tiếp nhận hồ sơ cấp Giấy phép mang vũ khí, công cụ hỗ trợ vào, ra khỏi lãnh thổ Việt Nam để trưng bày, triển lãm trong hoạt động văn hóa, nghệ thuật; trình tự, thủ tục cho phép triển khai sử dụng vũ khí, vật liệu nổ và công cụ hỗ trợ làm đạo cụ.</w:t>
      </w:r>
    </w:p>
    <w:p w:rsidR="00000000" w:rsidDel="00000000" w:rsidP="00000000" w:rsidRDefault="00000000" w:rsidRPr="00000000" w14:paraId="0000002C">
      <w:pPr>
        <w:spacing w:before="120" w:lineRule="auto"/>
        <w:ind w:firstLine="720"/>
        <w:contextualSpacing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Thông tư số 28/2014/TT-BVHTTDL ngày 31/12/2014 của Bộ Văn hóa, Thể thao và Du lịch quy định về quản lý hoạt động mua bán hàng hóa quốc tế thuộc diện quản lý chuyên ngành văn hóa của Bộ Văn hóa, Thể thao và Du lịch.</w:t>
      </w:r>
    </w:p>
    <w:p w:rsidR="00000000" w:rsidDel="00000000" w:rsidP="00000000" w:rsidRDefault="00000000" w:rsidRPr="00000000" w14:paraId="0000002D">
      <w:pPr>
        <w:spacing w:before="120" w:lineRule="auto"/>
        <w:ind w:firstLine="720"/>
        <w:contextualSpacing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Tuy nhiên, trong số các Thông tư trên, Thông tư số 28/2014/TT-BVHTTDL ngày 31/12/2014 hiện do Vụ Kế hoạch, Tài chính chủ trì xây dựng Thông tư sửa đổi, bổ sung để đảm bảo thống nhất với Luật Quản lý ngoại thương và Nghị định hướng dẫn Luật Quản lý ngoại thương quy định về hoạt động mua bán hàng hóa quốc tế.</w:t>
      </w:r>
    </w:p>
    <w:p w:rsidR="00000000" w:rsidDel="00000000" w:rsidP="00000000" w:rsidRDefault="00000000" w:rsidRPr="00000000" w14:paraId="0000002E">
      <w:pPr>
        <w:spacing w:before="120" w:lineRule="auto"/>
        <w:ind w:firstLine="720"/>
        <w:contextualSpacing w:val="0"/>
        <w:jc w:val="both"/>
        <w:rPr>
          <w:vertAlign w:val="baseline"/>
        </w:rPr>
      </w:pPr>
      <w:r w:rsidDel="00000000" w:rsidR="00000000" w:rsidRPr="00000000">
        <w:rPr>
          <w:rFonts w:ascii="Times New Roman" w:cs="Times New Roman" w:eastAsia="Times New Roman" w:hAnsi="Times New Roman"/>
          <w:vertAlign w:val="baseline"/>
          <w:rtl w:val="0"/>
        </w:rPr>
        <w:t xml:space="preserve">Do vậy Vụ Pháp chế đề nghị sửa đổi, bổ sung 04 Thông tư. Vụ Pháp chế trình Bộ trưởng dự thảo Thông tư với tên gọi “Thông tư sửa đổi, bổ sung một số điều của Thông tư số 11/2014/TT-BVHTTDL, Thông tư số 15/2012/TT-BVHTTDL, Thông tư số 0</w:t>
      </w:r>
      <w:r w:rsidDel="00000000" w:rsidR="00000000" w:rsidRPr="00000000">
        <w:rPr>
          <w:vertAlign w:val="baseline"/>
          <w:rtl w:val="0"/>
        </w:rPr>
        <w:t xml:space="preserve">4</w:t>
      </w:r>
      <w:r w:rsidDel="00000000" w:rsidR="00000000" w:rsidRPr="00000000">
        <w:rPr>
          <w:rFonts w:ascii="Times New Roman" w:cs="Times New Roman" w:eastAsia="Times New Roman" w:hAnsi="Times New Roman"/>
          <w:vertAlign w:val="baseline"/>
          <w:rtl w:val="0"/>
        </w:rPr>
        <w:t xml:space="preserve">/201</w:t>
      </w:r>
      <w:r w:rsidDel="00000000" w:rsidR="00000000" w:rsidRPr="00000000">
        <w:rPr>
          <w:vertAlign w:val="baseline"/>
          <w:rtl w:val="0"/>
        </w:rPr>
        <w:t xml:space="preserve">6/TT-BVHTTDL, </w:t>
      </w:r>
      <w:r w:rsidDel="00000000" w:rsidR="00000000" w:rsidRPr="00000000">
        <w:rPr>
          <w:rFonts w:ascii="Times New Roman" w:cs="Times New Roman" w:eastAsia="Times New Roman" w:hAnsi="Times New Roman"/>
          <w:vertAlign w:val="baseline"/>
          <w:rtl w:val="0"/>
        </w:rPr>
        <w:t xml:space="preserve">Thông tư số 06/2015/TT-BVHTTDL”. </w:t>
      </w:r>
      <w:r w:rsidDel="00000000" w:rsidR="00000000" w:rsidRPr="00000000">
        <w:rPr>
          <w:rtl w:val="0"/>
        </w:rPr>
      </w:r>
    </w:p>
    <w:p w:rsidR="00000000" w:rsidDel="00000000" w:rsidP="00000000" w:rsidRDefault="00000000" w:rsidRPr="00000000" w14:paraId="0000002F">
      <w:pPr>
        <w:numPr>
          <w:ilvl w:val="0"/>
          <w:numId w:val="1"/>
        </w:numPr>
        <w:spacing w:before="120" w:lineRule="auto"/>
        <w:ind w:left="0" w:firstLine="700"/>
        <w:contextualSpacing w:val="0"/>
        <w:jc w:val="both"/>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1"/>
          <w:vertAlign w:val="baseline"/>
          <w:rtl w:val="0"/>
        </w:rPr>
        <w:t xml:space="preserve">Về nội dung dự thảo Thông tư </w:t>
        <w:tab/>
      </w:r>
      <w:r w:rsidDel="00000000" w:rsidR="00000000" w:rsidRPr="00000000">
        <w:rPr>
          <w:rtl w:val="0"/>
        </w:rPr>
      </w:r>
    </w:p>
    <w:p w:rsidR="00000000" w:rsidDel="00000000" w:rsidP="00000000" w:rsidRDefault="00000000" w:rsidRPr="00000000" w14:paraId="00000030">
      <w:pPr>
        <w:spacing w:before="120" w:lineRule="auto"/>
        <w:ind w:firstLine="709"/>
        <w:contextualSpacing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Dự thảo Thông tư được chia thành 05 điều. </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57"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Điều 1. Sửa đổi, bổ sung Thông tư số 11/2014/TT-BVHTTDL ngày 01/10/2014 của Bộ trưởng Bộ Văn hóa, Thể thao và Du lịch quy định về xét tặng Kỷ niệm chương “Vì sự nghiệp Văn hóa, Thể thao và Du lịch”.</w:t>
      </w:r>
    </w:p>
    <w:p w:rsidR="00000000" w:rsidDel="00000000" w:rsidP="00000000" w:rsidRDefault="00000000" w:rsidRPr="00000000" w14:paraId="00000032">
      <w:pPr>
        <w:tabs>
          <w:tab w:val="left" w:pos="993"/>
        </w:tabs>
        <w:spacing w:before="120" w:lineRule="auto"/>
        <w:ind w:firstLine="709"/>
        <w:contextualSpacing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Điều 2. Sửa đổi, bổ sung Thông tư số 15/2012/TT-BVHTTDL ngày 13/12/2012 của Bộ trưởng Bộ Văn hóa, Thể thao và Du lịch hướng dẫn hoạt động giám định quyền tác giả, quyền liên quan.</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12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Điều 3. Sửa đổi, bổ sung Thông tư số 04/2016/TT-BVHTTDL ngày 29/6/2016 của Bộ trưởng Bộ Văn hóa, Thể thao và Du lịch sửa đổi, bổ sung một số điều của Thông tư số 15/2012/TT-BVHTTDL; Thông tư số 07/2012/TT-BVHTTDL; Thông tư số 88/2008/TT-BVHTTDL và Thông tư số 05/2013/TT-BVHTTDL.</w:t>
      </w:r>
    </w:p>
    <w:p w:rsidR="00000000" w:rsidDel="00000000" w:rsidP="00000000" w:rsidRDefault="00000000" w:rsidRPr="00000000" w14:paraId="00000034">
      <w:pPr>
        <w:tabs>
          <w:tab w:val="left" w:pos="993"/>
        </w:tabs>
        <w:spacing w:before="120" w:lineRule="auto"/>
        <w:ind w:firstLine="709"/>
        <w:contextualSpacing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Điều 4. Sửa đổi, bổ sung Thông tư số 06/2015/TT-BVHTTDL ngày 8/7/2015 của Bộ trưởng Bộ Văn hóa, Thể thao và Du lịch quy định trình tự, thủ tục tiếp nhận hồ sơ cấp Giấy phép mang vũ khí, công cụ hỗ trợ vào, ra khỏi lãnh thổ Việt Nam để trưng bày, triển lãm trong hoạt động văn hóa, nghệ thuật; trình tự, thủ tục cho phép triển khai sử dụng vũ khí, vật liệu nổ và công cụ hỗ trợ làm đạo cụ.</w:t>
      </w:r>
    </w:p>
    <w:p w:rsidR="00000000" w:rsidDel="00000000" w:rsidP="00000000" w:rsidRDefault="00000000" w:rsidRPr="00000000" w14:paraId="00000035">
      <w:pPr>
        <w:tabs>
          <w:tab w:val="left" w:pos="993"/>
        </w:tabs>
        <w:spacing w:before="120" w:lineRule="auto"/>
        <w:ind w:firstLine="709"/>
        <w:contextualSpacing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Điều 5. Hiệu lực thi hành.</w:t>
      </w:r>
    </w:p>
    <w:p w:rsidR="00000000" w:rsidDel="00000000" w:rsidP="00000000" w:rsidRDefault="00000000" w:rsidRPr="00000000" w14:paraId="00000036">
      <w:pPr>
        <w:spacing w:before="120" w:lineRule="auto"/>
        <w:ind w:firstLine="700"/>
        <w:contextualSpacing w:val="0"/>
        <w:jc w:val="both"/>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IV. TIẾP THU VÀ GIẢI TRÌNH Ý KIẾN BỘ, NGÀNH, UBND TỈNH, THÀNH PHỐ TRỰC THUỘC TRUNG ƯƠNG, Ý KIẾN THẨM ĐỊNH CỦA HỘI ĐỒNG TƯ VẤN THẨM ĐỊNH</w:t>
      </w:r>
      <w:r w:rsidDel="00000000" w:rsidR="00000000" w:rsidRPr="00000000">
        <w:rPr>
          <w:rtl w:val="0"/>
        </w:rPr>
      </w:r>
    </w:p>
    <w:p w:rsidR="00000000" w:rsidDel="00000000" w:rsidP="00000000" w:rsidRDefault="00000000" w:rsidRPr="00000000" w14:paraId="00000037">
      <w:pPr>
        <w:spacing w:before="120" w:lineRule="auto"/>
        <w:ind w:firstLine="700"/>
        <w:contextualSpacing w:val="0"/>
        <w:jc w:val="both"/>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Tổ soạn thảo đã tiếp thu ý kiến của các tổ chức, cá nhân đăng tải trên Trang thông tin điện tử của Bộ Văn hoá, Thể thao và Du lịch.</w:t>
      </w:r>
      <w:r w:rsidDel="00000000" w:rsidR="00000000" w:rsidRPr="00000000">
        <w:rPr>
          <w:rtl w:val="0"/>
        </w:rPr>
      </w:r>
    </w:p>
    <w:p w:rsidR="00000000" w:rsidDel="00000000" w:rsidP="00000000" w:rsidRDefault="00000000" w:rsidRPr="00000000" w14:paraId="00000038">
      <w:pPr>
        <w:spacing w:before="120" w:lineRule="auto"/>
        <w:ind w:firstLine="700"/>
        <w:contextualSpacing w:val="0"/>
        <w:jc w:val="both"/>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Đồng thời Tổ soạn thảo đã tổ chức các cuộc họp với các đơn vị liên quan. Các nội dung góp ý tại các cuộc họp hoặc góp ý bằng văn bản đã được Tổ soạn thảo tiếp thu và xử lý trước khi gửi dự thảo Thông tư lấy ý kiến chính thức các Bộ, ngành, địa phương. </w:t>
      </w:r>
      <w:r w:rsidDel="00000000" w:rsidR="00000000" w:rsidRPr="00000000">
        <w:rPr>
          <w:rtl w:val="0"/>
        </w:rPr>
      </w:r>
    </w:p>
    <w:p w:rsidR="00000000" w:rsidDel="00000000" w:rsidP="00000000" w:rsidRDefault="00000000" w:rsidRPr="00000000" w14:paraId="00000039">
      <w:pPr>
        <w:spacing w:before="120" w:lineRule="auto"/>
        <w:ind w:firstLine="720"/>
        <w:contextualSpacing w:val="0"/>
        <w:jc w:val="both"/>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Sau khi gửi dự thảo Tờ trình và dự thảo Thông tư lấy ý kiến các Bộ, ngành và các địa phương, Vụ Pháp chế đã nhận được một số ý kiến đóng góp, về cơ bản</w:t>
      </w:r>
      <w:r w:rsidDel="00000000" w:rsidR="00000000" w:rsidRPr="00000000">
        <w:rPr>
          <w:rFonts w:ascii="Times New Roman" w:cs="Times New Roman" w:eastAsia="Times New Roman" w:hAnsi="Times New Roman"/>
          <w:b w:val="1"/>
          <w:i w:val="1"/>
          <w:sz w:val="26"/>
          <w:szCs w:val="26"/>
          <w:vertAlign w:val="baseline"/>
          <w:rtl w:val="0"/>
        </w:rPr>
        <w:t xml:space="preserve"> </w:t>
      </w:r>
      <w:r w:rsidDel="00000000" w:rsidR="00000000" w:rsidRPr="00000000">
        <w:rPr>
          <w:rFonts w:ascii="Times New Roman" w:cs="Times New Roman" w:eastAsia="Times New Roman" w:hAnsi="Times New Roman"/>
          <w:i w:val="1"/>
          <w:vertAlign w:val="baseline"/>
          <w:rtl w:val="0"/>
        </w:rPr>
        <w:t xml:space="preserve">đa số đều nhất trí với dự thảo Thông tư. Đối với các ý kiến góp ý, Vụ Pháp chế đã tiếp thu và chỉnh sửa đầy đủ tại dự thảo Thông tư. Vụ Pháp chế đã tổ chức cuộc họp cuối với cơ quan, đơn vị có liên quan trước khi trình Bộ trưởng, đã nhận được ý kiến thống nhất của các cơ quan, đơn vị.</w:t>
      </w:r>
      <w:r w:rsidDel="00000000" w:rsidR="00000000" w:rsidRPr="00000000">
        <w:rPr>
          <w:rtl w:val="0"/>
        </w:rPr>
      </w:r>
    </w:p>
    <w:p w:rsidR="00000000" w:rsidDel="00000000" w:rsidP="00000000" w:rsidRDefault="00000000" w:rsidRPr="00000000" w14:paraId="0000003A">
      <w:pPr>
        <w:spacing w:before="120" w:lineRule="auto"/>
        <w:ind w:firstLine="700"/>
        <w:contextualSpacing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Về ý kiến thẩm định của Hội đồng tư vấn thẩm định</w:t>
      </w: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03B">
      <w:pPr>
        <w:spacing w:before="120" w:lineRule="auto"/>
        <w:ind w:firstLine="700"/>
        <w:contextualSpacing w:val="0"/>
        <w:jc w:val="both"/>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Hội đồng tư vấn thẩm định cho rằng về cơ bản nội dung dự thảo Thông tư đã đảm bảo được tính hợp Hiến, hợp pháp,</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i w:val="1"/>
          <w:vertAlign w:val="baseline"/>
          <w:rtl w:val="0"/>
        </w:rPr>
        <w:t xml:space="preserve">tuy nhiên còn một số ý kiến cụ thể Hội đồng đề nghị nghiên cứu, cân nhắc, chỉnh lý về nội dung dự thảo Thông tư.</w:t>
      </w:r>
      <w:r w:rsidDel="00000000" w:rsidR="00000000" w:rsidRPr="00000000">
        <w:rPr>
          <w:rtl w:val="0"/>
        </w:rPr>
      </w:r>
    </w:p>
    <w:p w:rsidR="00000000" w:rsidDel="00000000" w:rsidP="00000000" w:rsidRDefault="00000000" w:rsidRPr="00000000" w14:paraId="0000003C">
      <w:pPr>
        <w:spacing w:before="120" w:lineRule="auto"/>
        <w:ind w:firstLine="700"/>
        <w:contextualSpacing w:val="0"/>
        <w:jc w:val="both"/>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vertAlign w:val="baseline"/>
          <w:rtl w:val="0"/>
        </w:rPr>
        <w:t xml:space="preserve">Về cơ bản, Vụ Pháp chế đã tiếp thu các ý kiến thẩm định của </w:t>
      </w:r>
      <w:r w:rsidDel="00000000" w:rsidR="00000000" w:rsidRPr="00000000">
        <w:rPr>
          <w:rFonts w:ascii="Times New Roman" w:cs="Times New Roman" w:eastAsia="Times New Roman" w:hAnsi="Times New Roman"/>
          <w:i w:val="1"/>
          <w:vertAlign w:val="baseline"/>
          <w:rtl w:val="0"/>
        </w:rPr>
        <w:t xml:space="preserve">Hội đồng tư vấn thẩm định</w:t>
      </w:r>
      <w:r w:rsidDel="00000000" w:rsidR="00000000" w:rsidRPr="00000000">
        <w:rPr>
          <w:rFonts w:ascii="Times New Roman" w:cs="Times New Roman" w:eastAsia="Times New Roman" w:hAnsi="Times New Roman"/>
          <w:vertAlign w:val="baseline"/>
          <w:rtl w:val="0"/>
        </w:rPr>
        <w:t xml:space="preserve"> và hoàn chỉnh dự thảo </w:t>
      </w:r>
      <w:r w:rsidDel="00000000" w:rsidR="00000000" w:rsidRPr="00000000">
        <w:rPr>
          <w:rFonts w:ascii="Times New Roman" w:cs="Times New Roman" w:eastAsia="Times New Roman" w:hAnsi="Times New Roman"/>
          <w:i w:val="1"/>
          <w:vertAlign w:val="baseline"/>
          <w:rtl w:val="0"/>
        </w:rPr>
        <w:t xml:space="preserve">Thông tư</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i w:val="1"/>
          <w:vertAlign w:val="baseline"/>
          <w:rtl w:val="0"/>
        </w:rPr>
        <w:t xml:space="preserve">tuy nhiên còn một vài ý kiến </w:t>
      </w:r>
      <w:r w:rsidDel="00000000" w:rsidR="00000000" w:rsidRPr="00000000">
        <w:rPr>
          <w:rFonts w:ascii="Times New Roman" w:cs="Times New Roman" w:eastAsia="Times New Roman" w:hAnsi="Times New Roman"/>
          <w:vertAlign w:val="baseline"/>
          <w:rtl w:val="0"/>
        </w:rPr>
        <w:t xml:space="preserve">Vụ Pháp chế </w:t>
      </w:r>
      <w:r w:rsidDel="00000000" w:rsidR="00000000" w:rsidRPr="00000000">
        <w:rPr>
          <w:rFonts w:ascii="Times New Roman" w:cs="Times New Roman" w:eastAsia="Times New Roman" w:hAnsi="Times New Roman"/>
          <w:i w:val="1"/>
          <w:vertAlign w:val="baseline"/>
          <w:rtl w:val="0"/>
        </w:rPr>
        <w:t xml:space="preserve">xin được giải trình như sau: </w:t>
      </w:r>
      <w:r w:rsidDel="00000000" w:rsidR="00000000" w:rsidRPr="00000000">
        <w:rPr>
          <w:rtl w:val="0"/>
        </w:rPr>
      </w:r>
    </w:p>
    <w:p w:rsidR="00000000" w:rsidDel="00000000" w:rsidP="00000000" w:rsidRDefault="00000000" w:rsidRPr="00000000" w14:paraId="0000003D">
      <w:pPr>
        <w:spacing w:before="120" w:lineRule="auto"/>
        <w:contextualSpacing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 xml:space="preserve">..............................................</w:t>
      </w:r>
    </w:p>
    <w:p w:rsidR="00000000" w:rsidDel="00000000" w:rsidP="00000000" w:rsidRDefault="00000000" w:rsidRPr="00000000" w14:paraId="0000003E">
      <w:pPr>
        <w:spacing w:before="120" w:lineRule="auto"/>
        <w:ind w:firstLine="700"/>
        <w:contextualSpacing w:val="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Trên đây là các nội dung cơ bản của dự thảo Thông tư sửa đổi, bổ sung một số điều của Thông tư số 04/2009/TT-BVHTTDL; Thông tư số 15/2012/TT-BVHTTDL; Thông tư số 11/2014/TT-BVHTTDL; Thông tư số 06/2015/TT-BVHTTDL kính trình Bộ trưởng xem xét, quyết định./.</w:t>
      </w:r>
    </w:p>
    <w:tbl>
      <w:tblPr>
        <w:tblStyle w:val="Table2"/>
        <w:tblW w:w="9068.0" w:type="dxa"/>
        <w:jc w:val="left"/>
        <w:tblInd w:w="0.0" w:type="dxa"/>
        <w:tblLayout w:type="fixed"/>
        <w:tblLook w:val="0000"/>
      </w:tblPr>
      <w:tblGrid>
        <w:gridCol w:w="5524"/>
        <w:gridCol w:w="3544"/>
        <w:tblGridChange w:id="0">
          <w:tblGrid>
            <w:gridCol w:w="5524"/>
            <w:gridCol w:w="3544"/>
          </w:tblGrid>
        </w:tblGridChange>
      </w:tblGrid>
      <w:tr>
        <w:tc>
          <w:tcPr>
            <w:vAlign w:val="top"/>
          </w:tcPr>
          <w:p w:rsidR="00000000" w:rsidDel="00000000" w:rsidP="00000000" w:rsidRDefault="00000000" w:rsidRPr="00000000" w14:paraId="0000003F">
            <w:pPr>
              <w:contextualSpacing w:val="0"/>
              <w:jc w:val="both"/>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sz w:val="24"/>
                <w:szCs w:val="24"/>
                <w:vertAlign w:val="baseline"/>
                <w:rtl w:val="0"/>
              </w:rPr>
              <w:t xml:space="preserve">Nơi nhận</w:t>
            </w:r>
            <w:r w:rsidDel="00000000" w:rsidR="00000000" w:rsidRPr="00000000">
              <w:rPr>
                <w:rFonts w:ascii="Times New Roman" w:cs="Times New Roman" w:eastAsia="Times New Roman" w:hAnsi="Times New Roman"/>
                <w:i w:val="1"/>
                <w:vertAlign w:val="baseline"/>
                <w:rtl w:val="0"/>
              </w:rPr>
              <w:t xml:space="preserve">:</w:t>
            </w:r>
            <w:r w:rsidDel="00000000" w:rsidR="00000000" w:rsidRPr="00000000">
              <w:rPr>
                <w:rFonts w:ascii="Times New Roman" w:cs="Times New Roman" w:eastAsia="Times New Roman" w:hAnsi="Times New Roman"/>
                <w:b w:val="1"/>
                <w:i w:val="1"/>
                <w:vertAlign w:val="baseline"/>
                <w:rtl w:val="0"/>
              </w:rPr>
              <w:t xml:space="preserve">  </w:t>
            </w:r>
            <w:r w:rsidDel="00000000" w:rsidR="00000000" w:rsidRPr="00000000">
              <w:rPr>
                <w:rtl w:val="0"/>
              </w:rPr>
            </w:r>
          </w:p>
          <w:p w:rsidR="00000000" w:rsidDel="00000000" w:rsidP="00000000" w:rsidRDefault="00000000" w:rsidRPr="00000000" w14:paraId="00000040">
            <w:pPr>
              <w:contextualSpacing w:val="0"/>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Như trên;</w:t>
            </w:r>
          </w:p>
          <w:p w:rsidR="00000000" w:rsidDel="00000000" w:rsidP="00000000" w:rsidRDefault="00000000" w:rsidRPr="00000000" w14:paraId="00000041">
            <w:pPr>
              <w:contextualSpacing w:val="0"/>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Các Thứ trưởng;</w:t>
            </w:r>
          </w:p>
          <w:p w:rsidR="00000000" w:rsidDel="00000000" w:rsidP="00000000" w:rsidRDefault="00000000" w:rsidRPr="00000000" w14:paraId="00000042">
            <w:pPr>
              <w:contextualSpacing w:val="0"/>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Lưu: PC, </w:t>
            </w:r>
            <w:r w:rsidDel="00000000" w:rsidR="00000000" w:rsidRPr="00000000">
              <w:rPr>
                <w:rFonts w:ascii="Times New Roman" w:cs="Times New Roman" w:eastAsia="Times New Roman" w:hAnsi="Times New Roman"/>
                <w:sz w:val="20"/>
                <w:szCs w:val="20"/>
                <w:vertAlign w:val="baseline"/>
                <w:rtl w:val="0"/>
              </w:rPr>
              <w:t xml:space="preserve">PN (10).</w:t>
            </w:r>
            <w:r w:rsidDel="00000000" w:rsidR="00000000" w:rsidRPr="00000000">
              <w:rPr>
                <w:rFonts w:ascii="Times New Roman" w:cs="Times New Roman" w:eastAsia="Times New Roman" w:hAnsi="Times New Roman"/>
                <w:sz w:val="22"/>
                <w:szCs w:val="22"/>
                <w:vertAlign w:val="baseline"/>
                <w:rtl w:val="0"/>
              </w:rPr>
              <w:t xml:space="preserve">       </w:t>
            </w:r>
          </w:p>
          <w:p w:rsidR="00000000" w:rsidDel="00000000" w:rsidP="00000000" w:rsidRDefault="00000000" w:rsidRPr="00000000" w14:paraId="00000043">
            <w:pPr>
              <w:spacing w:after="60" w:before="60" w:line="288" w:lineRule="auto"/>
              <w:contextualSpacing w:val="0"/>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044">
            <w:pPr>
              <w:contextualSpacing w:val="0"/>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VỤ TRƯỞNG</w:t>
            </w:r>
            <w:r w:rsidDel="00000000" w:rsidR="00000000" w:rsidRPr="00000000">
              <w:rPr>
                <w:rtl w:val="0"/>
              </w:rPr>
            </w:r>
          </w:p>
          <w:p w:rsidR="00000000" w:rsidDel="00000000" w:rsidP="00000000" w:rsidRDefault="00000000" w:rsidRPr="00000000" w14:paraId="00000045">
            <w:pPr>
              <w:contextualSpacing w:val="0"/>
              <w:jc w:val="center"/>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046">
            <w:pPr>
              <w:contextualSpacing w:val="0"/>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047">
            <w:pPr>
              <w:contextualSpacing w:val="0"/>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048">
            <w:pPr>
              <w:contextualSpacing w:val="0"/>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049">
            <w:pPr>
              <w:spacing w:after="60" w:before="60" w:line="288" w:lineRule="auto"/>
              <w:contextualSpacing w:val="0"/>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Hoàng Minh Thái</w:t>
            </w:r>
            <w:r w:rsidDel="00000000" w:rsidR="00000000" w:rsidRPr="00000000">
              <w:rPr>
                <w:rtl w:val="0"/>
              </w:rPr>
            </w:r>
          </w:p>
        </w:tc>
      </w:tr>
    </w:tbl>
    <w:p w:rsidR="00000000" w:rsidDel="00000000" w:rsidP="00000000" w:rsidRDefault="00000000" w:rsidRPr="00000000" w14:paraId="0000004A">
      <w:pPr>
        <w:contextualSpacing w:val="0"/>
        <w:rPr>
          <w:rFonts w:ascii="Times New Roman" w:cs="Times New Roman" w:eastAsia="Times New Roman" w:hAnsi="Times New Roman"/>
          <w:vertAlign w:val="baseline"/>
        </w:rPr>
      </w:pPr>
      <w:r w:rsidDel="00000000" w:rsidR="00000000" w:rsidRPr="00000000">
        <w:rPr>
          <w:rtl w:val="0"/>
        </w:rPr>
      </w:r>
    </w:p>
    <w:sectPr>
      <w:footerReference r:id="rId6" w:type="default"/>
      <w:footerReference r:id="rId7" w:type="even"/>
      <w:pgSz w:h="16840" w:w="11907"/>
      <w:pgMar w:bottom="1134" w:top="1134" w:left="1701" w:right="1134" w:header="567" w:footer="56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40" w:hanging="360"/>
      </w:pPr>
      <w:rPr>
        <w:vertAlign w:val="baseline"/>
      </w:rPr>
    </w:lvl>
    <w:lvl w:ilvl="1">
      <w:start w:val="1"/>
      <w:numFmt w:val="lowerLetter"/>
      <w:lvlText w:val="%2."/>
      <w:lvlJc w:val="left"/>
      <w:pPr>
        <w:ind w:left="1760" w:hanging="360"/>
      </w:pPr>
      <w:rPr>
        <w:vertAlign w:val="baseline"/>
      </w:rPr>
    </w:lvl>
    <w:lvl w:ilvl="2">
      <w:start w:val="1"/>
      <w:numFmt w:val="lowerRoman"/>
      <w:lvlText w:val="%3."/>
      <w:lvlJc w:val="right"/>
      <w:pPr>
        <w:ind w:left="2480" w:hanging="180"/>
      </w:pPr>
      <w:rPr>
        <w:vertAlign w:val="baseline"/>
      </w:rPr>
    </w:lvl>
    <w:lvl w:ilvl="3">
      <w:start w:val="1"/>
      <w:numFmt w:val="decimal"/>
      <w:lvlText w:val="%4."/>
      <w:lvlJc w:val="left"/>
      <w:pPr>
        <w:ind w:left="3200" w:hanging="360"/>
      </w:pPr>
      <w:rPr>
        <w:vertAlign w:val="baseline"/>
      </w:rPr>
    </w:lvl>
    <w:lvl w:ilvl="4">
      <w:start w:val="1"/>
      <w:numFmt w:val="lowerLetter"/>
      <w:lvlText w:val="%5."/>
      <w:lvlJc w:val="left"/>
      <w:pPr>
        <w:ind w:left="3920" w:hanging="360"/>
      </w:pPr>
      <w:rPr>
        <w:vertAlign w:val="baseline"/>
      </w:rPr>
    </w:lvl>
    <w:lvl w:ilvl="5">
      <w:start w:val="1"/>
      <w:numFmt w:val="lowerRoman"/>
      <w:lvlText w:val="%6."/>
      <w:lvlJc w:val="right"/>
      <w:pPr>
        <w:ind w:left="4640" w:hanging="180"/>
      </w:pPr>
      <w:rPr>
        <w:vertAlign w:val="baseline"/>
      </w:rPr>
    </w:lvl>
    <w:lvl w:ilvl="6">
      <w:start w:val="1"/>
      <w:numFmt w:val="decimal"/>
      <w:lvlText w:val="%7."/>
      <w:lvlJc w:val="left"/>
      <w:pPr>
        <w:ind w:left="5360" w:hanging="360"/>
      </w:pPr>
      <w:rPr>
        <w:vertAlign w:val="baseline"/>
      </w:rPr>
    </w:lvl>
    <w:lvl w:ilvl="7">
      <w:start w:val="1"/>
      <w:numFmt w:val="lowerLetter"/>
      <w:lvlText w:val="%8."/>
      <w:lvlJc w:val="left"/>
      <w:pPr>
        <w:ind w:left="6080" w:hanging="360"/>
      </w:pPr>
      <w:rPr>
        <w:vertAlign w:val="baseline"/>
      </w:rPr>
    </w:lvl>
    <w:lvl w:ilvl="8">
      <w:start w:val="1"/>
      <w:numFmt w:val="lowerRoman"/>
      <w:lvlText w:val="%9."/>
      <w:lvlJc w:val="right"/>
      <w:pPr>
        <w:ind w:left="680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jc w:val="center"/>
    </w:pPr>
    <w:rPr>
      <w:rFonts w:ascii="Times New Roman" w:cs="Times New Roman" w:eastAsia="Times New Roman" w:hAnsi="Times New Roman"/>
      <w:b w:val="1"/>
      <w:sz w:val="28"/>
      <w:szCs w:val="28"/>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