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20.0" w:type="dxa"/>
        <w:jc w:val="left"/>
        <w:tblInd w:w="-132.0" w:type="dxa"/>
        <w:tblLayout w:type="fixed"/>
        <w:tblLook w:val="0000"/>
      </w:tblPr>
      <w:tblGrid>
        <w:gridCol w:w="4440"/>
        <w:gridCol w:w="5280"/>
        <w:tblGridChange w:id="0">
          <w:tblGrid>
            <w:gridCol w:w="4440"/>
            <w:gridCol w:w="5280"/>
          </w:tblGrid>
        </w:tblGridChange>
      </w:tblGrid>
      <w:tr>
        <w:tc>
          <w:tcPr>
            <w:vAlign w:val="top"/>
          </w:tcPr>
          <w:p w:rsidR="00000000" w:rsidDel="00000000" w:rsidP="00000000" w:rsidRDefault="00000000" w:rsidRPr="00000000" w14:paraId="00000001">
            <w:pPr>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BỘ VĂN HÓA, THỂ THAO VÀ DU LỊCH</w:t>
            </w:r>
            <w:r w:rsidDel="00000000" w:rsidR="00000000" w:rsidRPr="00000000">
              <w:rPr>
                <w:rtl w:val="0"/>
              </w:rPr>
            </w:r>
          </w:p>
          <w:p w:rsidR="00000000" w:rsidDel="00000000" w:rsidP="00000000" w:rsidRDefault="00000000" w:rsidRPr="00000000" w14:paraId="00000002">
            <w:pPr>
              <w:contextualSpacing w:val="0"/>
              <w:jc w:val="center"/>
              <w:rPr>
                <w:rFonts w:ascii="Times" w:cs="Times" w:eastAsia="Times" w:hAnsi="Times"/>
                <w:b w:val="1"/>
                <w:sz w:val="10"/>
                <w:szCs w:val="10"/>
                <w:vertAlign w:val="baseline"/>
              </w:rPr>
            </w:pPr>
            <w:r w:rsidDel="00000000" w:rsidR="00000000" w:rsidRPr="00000000">
              <w:rPr>
                <w:rFonts w:ascii="Times New Roman" w:cs="Times New Roman" w:eastAsia="Times New Roman" w:hAnsi="Times New Roman"/>
                <w:b w:val="1"/>
                <w:sz w:val="10"/>
                <w:szCs w:val="10"/>
                <w:vertAlign w:val="baseline"/>
                <w:rtl w:val="0"/>
              </w:rPr>
              <w:t xml:space="preserve">____________________________</w:t>
            </w:r>
            <w:r w:rsidDel="00000000" w:rsidR="00000000" w:rsidRPr="00000000">
              <w:rPr>
                <w:rtl w:val="0"/>
              </w:rPr>
            </w:r>
          </w:p>
          <w:p w:rsidR="00000000" w:rsidDel="00000000" w:rsidP="00000000" w:rsidRDefault="00000000" w:rsidRPr="00000000" w14:paraId="00000003">
            <w:pPr>
              <w:contextualSpacing w:val="0"/>
              <w:jc w:val="both"/>
              <w:rPr>
                <w:sz w:val="18"/>
                <w:szCs w:val="18"/>
                <w:vertAlign w:val="baseline"/>
              </w:rPr>
            </w:pPr>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14:paraId="00000004">
            <w:pPr>
              <w:spacing w:before="120" w:lineRule="auto"/>
              <w:contextualSpacing w:val="0"/>
              <w:jc w:val="center"/>
              <w:rPr>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Số:       /2018/TT-BVHTTDL</w:t>
            </w:r>
            <w:r w:rsidDel="00000000" w:rsidR="00000000" w:rsidRPr="00000000">
              <w:rPr>
                <w:rtl w:val="0"/>
              </w:rPr>
            </w:r>
          </w:p>
          <w:p w:rsidR="00000000" w:rsidDel="00000000" w:rsidP="00000000" w:rsidRDefault="00000000" w:rsidRPr="00000000" w14:paraId="00000005">
            <w:pPr>
              <w:spacing w:after="160" w:lineRule="auto"/>
              <w:contextualSpacing w:val="0"/>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06">
            <w:pPr>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0"/>
                <w:sz w:val="12"/>
                <w:szCs w:val="12"/>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0"/>
                <w:sz w:val="10"/>
                <w:szCs w:val="10"/>
                <w:vertAlign w:val="baseline"/>
              </w:rPr>
            </w:pPr>
            <w:r w:rsidDel="00000000" w:rsidR="00000000" w:rsidRPr="00000000">
              <w:rPr>
                <w:rFonts w:ascii="Times New Roman" w:cs="Times New Roman" w:eastAsia="Times New Roman" w:hAnsi="Times New Roman"/>
                <w:b w:val="1"/>
                <w:sz w:val="10"/>
                <w:szCs w:val="10"/>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09">
            <w:pPr>
              <w:contextualSpacing w:val="0"/>
              <w:jc w:val="both"/>
              <w:rPr>
                <w:b w:val="0"/>
                <w:sz w:val="18"/>
                <w:szCs w:val="18"/>
                <w:vertAlign w:val="baseline"/>
              </w:rPr>
            </w:pPr>
            <w:r w:rsidDel="00000000" w:rsidR="00000000" w:rsidRPr="00000000">
              <w:rPr>
                <w:rtl w:val="0"/>
              </w:rPr>
            </w:r>
          </w:p>
          <w:p w:rsidR="00000000" w:rsidDel="00000000" w:rsidP="00000000" w:rsidRDefault="00000000" w:rsidRPr="00000000" w14:paraId="0000000A">
            <w:pPr>
              <w:spacing w:before="120" w:lineRule="auto"/>
              <w:contextualSpacing w:val="0"/>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Hà Nội, ngày       tháng    năm 2018</w:t>
            </w:r>
            <w:r w:rsidDel="00000000" w:rsidR="00000000" w:rsidRPr="00000000">
              <w:rPr>
                <w:rtl w:val="0"/>
              </w:rPr>
            </w:r>
          </w:p>
        </w:tc>
      </w:tr>
    </w:tbl>
    <w:p w:rsidR="00000000" w:rsidDel="00000000" w:rsidP="00000000" w:rsidRDefault="00000000" w:rsidRPr="00000000" w14:paraId="0000000B">
      <w:pPr>
        <w:ind w:left="1440" w:firstLine="720"/>
        <w:contextualSpacing w:val="0"/>
        <w:jc w:val="both"/>
        <w:rPr>
          <w:sz w:val="2"/>
          <w:szCs w:val="2"/>
          <w:vertAlign w:val="baseline"/>
        </w:rPr>
      </w:pPr>
      <w:r w:rsidDel="00000000" w:rsidR="00000000" w:rsidRPr="00000000">
        <w:rPr>
          <w:rtl w:val="0"/>
        </w:rPr>
      </w:r>
    </w:p>
    <w:p w:rsidR="00000000" w:rsidDel="00000000" w:rsidP="00000000" w:rsidRDefault="00000000" w:rsidRPr="00000000" w14:paraId="0000000C">
      <w:pPr>
        <w:ind w:left="1440" w:hanging="1440"/>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Dự thảo</w:t>
      </w:r>
      <w:r w:rsidDel="00000000" w:rsidR="00000000" w:rsidRPr="00000000">
        <w:rPr>
          <w:rtl w:val="0"/>
        </w:rPr>
      </w:r>
    </w:p>
    <w:p w:rsidR="00000000" w:rsidDel="00000000" w:rsidP="00000000" w:rsidRDefault="00000000" w:rsidRPr="00000000" w14:paraId="0000000D">
      <w:pPr>
        <w:spacing w:before="240" w:lineRule="auto"/>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THÔNG TƯ</w:t>
      </w:r>
      <w:r w:rsidDel="00000000" w:rsidR="00000000" w:rsidRPr="00000000">
        <w:rPr>
          <w:rtl w:val="0"/>
        </w:rPr>
      </w:r>
    </w:p>
    <w:p w:rsidR="00000000" w:rsidDel="00000000" w:rsidP="00000000" w:rsidRDefault="00000000" w:rsidRPr="00000000" w14:paraId="0000000E">
      <w:pPr>
        <w:contextualSpacing w:val="0"/>
        <w:jc w:val="center"/>
        <w:rPr>
          <w:rFonts w:ascii="Times" w:cs="Times" w:eastAsia="Times" w:hAnsi="Times"/>
          <w:b w:val="1"/>
          <w:strike w:val="0"/>
          <w:sz w:val="10"/>
          <w:szCs w:val="10"/>
          <w:vertAlign w:val="baseline"/>
        </w:rPr>
      </w:pPr>
      <w:r w:rsidDel="00000000" w:rsidR="00000000" w:rsidRPr="00000000">
        <w:rPr>
          <w:rFonts w:ascii="Times New Roman" w:cs="Times New Roman" w:eastAsia="Times New Roman" w:hAnsi="Times New Roman"/>
          <w:b w:val="1"/>
          <w:vertAlign w:val="baseline"/>
          <w:rtl w:val="0"/>
        </w:rPr>
        <w:t xml:space="preserve">Sửa đổi, bổ sung một số điều của Thông tư số 11/2014/TT-BVHTTDL, Thông tư số 15/2012/TT-BVHTTDL, Thông tư số 0</w:t>
      </w:r>
      <w:r w:rsidDel="00000000" w:rsidR="00000000" w:rsidRPr="00000000">
        <w:rPr>
          <w:b w:val="1"/>
          <w:vertAlign w:val="baseline"/>
          <w:rtl w:val="0"/>
        </w:rPr>
        <w:t xml:space="preserve">4</w:t>
      </w:r>
      <w:r w:rsidDel="00000000" w:rsidR="00000000" w:rsidRPr="00000000">
        <w:rPr>
          <w:rFonts w:ascii="Times New Roman" w:cs="Times New Roman" w:eastAsia="Times New Roman" w:hAnsi="Times New Roman"/>
          <w:b w:val="1"/>
          <w:vertAlign w:val="baseline"/>
          <w:rtl w:val="0"/>
        </w:rPr>
        <w:t xml:space="preserve">/201</w:t>
      </w:r>
      <w:r w:rsidDel="00000000" w:rsidR="00000000" w:rsidRPr="00000000">
        <w:rPr>
          <w:b w:val="1"/>
          <w:vertAlign w:val="baseline"/>
          <w:rtl w:val="0"/>
        </w:rPr>
        <w:t xml:space="preserve">6/TT-BVHTTDL, </w:t>
      </w:r>
      <w:r w:rsidDel="00000000" w:rsidR="00000000" w:rsidRPr="00000000">
        <w:rPr>
          <w:rFonts w:ascii="Times New Roman" w:cs="Times New Roman" w:eastAsia="Times New Roman" w:hAnsi="Times New Roman"/>
          <w:b w:val="1"/>
          <w:vertAlign w:val="baseline"/>
          <w:rtl w:val="0"/>
        </w:rPr>
        <w:t xml:space="preserve">Thông tư số 06/2015/TT-BVHTTDL</w:t>
      </w: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b w:val="0"/>
          <w:sz w:val="10"/>
          <w:szCs w:val="10"/>
          <w:vertAlign w:val="baseline"/>
        </w:rPr>
      </w:pPr>
      <w:r w:rsidDel="00000000" w:rsidR="00000000" w:rsidRPr="00000000">
        <w:rPr>
          <w:rFonts w:ascii="Times New Roman" w:cs="Times New Roman" w:eastAsia="Times New Roman" w:hAnsi="Times New Roman"/>
          <w:b w:val="1"/>
          <w:sz w:val="10"/>
          <w:szCs w:val="10"/>
          <w:vertAlign w:val="baseline"/>
          <w:rtl w:val="0"/>
        </w:rPr>
        <w:t xml:space="preserve">____________________</w:t>
      </w:r>
      <w:r w:rsidDel="00000000" w:rsidR="00000000" w:rsidRPr="00000000">
        <w:rPr>
          <w:rtl w:val="0"/>
        </w:rPr>
      </w:r>
    </w:p>
    <w:p w:rsidR="00000000" w:rsidDel="00000000" w:rsidP="00000000" w:rsidRDefault="00000000" w:rsidRPr="00000000" w14:paraId="00000010">
      <w:pPr>
        <w:spacing w:after="100" w:before="100" w:lineRule="auto"/>
        <w:contextualSpacing w:val="0"/>
        <w:jc w:val="both"/>
        <w:rPr>
          <w:sz w:val="4"/>
          <w:szCs w:val="4"/>
          <w:vertAlign w:val="baseline"/>
        </w:rPr>
      </w:pPr>
      <w:r w:rsidDel="00000000" w:rsidR="00000000" w:rsidRPr="00000000">
        <w:rPr>
          <w:rtl w:val="0"/>
        </w:rPr>
      </w:r>
    </w:p>
    <w:p w:rsidR="00000000" w:rsidDel="00000000" w:rsidP="00000000" w:rsidRDefault="00000000" w:rsidRPr="00000000" w14:paraId="00000011">
      <w:pPr>
        <w:spacing w:before="360" w:lineRule="auto"/>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ab/>
        <w:t xml:space="preserve">Căn cứ Luật Ban hành văn bản quy phạm pháp luật ngày 22 tháng 6 năm 2015;</w:t>
      </w:r>
      <w:r w:rsidDel="00000000" w:rsidR="00000000" w:rsidRPr="00000000">
        <w:rPr>
          <w:rtl w:val="0"/>
        </w:rPr>
      </w:r>
    </w:p>
    <w:p w:rsidR="00000000" w:rsidDel="00000000" w:rsidP="00000000" w:rsidRDefault="00000000" w:rsidRPr="00000000" w14:paraId="00000012">
      <w:pPr>
        <w:spacing w:before="120" w:lineRule="auto"/>
        <w:ind w:firstLine="4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ab/>
        <w:t xml:space="preserve">Căn cứ Nghị định số 79/2017/NĐ-CP ngày 17 tháng 7 năm 2017 của Chính phủ quy định chức năng, nhiệm vụ, quyền hạn và cơ cấu tổ chức của Bộ Văn hóa, Thể thao và Du lịch;</w:t>
      </w:r>
      <w:r w:rsidDel="00000000" w:rsidR="00000000" w:rsidRPr="00000000">
        <w:rPr>
          <w:rtl w:val="0"/>
        </w:rPr>
      </w:r>
    </w:p>
    <w:p w:rsidR="00000000" w:rsidDel="00000000" w:rsidP="00000000" w:rsidRDefault="00000000" w:rsidRPr="00000000" w14:paraId="00000013">
      <w:pPr>
        <w:spacing w:before="120" w:lineRule="auto"/>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ab/>
        <w:t xml:space="preserve">Theo đề nghị của Vụ trưởng Vụ Pháp chế,</w:t>
      </w:r>
      <w:r w:rsidDel="00000000" w:rsidR="00000000" w:rsidRPr="00000000">
        <w:rPr>
          <w:rtl w:val="0"/>
        </w:rPr>
      </w:r>
    </w:p>
    <w:p w:rsidR="00000000" w:rsidDel="00000000" w:rsidP="00000000" w:rsidRDefault="00000000" w:rsidRPr="00000000" w14:paraId="00000014">
      <w:pPr>
        <w:spacing w:before="120" w:lineRule="auto"/>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ab/>
        <w:t xml:space="preserve">Bộ trưởng Bộ Văn hóa, Thể thao và Du lịch ban hành Thông tư sửa đổi, bổ sung một số điều của Thông tư số 11/2014/TT-BVHTTDL, Thông tư số 15/2012/TT-BVHTTDL, Thông tư số 0</w:t>
      </w:r>
      <w:r w:rsidDel="00000000" w:rsidR="00000000" w:rsidRPr="00000000">
        <w:rPr>
          <w:i w:val="1"/>
          <w:vertAlign w:val="baseline"/>
          <w:rtl w:val="0"/>
        </w:rPr>
        <w:t xml:space="preserve">4</w:t>
      </w:r>
      <w:r w:rsidDel="00000000" w:rsidR="00000000" w:rsidRPr="00000000">
        <w:rPr>
          <w:rFonts w:ascii="Times New Roman" w:cs="Times New Roman" w:eastAsia="Times New Roman" w:hAnsi="Times New Roman"/>
          <w:i w:val="1"/>
          <w:vertAlign w:val="baseline"/>
          <w:rtl w:val="0"/>
        </w:rPr>
        <w:t xml:space="preserve">/201</w:t>
      </w:r>
      <w:r w:rsidDel="00000000" w:rsidR="00000000" w:rsidRPr="00000000">
        <w:rPr>
          <w:i w:val="1"/>
          <w:vertAlign w:val="baseline"/>
          <w:rtl w:val="0"/>
        </w:rPr>
        <w:t xml:space="preserve">6/TT-BVHTTDL</w:t>
      </w:r>
      <w:r w:rsidDel="00000000" w:rsidR="00000000" w:rsidRPr="00000000">
        <w:rPr>
          <w:rFonts w:ascii="Times New Roman" w:cs="Times New Roman" w:eastAsia="Times New Roman" w:hAnsi="Times New Roman"/>
          <w:i w:val="1"/>
          <w:vertAlign w:val="baseline"/>
          <w:rtl w:val="0"/>
        </w:rPr>
        <w:t xml:space="preserve">, Thông tư số 06/2015/TT-BVHTTDL.</w:t>
      </w:r>
      <w:r w:rsidDel="00000000" w:rsidR="00000000" w:rsidRPr="00000000">
        <w:rPr>
          <w:rtl w:val="0"/>
        </w:rPr>
      </w:r>
    </w:p>
    <w:p w:rsidR="00000000" w:rsidDel="00000000" w:rsidP="00000000" w:rsidRDefault="00000000" w:rsidRPr="00000000" w14:paraId="00000015">
      <w:pPr>
        <w:ind w:firstLine="420"/>
        <w:contextualSpacing w:val="0"/>
        <w:jc w:val="both"/>
        <w:rPr>
          <w:rFonts w:ascii="Times New Roman" w:cs="Times New Roman" w:eastAsia="Times New Roman" w:hAnsi="Times New Roman"/>
          <w:sz w:val="12"/>
          <w:szCs w:val="12"/>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57"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 Sửa đổi, bổ sung Thông tư số 11/2014/TT-BVHTTDL ngày 01/10/2014 của Bộ trưởng Bộ Văn hóa, Thể thao và Du lịch quy định về xét tặng Kỷ niệm chương “Vì sự nghiệp Văn hóa, Thể thao và Du lịch”</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55"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đ khoản 1 Điều 9 được sửa đổi, bổ sung như sau: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Các quyết định khen thưởng đối với cá nhân được xét tặng Kỷ niệm chương theo quy định tại Khoản 2 Điều 6 và Khoản 2 Điều 8 Thông tư này: 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19">
      <w:pPr>
        <w:spacing w:before="120" w:lineRule="auto"/>
        <w:ind w:firstLine="720"/>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 Sửa đổi, bổ sung Thông tư số 15/2012/TT-BVHTTDL ngày 13/12/2012 của Bộ trưởng Bộ Văn hóa, Thể thao và Du lịch hướng dẫn hoạt động giám định quyền tác giả, quyền liên quan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55"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c khoản 1 Điều 8 được sửa đổi, bổ sung như sau: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Bằng tốt nghiệp đại học hoặc sau đại học: 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1C">
      <w:pPr>
        <w:numPr>
          <w:ilvl w:val="0"/>
          <w:numId w:val="1"/>
        </w:numPr>
        <w:spacing w:before="120" w:lineRule="auto"/>
        <w:ind w:left="10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Điểm b khoản 1 Điều 11 được sửa đổi, bổ sung như sau: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Giấy đăng ký hoạt động hoặc quyết định thành lập do cơ quan nhà nước có thẩm quyền cấp: 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c khoản 1 Điều 11 được sửa đổi, bổ sung như sau: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Quyết định tuyển dụng hoặc hợp đồng lao động hoặc hợp đồng làm việc giữa tổ chức và giám định viên làm việc cho tổ chức: 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 Sửa đổi, bổ sung Thông tư số 04/2016/TT-BVHTTDL ngày 29/6/2016 của Bộ trưởng Bộ Văn hóa, Thể thao và Du lịch sửa đổi, bổ sung một số điều của Thông tư số 15/2012/TT-BVHTTDL; Thông tư số 07/2012/TT-BVHTTDL; Thông tư số 88/2008/TT-BVHTTDL và Thông tư số 05/2013/TT-BVHTTDL</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 1 Điều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được sửa đổi, bổ sung như sau:</w:t>
      </w:r>
    </w:p>
    <w:p w:rsidR="00000000" w:rsidDel="00000000" w:rsidP="00000000" w:rsidRDefault="00000000" w:rsidRPr="00000000" w14:paraId="00000022">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“Điểm b Khoản 4 Điều 11 được sửa đổi, bổ sung như sau:</w:t>
      </w:r>
    </w:p>
    <w:p w:rsidR="00000000" w:rsidDel="00000000" w:rsidP="00000000" w:rsidRDefault="00000000" w:rsidRPr="00000000" w14:paraId="00000023">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Tổ chức giám định có yêu cầu cấp lại Giấy chứng nhận tổ chức giám định nộp hồ sơ qua đường bưu điện hoặc tại trụ sở Cục Bản quyền tác giả Bộ Văn hóa, Thể thao và Du lịch. Hồ sơ gồm:</w:t>
      </w:r>
    </w:p>
    <w:p w:rsidR="00000000" w:rsidDel="00000000" w:rsidP="00000000" w:rsidRDefault="00000000" w:rsidRPr="00000000" w14:paraId="00000024">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Tờ khai yêu cầu cấp lại giấy chứng nhận tổ chức giám định (theo mẫu tại Phụ lục I ban hành kèm theo Thông tư này);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 tuyển dụng hoặc hợp đồng lao động hoặc hợp đồng làm việc giữa tổ chức và giám định viên làm việc cho tổ chức (trong trường hợp có sự thay đổi so với nội dung ghi trong Giấy chứng nhận tổ chức giám định đã được cấp):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26">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bị hư hỏng phải nộp lại Giấy chứng nhận tổ chức giám định bị hư hỏng. Trường hợp có sự thay đổi về thông tin phải có giấy tờ hợp pháp chứng minh sự thay đổi đó và nộp lại Giấy chứng nhận tổ chức giám định.”.”</w:t>
      </w:r>
    </w:p>
    <w:p w:rsidR="00000000" w:rsidDel="00000000" w:rsidP="00000000" w:rsidRDefault="00000000" w:rsidRPr="00000000" w14:paraId="00000027">
      <w:pPr>
        <w:spacing w:before="120" w:lineRule="auto"/>
        <w:ind w:firstLine="720"/>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4. Sửa đổi, bổ sung Thông tư số 06/2015/TT-BVHTTDL ngày 8/7/2015 của Bộ trưởng Bộ Văn hóa, Thể thao và Du lịch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55"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Điểm b khoản 1 Điều 5 được sửa đổi, bổ sung như sau: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Quyết định thành lập hoặc giấy chứng nhận đăng ký kinh doanh của cơ quan, tổ chức hoạt động văn hóa, nghệ thuật: 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2A">
      <w:pPr>
        <w:spacing w:before="120" w:lineRule="auto"/>
        <w:ind w:firstLine="720"/>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5. Hiệu lực thi hành</w:t>
      </w:r>
      <w:r w:rsidDel="00000000" w:rsidR="00000000" w:rsidRPr="00000000">
        <w:rPr>
          <w:rtl w:val="0"/>
        </w:rPr>
      </w:r>
    </w:p>
    <w:p w:rsidR="00000000" w:rsidDel="00000000" w:rsidP="00000000" w:rsidRDefault="00000000" w:rsidRPr="00000000" w14:paraId="0000002B">
      <w:pPr>
        <w:spacing w:before="120" w:lineRule="auto"/>
        <w:ind w:right="-55"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Thông tư này có hiệu lực thi hành từ ngày       tháng      năm 2018.</w:t>
      </w:r>
    </w:p>
    <w:p w:rsidR="00000000" w:rsidDel="00000000" w:rsidP="00000000" w:rsidRDefault="00000000" w:rsidRPr="00000000" w14:paraId="0000002C">
      <w:pPr>
        <w:spacing w:before="120" w:lineRule="auto"/>
        <w:ind w:right="-55"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Trong quá trình thực hiện, nếu có khó khăn, vướng mắc, các cơ quan, tổ chức, cá nhân phản ánh kịp thời về Bộ Văn hóa, Thể thao và Du lịch để nghiên cứu, sửa đổi, bổ sung./.</w:t>
      </w:r>
    </w:p>
    <w:p w:rsidR="00000000" w:rsidDel="00000000" w:rsidP="00000000" w:rsidRDefault="00000000" w:rsidRPr="00000000" w14:paraId="0000002D">
      <w:pPr>
        <w:ind w:firstLine="720"/>
        <w:contextualSpacing w:val="0"/>
        <w:jc w:val="both"/>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2E">
      <w:pPr>
        <w:ind w:firstLine="720"/>
        <w:contextualSpacing w:val="0"/>
        <w:jc w:val="both"/>
        <w:rPr>
          <w:rFonts w:ascii="Times New Roman" w:cs="Times New Roman" w:eastAsia="Times New Roman" w:hAnsi="Times New Roman"/>
          <w:sz w:val="26"/>
          <w:szCs w:val="26"/>
          <w:vertAlign w:val="baseline"/>
        </w:rPr>
      </w:pPr>
      <w:r w:rsidDel="00000000" w:rsidR="00000000" w:rsidRPr="00000000">
        <w:rPr>
          <w:rtl w:val="0"/>
        </w:rPr>
      </w:r>
    </w:p>
    <w:tbl>
      <w:tblPr>
        <w:tblStyle w:val="Table2"/>
        <w:tblW w:w="9000.0" w:type="dxa"/>
        <w:jc w:val="left"/>
        <w:tblInd w:w="108.0" w:type="pct"/>
        <w:tblLayout w:type="fixed"/>
        <w:tblLook w:val="0000"/>
      </w:tblPr>
      <w:tblGrid>
        <w:gridCol w:w="5040"/>
        <w:gridCol w:w="3960"/>
        <w:tblGridChange w:id="0">
          <w:tblGrid>
            <w:gridCol w:w="5040"/>
            <w:gridCol w:w="3960"/>
          </w:tblGrid>
        </w:tblGridChange>
      </w:tblGrid>
      <w:tr>
        <w:trPr>
          <w:trHeight w:val="2000" w:hRule="atLeast"/>
        </w:trPr>
        <w:tc>
          <w:tcPr>
            <w:vAlign w:val="top"/>
          </w:tcPr>
          <w:p w:rsidR="00000000" w:rsidDel="00000000" w:rsidP="00000000" w:rsidRDefault="00000000" w:rsidRPr="00000000" w14:paraId="0000002F">
            <w:pPr>
              <w:contextualSpacing w:val="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0030">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Ban Bí thư Trung ương Đảng;</w:t>
            </w:r>
          </w:p>
          <w:p w:rsidR="00000000" w:rsidDel="00000000" w:rsidP="00000000" w:rsidRDefault="00000000" w:rsidRPr="00000000" w14:paraId="00000031">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Thủ tướng, các Phó Thủ tướng CP;</w:t>
            </w:r>
          </w:p>
          <w:p w:rsidR="00000000" w:rsidDel="00000000" w:rsidP="00000000" w:rsidRDefault="00000000" w:rsidRPr="00000000" w14:paraId="00000032">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Văn phòng TƯ và các Ban của Đảng;</w:t>
            </w:r>
          </w:p>
          <w:p w:rsidR="00000000" w:rsidDel="00000000" w:rsidP="00000000" w:rsidRDefault="00000000" w:rsidRPr="00000000" w14:paraId="00000033">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Văn phòng Chủ tịch nước;</w:t>
            </w:r>
          </w:p>
          <w:p w:rsidR="00000000" w:rsidDel="00000000" w:rsidP="00000000" w:rsidRDefault="00000000" w:rsidRPr="00000000" w14:paraId="00000034">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Văn phòng Quốc hội;</w:t>
            </w:r>
          </w:p>
          <w:p w:rsidR="00000000" w:rsidDel="00000000" w:rsidP="00000000" w:rsidRDefault="00000000" w:rsidRPr="00000000" w14:paraId="00000035">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Hội đồng Dân tộc, các UB của Quốc hội;</w:t>
            </w:r>
          </w:p>
          <w:p w:rsidR="00000000" w:rsidDel="00000000" w:rsidP="00000000" w:rsidRDefault="00000000" w:rsidRPr="00000000" w14:paraId="00000036">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UBTƯMTTQVN, Cơ quan TƯ các đoàn thể;</w:t>
            </w:r>
          </w:p>
          <w:p w:rsidR="00000000" w:rsidDel="00000000" w:rsidP="00000000" w:rsidRDefault="00000000" w:rsidRPr="00000000" w14:paraId="00000037">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Các Bộ, CQ ngang Bộ, CQ thuộc CP;</w:t>
            </w:r>
          </w:p>
          <w:p w:rsidR="00000000" w:rsidDel="00000000" w:rsidP="00000000" w:rsidRDefault="00000000" w:rsidRPr="00000000" w14:paraId="00000038">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Toà án Nhân dân tối cao;</w:t>
            </w:r>
          </w:p>
          <w:p w:rsidR="00000000" w:rsidDel="00000000" w:rsidP="00000000" w:rsidRDefault="00000000" w:rsidRPr="00000000" w14:paraId="00000039">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Viện Kiểm sát Nhân dân tối cao;</w:t>
            </w:r>
          </w:p>
          <w:p w:rsidR="00000000" w:rsidDel="00000000" w:rsidP="00000000" w:rsidRDefault="00000000" w:rsidRPr="00000000" w14:paraId="0000003A">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HĐND, UBND tỉnh, TP trực thuộc TƯ;</w:t>
            </w:r>
          </w:p>
          <w:p w:rsidR="00000000" w:rsidDel="00000000" w:rsidP="00000000" w:rsidRDefault="00000000" w:rsidRPr="00000000" w14:paraId="0000003B">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VPCP: BTCN, các PCN, Cổng TTĐT CP;</w:t>
            </w:r>
          </w:p>
          <w:p w:rsidR="00000000" w:rsidDel="00000000" w:rsidP="00000000" w:rsidRDefault="00000000" w:rsidRPr="00000000" w14:paraId="0000003C">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Cục Kiểm tra VBQPPL (Bộ Tư pháp);</w:t>
            </w:r>
          </w:p>
          <w:p w:rsidR="00000000" w:rsidDel="00000000" w:rsidP="00000000" w:rsidRDefault="00000000" w:rsidRPr="00000000" w14:paraId="0000003D">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Cục Kiểm soát TTHC (Bộ Tư pháp);</w:t>
            </w:r>
          </w:p>
          <w:p w:rsidR="00000000" w:rsidDel="00000000" w:rsidP="00000000" w:rsidRDefault="00000000" w:rsidRPr="00000000" w14:paraId="0000003E">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Bộ trưởng, các Thứ trưởng Bộ VHTTDL;</w:t>
            </w:r>
          </w:p>
          <w:p w:rsidR="00000000" w:rsidDel="00000000" w:rsidP="00000000" w:rsidRDefault="00000000" w:rsidRPr="00000000" w14:paraId="0000003F">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Các đơn vị thuộc Bộ;</w:t>
            </w:r>
          </w:p>
          <w:p w:rsidR="00000000" w:rsidDel="00000000" w:rsidP="00000000" w:rsidRDefault="00000000" w:rsidRPr="00000000" w14:paraId="00000040">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SVHTT&amp;DL/SVH&amp;TT/SDL;</w:t>
            </w:r>
          </w:p>
          <w:p w:rsidR="00000000" w:rsidDel="00000000" w:rsidP="00000000" w:rsidRDefault="00000000" w:rsidRPr="00000000" w14:paraId="00000041">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Công báo; Cổng TTĐT Bộ VHTTDL;</w:t>
            </w:r>
          </w:p>
          <w:p w:rsidR="00000000" w:rsidDel="00000000" w:rsidP="00000000" w:rsidRDefault="00000000" w:rsidRPr="00000000" w14:paraId="00000042">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2"/>
                <w:szCs w:val="22"/>
                <w:vertAlign w:val="baseline"/>
                <w:rtl w:val="0"/>
              </w:rPr>
              <w:t xml:space="preserve">- Lưu: VT, PC, PN.350.</w:t>
            </w:r>
            <w:r w:rsidDel="00000000" w:rsidR="00000000" w:rsidRPr="00000000">
              <w:rPr>
                <w:rFonts w:ascii="Times New Roman" w:cs="Times New Roman" w:eastAsia="Times New Roman" w:hAnsi="Times New Roman"/>
                <w:vertAlign w:val="baseline"/>
                <w:rtl w:val="0"/>
              </w:rPr>
              <w:t xml:space="preserve"> </w:t>
            </w:r>
          </w:p>
        </w:tc>
        <w:tc>
          <w:tcPr>
            <w:vAlign w:val="top"/>
          </w:tcPr>
          <w:p w:rsidR="00000000" w:rsidDel="00000000" w:rsidP="00000000" w:rsidRDefault="00000000" w:rsidRPr="00000000" w14:paraId="00000043">
            <w:pPr>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BỘ TRƯỞNG</w:t>
            </w:r>
            <w:r w:rsidDel="00000000" w:rsidR="00000000" w:rsidRPr="00000000">
              <w:rPr>
                <w:rtl w:val="0"/>
              </w:rPr>
            </w:r>
          </w:p>
          <w:p w:rsidR="00000000" w:rsidDel="00000000" w:rsidP="00000000" w:rsidRDefault="00000000" w:rsidRPr="00000000" w14:paraId="00000044">
            <w:pPr>
              <w:tabs>
                <w:tab w:val="left" w:pos="900"/>
              </w:tabs>
              <w:contextualSpacing w:val="0"/>
              <w:jc w:val="center"/>
              <w:rPr>
                <w:b w:val="0"/>
                <w:vertAlign w:val="baseline"/>
              </w:rPr>
            </w:pPr>
            <w:r w:rsidDel="00000000" w:rsidR="00000000" w:rsidRPr="00000000">
              <w:rPr>
                <w:rtl w:val="0"/>
              </w:rPr>
            </w:r>
          </w:p>
          <w:p w:rsidR="00000000" w:rsidDel="00000000" w:rsidP="00000000" w:rsidRDefault="00000000" w:rsidRPr="00000000" w14:paraId="00000045">
            <w:pPr>
              <w:tabs>
                <w:tab w:val="left" w:pos="900"/>
              </w:tabs>
              <w:contextualSpacing w:val="0"/>
              <w:jc w:val="center"/>
              <w:rPr>
                <w:b w:val="0"/>
                <w:vertAlign w:val="baseline"/>
              </w:rPr>
            </w:pPr>
            <w:r w:rsidDel="00000000" w:rsidR="00000000" w:rsidRPr="00000000">
              <w:rPr>
                <w:rtl w:val="0"/>
              </w:rPr>
            </w:r>
          </w:p>
          <w:p w:rsidR="00000000" w:rsidDel="00000000" w:rsidP="00000000" w:rsidRDefault="00000000" w:rsidRPr="00000000" w14:paraId="00000046">
            <w:pPr>
              <w:tabs>
                <w:tab w:val="left" w:pos="900"/>
              </w:tabs>
              <w:contextualSpacing w:val="0"/>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47">
            <w:pPr>
              <w:tabs>
                <w:tab w:val="left" w:pos="900"/>
              </w:tabs>
              <w:contextualSpacing w:val="0"/>
              <w:jc w:val="center"/>
              <w:rPr>
                <w:b w:val="0"/>
                <w:vertAlign w:val="baseline"/>
              </w:rPr>
            </w:pPr>
            <w:r w:rsidDel="00000000" w:rsidR="00000000" w:rsidRPr="00000000">
              <w:rPr>
                <w:rtl w:val="0"/>
              </w:rPr>
            </w:r>
          </w:p>
          <w:p w:rsidR="00000000" w:rsidDel="00000000" w:rsidP="00000000" w:rsidRDefault="00000000" w:rsidRPr="00000000" w14:paraId="00000048">
            <w:pPr>
              <w:tabs>
                <w:tab w:val="left" w:pos="900"/>
              </w:tabs>
              <w:contextualSpacing w:val="0"/>
              <w:jc w:val="center"/>
              <w:rPr>
                <w:b w:val="0"/>
                <w:vertAlign w:val="baseline"/>
              </w:rPr>
            </w:pPr>
            <w:r w:rsidDel="00000000" w:rsidR="00000000" w:rsidRPr="00000000">
              <w:rPr>
                <w:rtl w:val="0"/>
              </w:rPr>
            </w:r>
          </w:p>
          <w:p w:rsidR="00000000" w:rsidDel="00000000" w:rsidP="00000000" w:rsidRDefault="00000000" w:rsidRPr="00000000" w14:paraId="00000049">
            <w:pPr>
              <w:tabs>
                <w:tab w:val="left" w:pos="900"/>
              </w:tabs>
              <w:contextualSpacing w:val="0"/>
              <w:jc w:val="center"/>
              <w:rPr>
                <w:b w:val="0"/>
                <w:vertAlign w:val="baseline"/>
              </w:rPr>
            </w:pPr>
            <w:r w:rsidDel="00000000" w:rsidR="00000000" w:rsidRPr="00000000">
              <w:rPr>
                <w:rtl w:val="0"/>
              </w:rPr>
            </w:r>
          </w:p>
          <w:p w:rsidR="00000000" w:rsidDel="00000000" w:rsidP="00000000" w:rsidRDefault="00000000" w:rsidRPr="00000000" w14:paraId="0000004A">
            <w:pPr>
              <w:tabs>
                <w:tab w:val="left" w:pos="900"/>
              </w:tabs>
              <w:contextualSpacing w:val="0"/>
              <w:jc w:val="center"/>
              <w:rPr>
                <w:b w:val="0"/>
                <w:vertAlign w:val="baseline"/>
              </w:rPr>
            </w:pPr>
            <w:r w:rsidDel="00000000" w:rsidR="00000000" w:rsidRPr="00000000">
              <w:rPr>
                <w:rtl w:val="0"/>
              </w:rPr>
            </w:r>
          </w:p>
          <w:p w:rsidR="00000000" w:rsidDel="00000000" w:rsidP="00000000" w:rsidRDefault="00000000" w:rsidRPr="00000000" w14:paraId="0000004B">
            <w:pPr>
              <w:tabs>
                <w:tab w:val="left" w:pos="900"/>
              </w:tabs>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Nguyễn Ngọc Thiện</w:t>
            </w:r>
            <w:r w:rsidDel="00000000" w:rsidR="00000000" w:rsidRPr="00000000">
              <w:rPr>
                <w:rtl w:val="0"/>
              </w:rPr>
            </w:r>
          </w:p>
        </w:tc>
      </w:tr>
    </w:tbl>
    <w:p w:rsidR="00000000" w:rsidDel="00000000" w:rsidP="00000000" w:rsidRDefault="00000000" w:rsidRPr="00000000" w14:paraId="0000004C">
      <w:pPr>
        <w:contextualSpacing w:val="0"/>
        <w:jc w:val="both"/>
        <w:rPr>
          <w:rFonts w:ascii="Times New Roman" w:cs="Times New Roman" w:eastAsia="Times New Roman" w:hAnsi="Times New Roman"/>
          <w:sz w:val="2"/>
          <w:szCs w:val="2"/>
          <w:vertAlign w:val="baseline"/>
        </w:rPr>
      </w:pPr>
      <w:r w:rsidDel="00000000" w:rsidR="00000000" w:rsidRPr="00000000">
        <w:rPr>
          <w:rtl w:val="0"/>
        </w:rPr>
      </w:r>
    </w:p>
    <w:sectPr>
      <w:headerReference r:id="rId6" w:type="default"/>
      <w:footerReference r:id="rId7" w:type="default"/>
      <w:footerReference r:id="rId8" w:type="even"/>
      <w:pgSz w:h="16834" w:w="11909"/>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rFonts w:ascii="Times New Roman" w:cs="Times New Roman" w:eastAsia="Times New Roman" w:hAnsi="Times New Roman"/>
      <w:b w:val="1"/>
      <w:sz w:val="26"/>
      <w:szCs w:val="2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