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28"/>
        <w:gridCol w:w="289"/>
        <w:gridCol w:w="5501"/>
      </w:tblGrid>
      <w:tr w:rsidR="00374AD5" w:rsidRPr="00C86688" w:rsidTr="003E0856">
        <w:trPr>
          <w:jc w:val="center"/>
        </w:trPr>
        <w:tc>
          <w:tcPr>
            <w:tcW w:w="4128" w:type="dxa"/>
            <w:tcBorders>
              <w:top w:val="nil"/>
              <w:left w:val="nil"/>
              <w:bottom w:val="nil"/>
              <w:right w:val="nil"/>
            </w:tcBorders>
          </w:tcPr>
          <w:p w:rsidR="00374AD5" w:rsidRPr="00C86688" w:rsidRDefault="00374AD5" w:rsidP="00C434E6">
            <w:pPr>
              <w:pStyle w:val="Heading4"/>
              <w:tabs>
                <w:tab w:val="left" w:pos="567"/>
              </w:tabs>
              <w:rPr>
                <w:b w:val="0"/>
                <w:color w:val="000000" w:themeColor="text1"/>
              </w:rPr>
            </w:pPr>
            <w:r w:rsidRPr="00C86688">
              <w:rPr>
                <w:b w:val="0"/>
                <w:color w:val="000000" w:themeColor="text1"/>
              </w:rPr>
              <w:t xml:space="preserve">NGÂN HÀNG NHÀ NƯỚC </w:t>
            </w:r>
          </w:p>
          <w:p w:rsidR="00374AD5" w:rsidRPr="00C86688" w:rsidRDefault="00374AD5" w:rsidP="003E0856">
            <w:pPr>
              <w:pStyle w:val="Heading4"/>
              <w:tabs>
                <w:tab w:val="left" w:pos="567"/>
              </w:tabs>
              <w:rPr>
                <w:b w:val="0"/>
                <w:color w:val="000000" w:themeColor="text1"/>
              </w:rPr>
            </w:pPr>
            <w:r w:rsidRPr="00C86688">
              <w:rPr>
                <w:b w:val="0"/>
                <w:color w:val="000000" w:themeColor="text1"/>
              </w:rPr>
              <w:t>VIỆT NAM</w:t>
            </w:r>
          </w:p>
          <w:p w:rsidR="00374AD5" w:rsidRPr="00C86688" w:rsidRDefault="00374AD5" w:rsidP="003E0856">
            <w:pPr>
              <w:pStyle w:val="Heading4"/>
              <w:tabs>
                <w:tab w:val="left" w:pos="567"/>
              </w:tabs>
              <w:rPr>
                <w:color w:val="000000" w:themeColor="text1"/>
              </w:rPr>
            </w:pPr>
            <w:r w:rsidRPr="00C86688">
              <w:rPr>
                <w:color w:val="000000" w:themeColor="text1"/>
              </w:rPr>
              <w:t>VỤ QUẢN LÝ NGOẠI HỐI</w:t>
            </w:r>
          </w:p>
          <w:p w:rsidR="00374AD5" w:rsidRPr="00C86688" w:rsidRDefault="00374AD5" w:rsidP="003E0856">
            <w:pPr>
              <w:tabs>
                <w:tab w:val="left" w:pos="567"/>
              </w:tabs>
              <w:jc w:val="center"/>
              <w:rPr>
                <w:color w:val="000000" w:themeColor="text1"/>
              </w:rPr>
            </w:pPr>
            <w:r w:rsidRPr="00C86688">
              <w:rPr>
                <w:color w:val="000000" w:themeColor="text1"/>
              </w:rPr>
              <w:t>¯¯¯¯¯¯¯¯¯¯¯¯¯¯¯¯¯¯</w:t>
            </w:r>
          </w:p>
          <w:p w:rsidR="00374AD5" w:rsidRPr="00C86688" w:rsidRDefault="00374AD5" w:rsidP="003E0856">
            <w:pPr>
              <w:tabs>
                <w:tab w:val="left" w:pos="567"/>
              </w:tabs>
              <w:jc w:val="center"/>
              <w:rPr>
                <w:color w:val="000000" w:themeColor="text1"/>
              </w:rPr>
            </w:pPr>
          </w:p>
        </w:tc>
        <w:tc>
          <w:tcPr>
            <w:tcW w:w="289" w:type="dxa"/>
            <w:tcBorders>
              <w:top w:val="nil"/>
              <w:left w:val="nil"/>
              <w:bottom w:val="nil"/>
              <w:right w:val="nil"/>
            </w:tcBorders>
          </w:tcPr>
          <w:p w:rsidR="00374AD5" w:rsidRPr="00C86688" w:rsidRDefault="00374AD5" w:rsidP="003E0856">
            <w:pPr>
              <w:tabs>
                <w:tab w:val="left" w:pos="567"/>
              </w:tabs>
              <w:jc w:val="center"/>
              <w:rPr>
                <w:b/>
                <w:bCs/>
                <w:color w:val="000000" w:themeColor="text1"/>
              </w:rPr>
            </w:pPr>
          </w:p>
        </w:tc>
        <w:tc>
          <w:tcPr>
            <w:tcW w:w="5501" w:type="dxa"/>
            <w:tcBorders>
              <w:top w:val="nil"/>
              <w:left w:val="nil"/>
              <w:bottom w:val="nil"/>
              <w:right w:val="nil"/>
            </w:tcBorders>
          </w:tcPr>
          <w:p w:rsidR="00374AD5" w:rsidRPr="00C86688" w:rsidRDefault="00374AD5" w:rsidP="003E0856">
            <w:pPr>
              <w:tabs>
                <w:tab w:val="left" w:pos="567"/>
              </w:tabs>
              <w:jc w:val="center"/>
              <w:rPr>
                <w:b/>
                <w:color w:val="000000" w:themeColor="text1"/>
                <w:sz w:val="24"/>
                <w:szCs w:val="22"/>
              </w:rPr>
            </w:pPr>
            <w:r w:rsidRPr="00C86688">
              <w:rPr>
                <w:b/>
                <w:color w:val="000000" w:themeColor="text1"/>
                <w:sz w:val="24"/>
                <w:szCs w:val="22"/>
              </w:rPr>
              <w:t>CỘNG HOÀ XÃ HỘI CHỦ NGHĨA VIỆT NAM</w:t>
            </w:r>
          </w:p>
          <w:p w:rsidR="00374AD5" w:rsidRPr="00C86688" w:rsidRDefault="00374AD5" w:rsidP="003E0856">
            <w:pPr>
              <w:tabs>
                <w:tab w:val="left" w:pos="567"/>
              </w:tabs>
              <w:jc w:val="center"/>
              <w:rPr>
                <w:b/>
                <w:bCs/>
                <w:color w:val="000000" w:themeColor="text1"/>
                <w:sz w:val="22"/>
                <w:szCs w:val="22"/>
              </w:rPr>
            </w:pPr>
            <w:r w:rsidRPr="00C86688">
              <w:rPr>
                <w:b/>
                <w:color w:val="000000" w:themeColor="text1"/>
              </w:rPr>
              <w:t>Độc lập - Tự do - Hạnh phúc</w:t>
            </w:r>
          </w:p>
          <w:p w:rsidR="00374AD5" w:rsidRPr="00C86688" w:rsidRDefault="00374AD5" w:rsidP="003E0856">
            <w:pPr>
              <w:tabs>
                <w:tab w:val="left" w:pos="567"/>
              </w:tabs>
              <w:jc w:val="center"/>
              <w:rPr>
                <w:color w:val="000000" w:themeColor="text1"/>
              </w:rPr>
            </w:pPr>
            <w:r w:rsidRPr="00C86688">
              <w:rPr>
                <w:color w:val="000000" w:themeColor="text1"/>
              </w:rPr>
              <w:t>¯¯¯</w:t>
            </w:r>
            <w:r w:rsidRPr="00C86688">
              <w:rPr>
                <w:color w:val="000000" w:themeColor="text1"/>
                <w:lang w:val="vi-VN"/>
              </w:rPr>
              <w:t>¯¯¯¯¯¯¯¯¯¯¯¯¯¯¯¯¯¯¯¯</w:t>
            </w:r>
          </w:p>
          <w:p w:rsidR="00374AD5" w:rsidRPr="00C86688" w:rsidRDefault="00374AD5" w:rsidP="003E0856">
            <w:pPr>
              <w:tabs>
                <w:tab w:val="left" w:pos="567"/>
              </w:tabs>
              <w:jc w:val="center"/>
              <w:rPr>
                <w:color w:val="000000" w:themeColor="text1"/>
              </w:rPr>
            </w:pPr>
            <w:r w:rsidRPr="00C86688">
              <w:rPr>
                <w:i/>
                <w:iCs/>
                <w:color w:val="000000" w:themeColor="text1"/>
                <w:lang w:val="vi-VN"/>
              </w:rPr>
              <w:t xml:space="preserve">Hà Nội, ngày  tháng </w:t>
            </w:r>
            <w:r w:rsidR="000D7084">
              <w:rPr>
                <w:i/>
                <w:iCs/>
                <w:color w:val="000000" w:themeColor="text1"/>
              </w:rPr>
              <w:t xml:space="preserve">6 </w:t>
            </w:r>
            <w:r w:rsidRPr="00C86688">
              <w:rPr>
                <w:i/>
                <w:iCs/>
                <w:color w:val="000000" w:themeColor="text1"/>
                <w:lang w:val="vi-VN"/>
              </w:rPr>
              <w:t xml:space="preserve"> năm 20</w:t>
            </w:r>
            <w:r w:rsidRPr="00C86688">
              <w:rPr>
                <w:i/>
                <w:iCs/>
                <w:color w:val="000000" w:themeColor="text1"/>
              </w:rPr>
              <w:t>18</w:t>
            </w:r>
          </w:p>
        </w:tc>
      </w:tr>
    </w:tbl>
    <w:p w:rsidR="00374AD5" w:rsidRPr="00C86688" w:rsidRDefault="00374AD5" w:rsidP="00374AD5">
      <w:pPr>
        <w:spacing w:before="120"/>
        <w:jc w:val="center"/>
        <w:rPr>
          <w:b/>
          <w:color w:val="000000" w:themeColor="text1"/>
        </w:rPr>
      </w:pPr>
    </w:p>
    <w:p w:rsidR="00374AD5" w:rsidRPr="00C86688" w:rsidRDefault="00374AD5" w:rsidP="00374AD5">
      <w:pPr>
        <w:spacing w:before="120"/>
        <w:jc w:val="center"/>
        <w:rPr>
          <w:b/>
          <w:color w:val="000000" w:themeColor="text1"/>
        </w:rPr>
      </w:pPr>
      <w:r w:rsidRPr="00C86688">
        <w:rPr>
          <w:b/>
          <w:color w:val="000000" w:themeColor="text1"/>
        </w:rPr>
        <w:t>BẢN THUYẾT MINH</w:t>
      </w:r>
    </w:p>
    <w:p w:rsidR="004F3966" w:rsidRDefault="004F3966" w:rsidP="004F3966">
      <w:pPr>
        <w:jc w:val="center"/>
        <w:rPr>
          <w:b/>
          <w:sz w:val="24"/>
          <w:szCs w:val="24"/>
        </w:rPr>
      </w:pPr>
      <w:r w:rsidRPr="004F3966">
        <w:rPr>
          <w:b/>
          <w:sz w:val="24"/>
          <w:szCs w:val="24"/>
        </w:rPr>
        <w:t xml:space="preserve">Hướng dẫn </w:t>
      </w:r>
      <w:r w:rsidRPr="004F3966">
        <w:rPr>
          <w:b/>
          <w:sz w:val="24"/>
          <w:szCs w:val="24"/>
          <w:lang w:val="vi-VN"/>
        </w:rPr>
        <w:t xml:space="preserve">quy trình </w:t>
      </w:r>
      <w:r w:rsidRPr="004F3966">
        <w:rPr>
          <w:b/>
          <w:sz w:val="24"/>
          <w:szCs w:val="24"/>
        </w:rPr>
        <w:t>chuyển đổi</w:t>
      </w:r>
      <w:r w:rsidRPr="004F3966">
        <w:rPr>
          <w:b/>
          <w:sz w:val="24"/>
          <w:szCs w:val="24"/>
          <w:lang w:val="vi-VN"/>
        </w:rPr>
        <w:t xml:space="preserve"> ngoại tệ của Ngân hàng Nhà nước</w:t>
      </w:r>
      <w:r w:rsidRPr="004F3966">
        <w:rPr>
          <w:b/>
          <w:sz w:val="24"/>
          <w:szCs w:val="24"/>
        </w:rPr>
        <w:t xml:space="preserve"> cho</w:t>
      </w:r>
      <w:r w:rsidRPr="004F3966">
        <w:rPr>
          <w:b/>
          <w:sz w:val="24"/>
          <w:szCs w:val="24"/>
          <w:lang w:val="vi-VN"/>
        </w:rPr>
        <w:t xml:space="preserve"> các </w:t>
      </w:r>
    </w:p>
    <w:p w:rsidR="004F3966" w:rsidRPr="004F3966" w:rsidRDefault="004F3966" w:rsidP="004F3966">
      <w:pPr>
        <w:jc w:val="center"/>
        <w:rPr>
          <w:b/>
          <w:sz w:val="24"/>
          <w:szCs w:val="24"/>
        </w:rPr>
      </w:pPr>
      <w:r w:rsidRPr="004F3966">
        <w:rPr>
          <w:b/>
          <w:sz w:val="24"/>
          <w:szCs w:val="24"/>
          <w:lang w:val="vi-VN"/>
        </w:rPr>
        <w:t>dự án được Chính phủ cam kết bảo lãnh và hỗ trợ chuyển đổi</w:t>
      </w:r>
    </w:p>
    <w:p w:rsidR="00374AD5" w:rsidRPr="00C86688" w:rsidRDefault="00374AD5" w:rsidP="004F3966">
      <w:pPr>
        <w:pStyle w:val="NormalWeb"/>
        <w:tabs>
          <w:tab w:val="left" w:pos="567"/>
        </w:tabs>
        <w:spacing w:before="120" w:beforeAutospacing="0" w:after="120" w:afterAutospacing="0" w:line="252" w:lineRule="auto"/>
        <w:jc w:val="center"/>
        <w:rPr>
          <w:color w:val="000000" w:themeColor="text1"/>
        </w:rPr>
      </w:pPr>
    </w:p>
    <w:p w:rsidR="00374AD5" w:rsidRPr="00C86688" w:rsidRDefault="00374AD5" w:rsidP="00CF31CD">
      <w:pPr>
        <w:spacing w:before="120" w:after="120" w:line="252" w:lineRule="auto"/>
        <w:ind w:firstLine="720"/>
        <w:jc w:val="both"/>
        <w:rPr>
          <w:b/>
          <w:noProof/>
          <w:color w:val="000000" w:themeColor="text1"/>
        </w:rPr>
      </w:pPr>
      <w:r w:rsidRPr="00C86688">
        <w:rPr>
          <w:b/>
          <w:noProof/>
          <w:color w:val="000000" w:themeColor="text1"/>
          <w:lang w:val="vi-VN"/>
        </w:rPr>
        <w:t>I</w:t>
      </w:r>
      <w:r w:rsidRPr="00C86688">
        <w:rPr>
          <w:b/>
          <w:noProof/>
          <w:color w:val="000000" w:themeColor="text1"/>
        </w:rPr>
        <w:t>/ Sự cần thiết ban hành văn bản</w:t>
      </w:r>
      <w:r w:rsidRPr="00C86688">
        <w:rPr>
          <w:b/>
          <w:noProof/>
          <w:color w:val="000000" w:themeColor="text1"/>
          <w:lang w:val="vi-VN"/>
        </w:rPr>
        <w:t>:</w:t>
      </w:r>
    </w:p>
    <w:p w:rsidR="00A97A75" w:rsidRPr="002B7249" w:rsidRDefault="00A97A75" w:rsidP="002B7249">
      <w:pPr>
        <w:pStyle w:val="normal-p"/>
        <w:tabs>
          <w:tab w:val="left" w:pos="567"/>
        </w:tabs>
        <w:spacing w:before="160" w:after="160"/>
        <w:ind w:firstLine="720"/>
        <w:jc w:val="both"/>
        <w:rPr>
          <w:bCs/>
          <w:sz w:val="28"/>
          <w:szCs w:val="28"/>
        </w:rPr>
      </w:pPr>
      <w:r w:rsidRPr="00FE0DED">
        <w:rPr>
          <w:rFonts w:eastAsia="Batang"/>
          <w:b/>
          <w:sz w:val="28"/>
          <w:szCs w:val="28"/>
          <w:lang w:val="pt-BR" w:eastAsia="ko-KR"/>
        </w:rPr>
        <w:t xml:space="preserve">1. </w:t>
      </w:r>
      <w:r w:rsidRPr="00FE0DED">
        <w:rPr>
          <w:rFonts w:eastAsia="Batang"/>
          <w:sz w:val="28"/>
          <w:szCs w:val="28"/>
          <w:lang w:val="pt-BR" w:eastAsia="ko-KR"/>
        </w:rPr>
        <w:t>Trước đây, căn cứ</w:t>
      </w:r>
      <w:r w:rsidR="007359F2">
        <w:rPr>
          <w:rFonts w:eastAsia="Batang"/>
          <w:sz w:val="28"/>
          <w:szCs w:val="28"/>
          <w:lang w:val="pt-BR" w:eastAsia="ko-KR"/>
        </w:rPr>
        <w:t>:</w:t>
      </w:r>
      <w:r w:rsidRPr="00FE0DED">
        <w:rPr>
          <w:rFonts w:eastAsia="Batang"/>
          <w:sz w:val="28"/>
          <w:szCs w:val="28"/>
          <w:lang w:val="pt-BR" w:eastAsia="ko-KR"/>
        </w:rPr>
        <w:t xml:space="preserve"> (i) Cơ sở pháp lý tại </w:t>
      </w:r>
      <w:r w:rsidRPr="00FE0DED">
        <w:rPr>
          <w:bCs/>
          <w:sz w:val="28"/>
          <w:szCs w:val="28"/>
        </w:rPr>
        <w:t xml:space="preserve">Luật Đầu tư nước ngoài tại Việt Nam năm 1996, Nghị định 24/2000/NĐ-CP ngày 31/7/2000 của Chính phủ quy định chi tiết thi hành Luật </w:t>
      </w:r>
      <w:r w:rsidR="007359F2">
        <w:rPr>
          <w:bCs/>
          <w:sz w:val="28"/>
          <w:szCs w:val="28"/>
        </w:rPr>
        <w:t xml:space="preserve">Đầu tư nước ngoài tại Việt Nam; </w:t>
      </w:r>
      <w:r w:rsidRPr="00FE0DED">
        <w:rPr>
          <w:bCs/>
          <w:sz w:val="28"/>
          <w:szCs w:val="28"/>
        </w:rPr>
        <w:t>Nghị định 86/1999/NĐ-CP của Chính phủ về quản lý dự trữ ngoại hối nhà nước; và (ii</w:t>
      </w:r>
      <w:r w:rsidRPr="00FE0DED">
        <w:rPr>
          <w:bCs/>
          <w:i/>
          <w:sz w:val="28"/>
          <w:szCs w:val="28"/>
        </w:rPr>
        <w:t>) C</w:t>
      </w:r>
      <w:r w:rsidR="00516C24">
        <w:rPr>
          <w:bCs/>
          <w:i/>
          <w:sz w:val="28"/>
          <w:szCs w:val="28"/>
        </w:rPr>
        <w:t xml:space="preserve">ác cam kết bảo lãnh chuyển đổi </w:t>
      </w:r>
      <w:r w:rsidRPr="00FE0DED">
        <w:rPr>
          <w:bCs/>
          <w:i/>
          <w:sz w:val="28"/>
          <w:szCs w:val="28"/>
        </w:rPr>
        <w:t xml:space="preserve">ngoại tệ của Chính phủ cho các dự án BOT, </w:t>
      </w:r>
      <w:r w:rsidRPr="00FE0DED">
        <w:rPr>
          <w:bCs/>
          <w:sz w:val="28"/>
          <w:szCs w:val="28"/>
        </w:rPr>
        <w:t>NHNN đã ban hành Quyết định 218</w:t>
      </w:r>
      <w:r w:rsidR="00C91A7E">
        <w:rPr>
          <w:bCs/>
          <w:sz w:val="28"/>
          <w:szCs w:val="28"/>
        </w:rPr>
        <w:t>/</w:t>
      </w:r>
      <w:r w:rsidR="009B5564">
        <w:rPr>
          <w:bCs/>
          <w:sz w:val="28"/>
          <w:szCs w:val="28"/>
        </w:rPr>
        <w:t>2002/QĐ</w:t>
      </w:r>
      <w:r w:rsidR="009B5564" w:rsidRPr="009B5564">
        <w:rPr>
          <w:b/>
          <w:bCs/>
          <w:sz w:val="28"/>
          <w:szCs w:val="28"/>
        </w:rPr>
        <w:t>-</w:t>
      </w:r>
      <w:r w:rsidR="00006246">
        <w:rPr>
          <w:bCs/>
          <w:sz w:val="28"/>
          <w:szCs w:val="28"/>
        </w:rPr>
        <w:t>NHNN</w:t>
      </w:r>
      <w:r w:rsidR="009B5564">
        <w:rPr>
          <w:bCs/>
          <w:sz w:val="28"/>
          <w:szCs w:val="28"/>
        </w:rPr>
        <w:t xml:space="preserve"> ngày 22/03/2002</w:t>
      </w:r>
      <w:r w:rsidR="002B7249" w:rsidRPr="00006246">
        <w:rPr>
          <w:bCs/>
          <w:sz w:val="28"/>
          <w:szCs w:val="28"/>
        </w:rPr>
        <w:t>(</w:t>
      </w:r>
      <w:r w:rsidR="002B7249">
        <w:rPr>
          <w:bCs/>
          <w:sz w:val="28"/>
          <w:szCs w:val="28"/>
        </w:rPr>
        <w:t>Quyết định 218</w:t>
      </w:r>
      <w:r w:rsidR="002B7249" w:rsidRPr="00006246">
        <w:rPr>
          <w:bCs/>
          <w:sz w:val="28"/>
          <w:szCs w:val="28"/>
        </w:rPr>
        <w:t>)</w:t>
      </w:r>
      <w:r w:rsidR="002B7249">
        <w:rPr>
          <w:bCs/>
          <w:sz w:val="28"/>
          <w:szCs w:val="28"/>
        </w:rPr>
        <w:t xml:space="preserve">quy định quy trình </w:t>
      </w:r>
      <w:r w:rsidRPr="00FE0DED">
        <w:rPr>
          <w:bCs/>
          <w:sz w:val="28"/>
          <w:szCs w:val="28"/>
        </w:rPr>
        <w:t xml:space="preserve">chuyển đổi </w:t>
      </w:r>
      <w:r w:rsidR="002B7249">
        <w:rPr>
          <w:bCs/>
          <w:sz w:val="28"/>
          <w:szCs w:val="28"/>
        </w:rPr>
        <w:t xml:space="preserve">đồng Việt Nam thành Đô la Mỹ và chuyển ra nước ngoài cho các dự án </w:t>
      </w:r>
      <w:r w:rsidRPr="00FE0DED">
        <w:rPr>
          <w:bCs/>
          <w:sz w:val="28"/>
          <w:szCs w:val="28"/>
        </w:rPr>
        <w:t xml:space="preserve">được Chính phủ cam kết </w:t>
      </w:r>
      <w:r w:rsidRPr="00FE0DED">
        <w:rPr>
          <w:bCs/>
          <w:i/>
          <w:sz w:val="28"/>
          <w:szCs w:val="28"/>
        </w:rPr>
        <w:t>bảo lãnh 100% nhu cầu chuyển đổi ngoại tệ</w:t>
      </w:r>
      <w:r w:rsidRPr="00FE0DED">
        <w:rPr>
          <w:i/>
          <w:sz w:val="28"/>
          <w:szCs w:val="28"/>
        </w:rPr>
        <w:t xml:space="preserve">. </w:t>
      </w:r>
      <w:r w:rsidRPr="00FE0DED">
        <w:rPr>
          <w:rFonts w:eastAsia="Batang"/>
          <w:sz w:val="28"/>
          <w:szCs w:val="28"/>
          <w:lang w:val="pt-BR" w:eastAsia="ko-KR"/>
        </w:rPr>
        <w:t>Tuy nhiên, giai đoạn từ năm 2011 trở lại đây, đã có sự thay đổi về cơ chế bảo lãnh chuyển đổi ngoại tệ của Chính phủ và cơ sở pháp lý thực hiện, cụ thể:</w:t>
      </w:r>
    </w:p>
    <w:p w:rsidR="00A97A75" w:rsidRPr="00FE0DED" w:rsidRDefault="00A97A75" w:rsidP="00A97A75">
      <w:pPr>
        <w:spacing w:before="160" w:after="160" w:line="252" w:lineRule="auto"/>
        <w:ind w:firstLine="720"/>
        <w:jc w:val="both"/>
        <w:rPr>
          <w:b/>
          <w:i/>
        </w:rPr>
      </w:pPr>
      <w:r w:rsidRPr="00FE0DED">
        <w:rPr>
          <w:rFonts w:eastAsia="Batang"/>
          <w:b/>
          <w:lang w:val="pt-BR" w:eastAsia="ko-KR"/>
        </w:rPr>
        <w:t>(i)</w:t>
      </w:r>
      <w:r w:rsidRPr="00FE0DED">
        <w:rPr>
          <w:rFonts w:eastAsia="Batang"/>
          <w:lang w:val="pt-BR" w:eastAsia="ko-KR"/>
        </w:rPr>
        <w:t xml:space="preserve"> Thay đổi về tỷ lệ bảo lãnh </w:t>
      </w:r>
      <w:r w:rsidRPr="00FE0DED">
        <w:rPr>
          <w:lang w:val="sv-SE"/>
        </w:rPr>
        <w:t xml:space="preserve">chuyển đổi ngoại tệ của Chính phủ cho các dự án BOT. Theo đó: </w:t>
      </w:r>
      <w:r w:rsidRPr="00FE0DED">
        <w:rPr>
          <w:b/>
          <w:i/>
        </w:rPr>
        <w:t xml:space="preserve">Chính phủ đã cam kết bảo lãnh 30% và hỗ trợ chuyển đổi 70% còn lại sau 1 thời gian nhất định (thường là 2 tuần làm việc). </w:t>
      </w:r>
    </w:p>
    <w:p w:rsidR="00A97A75" w:rsidRPr="00FE0DED" w:rsidRDefault="00A97A75" w:rsidP="00A97A75">
      <w:pPr>
        <w:spacing w:before="120" w:after="120" w:line="252" w:lineRule="auto"/>
        <w:ind w:firstLine="720"/>
        <w:jc w:val="both"/>
        <w:rPr>
          <w:rFonts w:eastAsia="Batang"/>
          <w:lang w:val="pt-BR" w:eastAsia="ko-KR"/>
        </w:rPr>
      </w:pPr>
      <w:r w:rsidRPr="00FE0DED">
        <w:rPr>
          <w:rFonts w:eastAsia="Batang"/>
          <w:b/>
          <w:lang w:val="pt-BR" w:eastAsia="ko-KR"/>
        </w:rPr>
        <w:t>(ii)</w:t>
      </w:r>
      <w:r w:rsidRPr="00FE0DED">
        <w:rPr>
          <w:rFonts w:eastAsia="Batang"/>
          <w:lang w:val="pt-BR" w:eastAsia="ko-KR"/>
        </w:rPr>
        <w:t xml:space="preserve"> Thay đổi về quy trình thực hiện chuyển đổi ngoại tệ quy định tại GGU của Chính phủ dẫn đến nội dung hướng dẫn tại Quyết định 218 không phù hợp với quy định tại </w:t>
      </w:r>
      <w:r w:rsidRPr="00FE0DED">
        <w:t>GGU mà Chính phủ cam kết đối với các dự án.</w:t>
      </w:r>
    </w:p>
    <w:p w:rsidR="00A97A75" w:rsidRPr="00FE0DED" w:rsidRDefault="00A97A75" w:rsidP="00A97A75">
      <w:pPr>
        <w:spacing w:before="100" w:after="100"/>
        <w:ind w:firstLine="720"/>
        <w:jc w:val="both"/>
        <w:rPr>
          <w:bCs/>
        </w:rPr>
      </w:pPr>
      <w:r w:rsidRPr="00FE0DED">
        <w:rPr>
          <w:bCs/>
        </w:rPr>
        <w:t>Như vậy, Quyết định 218 chỉ quy định quy trình chuyển đổi đối với tỷ lệ bảo lãnh của Chính phủ về 100% nhu cầu chuyển đổi ngoại tệ, chưa có hướng dẫn quy trình chuyển đổi đối với tỷ lệ bảo lãnh chuyển đổi ngay 30% và hỗ trợ chuyển đổi 70% như cơ chế bảo lãnh của Chính phủ đối với một số dự án từ giai đoạn 2011 trở lại đây. Do vậy, NHNN cần có hướng dẫn bổ sung về nội dung này để có cơ sở pháp lý cho các đối tượng liên quan triển khai thực hiện.</w:t>
      </w:r>
    </w:p>
    <w:p w:rsidR="00A97A75" w:rsidRPr="00FE0DED" w:rsidRDefault="00A97A75" w:rsidP="00A97A75">
      <w:pPr>
        <w:spacing w:before="120" w:after="120" w:line="252" w:lineRule="auto"/>
        <w:ind w:firstLine="567"/>
        <w:jc w:val="both"/>
        <w:rPr>
          <w:rFonts w:eastAsia="Batang"/>
          <w:lang w:val="pt-BR" w:eastAsia="ko-KR"/>
        </w:rPr>
      </w:pPr>
      <w:r w:rsidRPr="00FE0DED">
        <w:rPr>
          <w:rFonts w:eastAsia="Batang"/>
          <w:b/>
          <w:lang w:val="pt-BR" w:eastAsia="ko-KR"/>
        </w:rPr>
        <w:t xml:space="preserve">2. </w:t>
      </w:r>
      <w:r w:rsidRPr="00FE0DED">
        <w:rPr>
          <w:rFonts w:eastAsia="Batang"/>
          <w:lang w:val="pt-BR" w:eastAsia="ko-KR"/>
        </w:rPr>
        <w:t xml:space="preserve">Về mặt pháp lý, các căn cứ pháp lý để ban hành Quyết định 218 (gồm </w:t>
      </w:r>
      <w:r w:rsidRPr="00FE0DED">
        <w:rPr>
          <w:bCs/>
          <w:lang w:val="pt-BR"/>
        </w:rPr>
        <w:t>Luật Đầu tư nước ngoài tại Việt Nam năm 1996, Nghị định 24/2000/NĐ-CP và Nghị định 86/1999/NĐ-CP của Chính phủ về quản lý dự trữ ngoại hối nhà nước….</w:t>
      </w:r>
      <w:r w:rsidRPr="00FE0DED">
        <w:rPr>
          <w:rFonts w:eastAsia="Batang"/>
          <w:lang w:val="pt-BR" w:eastAsia="ko-KR"/>
        </w:rPr>
        <w:t>) đã hết hiệu lực thi hành và được thay thế bởi các văn bản khác; do vậy, cần thiết phải ban hành văn bản mới thay thế nhằm đảm bảo sự đồng bộ, thống nhất của văn bản quy phạm pháp luật.</w:t>
      </w:r>
    </w:p>
    <w:p w:rsidR="00A97A75" w:rsidRPr="00FE0DED" w:rsidRDefault="00A97A75" w:rsidP="00A97A75">
      <w:pPr>
        <w:spacing w:before="120" w:after="120" w:line="252" w:lineRule="auto"/>
        <w:ind w:firstLine="567"/>
        <w:jc w:val="both"/>
        <w:rPr>
          <w:rFonts w:eastAsia="Batang"/>
          <w:lang w:val="pt-BR" w:eastAsia="ko-KR"/>
        </w:rPr>
      </w:pPr>
      <w:r w:rsidRPr="00FE0DED">
        <w:rPr>
          <w:rFonts w:eastAsia="Batang"/>
          <w:lang w:val="pt-BR" w:eastAsia="ko-KR"/>
        </w:rPr>
        <w:lastRenderedPageBreak/>
        <w:t>Ngoài ra, các nội dung khác về giải thích từ ngữ, quyền và trách nhiệm của nhà đầu tư, Ngân hàng chuyển đổi, các Vụ Cục thuộc NHNN... cũng cần được nghiên cứu, rà soát, bổ sung sửa đổi để đảm bảo sự thống nhất giữa quy định tại GGU và Thông tư hướng dẫn của NHNN.</w:t>
      </w:r>
    </w:p>
    <w:p w:rsidR="00A97A75" w:rsidRPr="00FE0DED" w:rsidRDefault="00A97A75" w:rsidP="00A97A75">
      <w:pPr>
        <w:spacing w:before="120" w:after="120" w:line="252" w:lineRule="auto"/>
        <w:ind w:firstLine="567"/>
        <w:jc w:val="both"/>
        <w:rPr>
          <w:rFonts w:eastAsia="Batang"/>
          <w:b/>
          <w:lang w:val="pt-BR" w:eastAsia="ko-KR"/>
        </w:rPr>
      </w:pPr>
      <w:r w:rsidRPr="00FE0DED">
        <w:rPr>
          <w:rFonts w:eastAsia="Batang"/>
          <w:b/>
          <w:lang w:val="pt-BR" w:eastAsia="ko-KR"/>
        </w:rPr>
        <w:t xml:space="preserve">3. </w:t>
      </w:r>
      <w:r w:rsidRPr="00FE0DED">
        <w:rPr>
          <w:rFonts w:eastAsia="Batang"/>
          <w:lang w:val="pt-BR" w:eastAsia="ko-KR"/>
        </w:rPr>
        <w:t>Về hình thức văn bản: Hiện nay, theo quy định tại Luật ban hành văn bản quy phạm pháp luật 2014, các Bộ, cơ quan ngang Bộ được ban hành văn bản quy phạm pháp luật dưới hình thức Thông tư. Do vậy, hình thức văn bản hướng dẫn của Quyết định 218 cũng không còn phù hợp, cần phải thay thế bằng hình thức Thông tư hướng dẫn.</w:t>
      </w:r>
    </w:p>
    <w:p w:rsidR="00A97A75" w:rsidRPr="00FE0DED" w:rsidRDefault="00A97A75" w:rsidP="00A97A75">
      <w:pPr>
        <w:tabs>
          <w:tab w:val="left" w:pos="567"/>
        </w:tabs>
        <w:spacing w:before="120" w:after="120" w:line="252" w:lineRule="auto"/>
        <w:ind w:firstLine="567"/>
        <w:jc w:val="both"/>
        <w:rPr>
          <w:lang w:val="sv-SE"/>
        </w:rPr>
      </w:pPr>
      <w:r w:rsidRPr="00FE0DED">
        <w:rPr>
          <w:b/>
          <w:lang w:val="pt-BR"/>
        </w:rPr>
        <w:t xml:space="preserve">4. </w:t>
      </w:r>
      <w:r w:rsidRPr="00FE0DED">
        <w:rPr>
          <w:lang w:val="pt-BR"/>
        </w:rPr>
        <w:t>Với thực tế nêu trên, việc xây dựng và ban hành Thông tư mới (thay thế Quyết định 218) là cần thiết, tất yếu</w:t>
      </w:r>
      <w:r w:rsidRPr="00FE0DED">
        <w:rPr>
          <w:lang w:val="sv-SE"/>
        </w:rPr>
        <w:t>; Góp phần đáp ứng được yêu cầu về quản lý trong giai đoạn mới, đồng thời tạo cơ sở pháp lý đồng bộ, minh bạch cho các đối tượng có liên quan tuân thủ các quy định của pháp luật.</w:t>
      </w:r>
    </w:p>
    <w:p w:rsidR="004E304C" w:rsidRPr="00FE0DED" w:rsidRDefault="004E304C" w:rsidP="004E304C">
      <w:pPr>
        <w:tabs>
          <w:tab w:val="left" w:pos="567"/>
        </w:tabs>
        <w:spacing w:before="120" w:after="120" w:line="252" w:lineRule="auto"/>
        <w:ind w:firstLine="567"/>
        <w:jc w:val="both"/>
        <w:rPr>
          <w:b/>
          <w:color w:val="000000"/>
          <w:lang w:val="pt-BR"/>
        </w:rPr>
      </w:pPr>
      <w:r w:rsidRPr="00FE0DED">
        <w:rPr>
          <w:b/>
          <w:color w:val="000000"/>
          <w:lang w:val="vi-VN"/>
        </w:rPr>
        <w:t>I</w:t>
      </w:r>
      <w:r w:rsidRPr="00FE0DED">
        <w:rPr>
          <w:b/>
          <w:color w:val="000000"/>
          <w:lang w:val="pt-BR"/>
        </w:rPr>
        <w:t>I/Định hướng xây dựng Thông tư</w:t>
      </w:r>
      <w:r>
        <w:rPr>
          <w:b/>
          <w:color w:val="000000"/>
          <w:lang w:val="pt-BR"/>
        </w:rPr>
        <w:t>:</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Dự thảo Thông tư xây dựng trên cơ sở: (i) Kế thừa các nội dung còn phù hợp tại Quyết định 218 trước đây; (ii) Chỉnh sửa những nội dung hướng dẫn không còn phù hợp; và (iii) Bổ sung quy định mới hướng dẫn quy trình chuyển đổi ngoại tệ đối với các dự án được Chính phủ cam kết theo cơ chế bảo lãnh 30% và hỗ trợ chuyển đổi 70%. Trên cơ sở đó, dự thảo Thông tư dự kiến chỉnh sửa và bổ sung một số nội dung mới như sau:</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1. Bổ sung căn cứ pháp lý để ban hành Thông tư.</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2. Phần Giải thích từ ngữ: sửa đổi, bổ sung một số khái niệm về</w:t>
      </w:r>
      <w:r>
        <w:rPr>
          <w:lang w:val="sv-SE"/>
        </w:rPr>
        <w:t xml:space="preserve"> GGU, Dự án,</w:t>
      </w:r>
      <w:r w:rsidRPr="00FE0DED">
        <w:rPr>
          <w:lang w:val="sv-SE"/>
        </w:rPr>
        <w:t xml:space="preserve"> doanh thu, tỷ giá, tài khoản thanh toán chuyển đổi ngoại tệ.</w:t>
      </w:r>
      <w:r>
        <w:rPr>
          <w:lang w:val="sv-SE"/>
        </w:rPr>
        <w:t>...</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3. Bổ sung, chỉnh sửa quy trình chuyển đổi ngoại tệ gồm 02 phần: (i) Quy trình chuyển đổi ngoại tệ dự án được Chính phủ cam kết bảo lãnh chuyển đổi; và (ii) Quy trình chuyển đổi ngoại tệ dự án được Chính phủ cam kết hỗ trợ chuyển đổi ngoại tệ sau một khoảng thời gian theo quy định tại GGU của từng dự án.</w:t>
      </w:r>
    </w:p>
    <w:p w:rsidR="004E304C" w:rsidRPr="00FE0DED" w:rsidRDefault="004E304C" w:rsidP="004E304C">
      <w:pPr>
        <w:tabs>
          <w:tab w:val="left" w:pos="567"/>
        </w:tabs>
        <w:spacing w:before="120" w:after="120" w:line="252" w:lineRule="auto"/>
        <w:ind w:firstLine="567"/>
        <w:jc w:val="both"/>
        <w:rPr>
          <w:lang w:val="sv-SE"/>
        </w:rPr>
      </w:pPr>
      <w:r w:rsidRPr="00FE0DED">
        <w:rPr>
          <w:lang w:val="sv-SE"/>
        </w:rPr>
        <w:t>4. Bổ sung, chỉnh sửa quy định về: Trách nhiệm của Ngân hàng chuyển đổi và các đơn vị thuộc NHNN phù hợp với chức năng, nhiệm vụ hiện hành.</w:t>
      </w:r>
    </w:p>
    <w:p w:rsidR="004E304C" w:rsidRPr="00FE0DED" w:rsidRDefault="004E304C" w:rsidP="004E304C">
      <w:pPr>
        <w:spacing w:before="120" w:after="120" w:line="252" w:lineRule="auto"/>
        <w:ind w:firstLine="567"/>
        <w:rPr>
          <w:b/>
          <w:noProof/>
          <w:color w:val="000000"/>
          <w:lang w:val="pt-BR"/>
        </w:rPr>
      </w:pPr>
      <w:r w:rsidRPr="00FE0DED">
        <w:rPr>
          <w:b/>
          <w:noProof/>
          <w:color w:val="000000"/>
          <w:lang w:val="pt-BR"/>
        </w:rPr>
        <w:t xml:space="preserve">III/ Về bố cục dự thảo Thông tư: </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 xml:space="preserve">Dự thảo Thông tư gồm </w:t>
      </w:r>
      <w:r w:rsidRPr="00FE0DED">
        <w:rPr>
          <w:color w:val="000000"/>
          <w:lang w:val="sv-SE"/>
        </w:rPr>
        <w:t xml:space="preserve">5 Chương và </w:t>
      </w:r>
      <w:r w:rsidRPr="00FE0DED">
        <w:rPr>
          <w:lang w:val="sv-SE"/>
        </w:rPr>
        <w:t>13 Điều, cụ</w:t>
      </w:r>
      <w:r w:rsidRPr="00FE0DED">
        <w:rPr>
          <w:color w:val="000000"/>
          <w:lang w:val="pt-BR"/>
        </w:rPr>
        <w:t xml:space="preserve"> thể gồm:</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I: Quy định chung (3 Điều)</w:t>
      </w:r>
      <w:r w:rsidRPr="00FE0DED">
        <w:rPr>
          <w:color w:val="000000"/>
          <w:lang w:val="sv-SE"/>
        </w:rPr>
        <w:tab/>
      </w:r>
    </w:p>
    <w:p w:rsidR="004E304C" w:rsidRPr="00FE0DED" w:rsidRDefault="004E304C" w:rsidP="004E304C">
      <w:pPr>
        <w:tabs>
          <w:tab w:val="left" w:pos="0"/>
          <w:tab w:val="left" w:pos="567"/>
          <w:tab w:val="left" w:pos="851"/>
        </w:tabs>
        <w:spacing w:before="120" w:after="120" w:line="252" w:lineRule="auto"/>
        <w:ind w:firstLine="567"/>
        <w:jc w:val="both"/>
        <w:rPr>
          <w:color w:val="000000"/>
          <w:lang w:val="sv-SE"/>
        </w:rPr>
      </w:pPr>
      <w:r w:rsidRPr="00FE0DED">
        <w:rPr>
          <w:color w:val="000000"/>
          <w:lang w:val="sv-SE"/>
        </w:rPr>
        <w:t>- Chương II: Quy trình thực hiện chuyển đổi ngoại tệ (2 Điều)</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III: Trách nhiệm của các Bên liên quan (3 Điều)</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IV: Chế độ báo cáo (3 Điều)</w:t>
      </w:r>
    </w:p>
    <w:p w:rsidR="004E304C" w:rsidRPr="00FE0DED" w:rsidRDefault="004E304C" w:rsidP="004E304C">
      <w:pPr>
        <w:tabs>
          <w:tab w:val="left" w:pos="567"/>
          <w:tab w:val="left" w:pos="851"/>
        </w:tabs>
        <w:spacing w:before="120" w:after="120" w:line="252" w:lineRule="auto"/>
        <w:ind w:firstLine="567"/>
        <w:jc w:val="both"/>
        <w:rPr>
          <w:color w:val="000000"/>
          <w:lang w:val="sv-SE"/>
        </w:rPr>
      </w:pPr>
      <w:r w:rsidRPr="00FE0DED">
        <w:rPr>
          <w:color w:val="000000"/>
          <w:lang w:val="sv-SE"/>
        </w:rPr>
        <w:t>- Chương V: Điều khoản thi hành (2 Điều)</w:t>
      </w:r>
    </w:p>
    <w:p w:rsidR="004E304C" w:rsidRPr="00FE0DED" w:rsidRDefault="004E304C" w:rsidP="004E304C">
      <w:pPr>
        <w:tabs>
          <w:tab w:val="left" w:pos="567"/>
        </w:tabs>
        <w:spacing w:before="120" w:after="120" w:line="252" w:lineRule="auto"/>
        <w:ind w:firstLine="567"/>
        <w:jc w:val="both"/>
        <w:rPr>
          <w:b/>
          <w:noProof/>
          <w:color w:val="000000"/>
          <w:lang w:val="sv-SE"/>
        </w:rPr>
      </w:pPr>
      <w:r w:rsidRPr="00FE0DED">
        <w:rPr>
          <w:b/>
          <w:noProof/>
          <w:color w:val="000000"/>
          <w:lang w:val="sv-SE"/>
        </w:rPr>
        <w:t xml:space="preserve">IV/ Những nội dung chính của dự thảo Thông tư: </w:t>
      </w:r>
    </w:p>
    <w:p w:rsidR="004E304C" w:rsidRPr="00FE0DED" w:rsidRDefault="004E304C" w:rsidP="004E304C">
      <w:pPr>
        <w:spacing w:before="120" w:after="120" w:line="252" w:lineRule="auto"/>
        <w:ind w:firstLine="567"/>
        <w:jc w:val="both"/>
        <w:rPr>
          <w:b/>
          <w:color w:val="000000"/>
          <w:lang w:val="sv-SE"/>
        </w:rPr>
      </w:pPr>
      <w:r w:rsidRPr="00FE0DED">
        <w:rPr>
          <w:b/>
          <w:color w:val="000000"/>
          <w:lang w:val="sv-SE"/>
        </w:rPr>
        <w:lastRenderedPageBreak/>
        <w:t>1/ Về Tên gọi và phạm vi điều chỉnh của dự thảo Thông tư:</w:t>
      </w:r>
      <w:r w:rsidRPr="00FE0DED">
        <w:rPr>
          <w:color w:val="000000"/>
          <w:lang w:val="sv-SE"/>
        </w:rPr>
        <w:tab/>
      </w:r>
    </w:p>
    <w:p w:rsidR="004E304C" w:rsidRPr="00FE0DED" w:rsidRDefault="004E304C" w:rsidP="004E304C">
      <w:pPr>
        <w:spacing w:before="120" w:after="120" w:line="252" w:lineRule="auto"/>
        <w:ind w:firstLine="567"/>
        <w:jc w:val="both"/>
        <w:rPr>
          <w:bCs/>
          <w:color w:val="000000"/>
          <w:lang w:val="sv-SE"/>
        </w:rPr>
      </w:pPr>
      <w:r w:rsidRPr="00FE0DED">
        <w:rPr>
          <w:color w:val="000000"/>
          <w:lang w:val="sv-SE"/>
        </w:rPr>
        <w:t xml:space="preserve">Quyết định 218 có tên gọi là </w:t>
      </w:r>
      <w:r w:rsidRPr="00FE0DED">
        <w:rPr>
          <w:bCs/>
          <w:i/>
          <w:color w:val="000000"/>
          <w:lang w:val="sv-SE"/>
        </w:rPr>
        <w:t xml:space="preserve">Quyết định hướng dẫn về quy trình chuyển đổi VNĐ thành đô la Mỹ và chuyển ra nước ngoài cho các dự án được Chính phủ bảo lãnh. </w:t>
      </w:r>
      <w:r w:rsidRPr="00FE0DED">
        <w:rPr>
          <w:bCs/>
          <w:color w:val="000000"/>
          <w:lang w:val="sv-SE"/>
        </w:rPr>
        <w:t xml:space="preserve">Theo đó, Quyết định 218 hướng dẫn 02 nội dung gồm: (i) Quy trình thực hiện chuyển đổi ngoại tệ của Nhà đầu tư tại Ngân hàng chuyển đổi; và (ii) Quy trình hỗ trợ chuyển đổi ngoại tệ của NHNN cho Nhà đầu tư thông qua Ngân hàng chuyển đổi (quy trình NHNN bán ngoại tệ cho Ngân hàng chuyển đổi để thực hiện cam kết bảo lãnh chuyển đổi cho Nhà đầu tư trong trường hợp Ngân hàng chuyển đổi không có đủ ngoại tệ để đáp ứng nhu cầu chuyển đổi của Nhà đầu tư). </w:t>
      </w:r>
    </w:p>
    <w:p w:rsidR="004E304C" w:rsidRPr="00FE0DED" w:rsidRDefault="004E304C" w:rsidP="004E304C">
      <w:pPr>
        <w:shd w:val="clear" w:color="auto" w:fill="FFFFFF"/>
        <w:spacing w:before="120" w:after="120" w:line="252" w:lineRule="auto"/>
        <w:ind w:firstLine="567"/>
        <w:jc w:val="both"/>
        <w:rPr>
          <w:color w:val="000000"/>
          <w:lang w:val="sv-SE"/>
        </w:rPr>
      </w:pPr>
      <w:r w:rsidRPr="00FE0DED">
        <w:rPr>
          <w:color w:val="000000"/>
          <w:lang w:val="sv-SE"/>
        </w:rPr>
        <w:t>Thực tế, hiện nay, quy trình Ngân hàng chuyển đổi bán ngoại tệ cho Nhà đầu tư đã được quy định cụ thể tại GGU của từng dự án. Mặt khác, theo quy định tại các GGU, cam kết bảo lãnh chuyển đổi ngoại tệ của Chính phủ là việc Chính phủ giao NHNN (thay mặt Chính phủ) thực hiện nghĩa vụ chuyển đổi ngoại tệ cho Nhà đầu tư trong trường hợp Nhà đầu tư không thực hiện được việc chuyển đổi ngoại tệ trên thị trường thông qua Ngân hàng chuyển đổi và các tổ chức tín dụng được phép.</w:t>
      </w:r>
    </w:p>
    <w:p w:rsidR="004E304C" w:rsidRPr="00FE0DED" w:rsidRDefault="004E304C" w:rsidP="004E304C">
      <w:pPr>
        <w:shd w:val="clear" w:color="auto" w:fill="FFFFFF"/>
        <w:spacing w:before="120" w:after="120" w:line="252" w:lineRule="auto"/>
        <w:ind w:firstLine="567"/>
        <w:jc w:val="both"/>
        <w:rPr>
          <w:noProof/>
          <w:color w:val="000000"/>
          <w:lang w:val="sv-SE"/>
        </w:rPr>
      </w:pPr>
      <w:r w:rsidRPr="00FE0DED">
        <w:rPr>
          <w:color w:val="000000"/>
          <w:lang w:val="sv-SE"/>
        </w:rPr>
        <w:t xml:space="preserve">Do đó, dự thảo Thông tư chỉ hướng dẫn về quy trình NHNN bán ngoại tệ cho Ngân hàng chuyển đổi để đáp ứng nhu cầu chuyển đổi ngoại tệ còn lại của Nhà đầu tư trong trường hợp Ngân hàng chuyển đổi không có đủ số ngoại tệ để đáp ứng nhu cầu này. </w:t>
      </w:r>
      <w:r w:rsidRPr="00FE0DED">
        <w:rPr>
          <w:noProof/>
          <w:color w:val="000000"/>
          <w:lang w:val="sv-SE"/>
        </w:rPr>
        <w:t xml:space="preserve">Đồng thời, </w:t>
      </w:r>
      <w:r w:rsidRPr="00FE0DED">
        <w:rPr>
          <w:noProof/>
          <w:lang w:val="sv-SE"/>
        </w:rPr>
        <w:t xml:space="preserve">NHNN dự kiến tên gọi của Thông tư là </w:t>
      </w:r>
      <w:r w:rsidRPr="00FE0DED">
        <w:rPr>
          <w:b/>
          <w:i/>
          <w:noProof/>
          <w:lang w:val="sv-SE"/>
        </w:rPr>
        <w:t>“Thông tư hướng dẫn quy trình chuyển đổi ngoại tệ của Ngân hàng Nhà nước cho các dự án được Chính phủ cam kết bảo lãnh và hỗ trợ chuyển đổi”.</w:t>
      </w:r>
    </w:p>
    <w:p w:rsidR="004E304C" w:rsidRPr="00FE0DED" w:rsidRDefault="004E304C" w:rsidP="004E304C">
      <w:pPr>
        <w:spacing w:before="120" w:after="120" w:line="252" w:lineRule="auto"/>
        <w:ind w:firstLine="567"/>
        <w:jc w:val="both"/>
        <w:rPr>
          <w:b/>
          <w:color w:val="000000"/>
          <w:lang w:val="sv-SE"/>
        </w:rPr>
      </w:pPr>
      <w:r w:rsidRPr="00FE0DED">
        <w:rPr>
          <w:b/>
          <w:color w:val="000000"/>
          <w:lang w:val="sv-SE"/>
        </w:rPr>
        <w:t>2/ Về cơ sở pháp lý:</w:t>
      </w:r>
    </w:p>
    <w:p w:rsidR="004E304C" w:rsidRPr="00FE0DED" w:rsidRDefault="004E304C" w:rsidP="004E304C">
      <w:pPr>
        <w:spacing w:before="120" w:after="120" w:line="252" w:lineRule="auto"/>
        <w:ind w:firstLine="567"/>
        <w:jc w:val="both"/>
        <w:rPr>
          <w:b/>
          <w:lang w:val="sv-SE"/>
        </w:rPr>
      </w:pPr>
      <w:r w:rsidRPr="00FE0DED">
        <w:rPr>
          <w:lang w:val="sv-SE"/>
        </w:rPr>
        <w:t xml:space="preserve">Dự thảo Thông tư được xây dựng dựa trên cơ sở pháp lý tại Luật đầu tư 2014, </w:t>
      </w:r>
      <w:r w:rsidRPr="00FE0DED">
        <w:rPr>
          <w:noProof/>
          <w:color w:val="000000"/>
          <w:lang w:val="sv-SE"/>
        </w:rPr>
        <w:t>Pháp lệnh Ngoại hối số 28/2005/PL-UBTVQH11 ngày 13 tháng 12 năm 2005 và Pháp lệnh</w:t>
      </w:r>
      <w:r>
        <w:rPr>
          <w:noProof/>
          <w:color w:val="000000"/>
          <w:lang w:val="sv-SE"/>
        </w:rPr>
        <w:t xml:space="preserve"> số 06/2013/PL-UBTVQH13 ngày 18</w:t>
      </w:r>
      <w:r w:rsidRPr="00FE0DED">
        <w:rPr>
          <w:noProof/>
          <w:color w:val="000000"/>
          <w:lang w:val="sv-SE"/>
        </w:rPr>
        <w:t>/3/2013 sửa đổi, bổ sung một số điều của Pháp lệnh Ngoại hối</w:t>
      </w:r>
      <w:r>
        <w:rPr>
          <w:noProof/>
          <w:color w:val="000000"/>
          <w:lang w:val="sv-SE"/>
        </w:rPr>
        <w:t>,</w:t>
      </w:r>
      <w:r w:rsidRPr="00FE0DED">
        <w:rPr>
          <w:lang w:val="sv-SE"/>
        </w:rPr>
        <w:t>Nghị định số 50/2014/NĐ-CP ngày 20/5/2014 của Chính phủ về quản lý dự trữ ngoại hối nhà nước và các cam kết bảo lãnh chuyển đổi ngoại tệ của Chính phủ tại các GGU cho các dự án đầu tư tại Việt Nam.</w:t>
      </w:r>
    </w:p>
    <w:p w:rsidR="004E304C" w:rsidRPr="00FE0DED" w:rsidRDefault="004E304C" w:rsidP="004E304C">
      <w:pPr>
        <w:spacing w:before="120" w:after="120" w:line="252" w:lineRule="auto"/>
        <w:ind w:firstLine="567"/>
        <w:jc w:val="both"/>
        <w:rPr>
          <w:b/>
          <w:color w:val="000000"/>
          <w:lang w:val="sv-SE"/>
        </w:rPr>
      </w:pPr>
      <w:r w:rsidRPr="00FE0DED">
        <w:rPr>
          <w:b/>
          <w:color w:val="000000"/>
          <w:lang w:val="sv-SE"/>
        </w:rPr>
        <w:t xml:space="preserve">3/ Đối tượng áp dụng: </w:t>
      </w:r>
    </w:p>
    <w:p w:rsidR="004E304C" w:rsidRPr="00FE0DED" w:rsidRDefault="004E304C" w:rsidP="004E304C">
      <w:pPr>
        <w:spacing w:before="120" w:after="120" w:line="252" w:lineRule="auto"/>
        <w:ind w:firstLine="567"/>
        <w:jc w:val="both"/>
        <w:rPr>
          <w:color w:val="000000"/>
          <w:lang w:val="pt-BR"/>
        </w:rPr>
      </w:pPr>
      <w:r w:rsidRPr="00FE0DED">
        <w:rPr>
          <w:lang w:val="sv-SE"/>
        </w:rPr>
        <w:t>Đối tượng áp dụng của dự thảo Thông tư gồm:</w:t>
      </w:r>
      <w:r w:rsidRPr="00FE0DED">
        <w:rPr>
          <w:color w:val="000000"/>
          <w:lang w:val="pt-BR"/>
        </w:rPr>
        <w:t xml:space="preserve"> (i) Nhà đầu tư thực hiện các dự án được Chính phủ cam kết bảo lãnh và hỗ trợ chuyển đổi ngoại tệ; (ii) Ngân hàng chuyển đổi được nhà đầu tư lựa chọn để thực hiện chuyển đổi ngoại tệ cho dự án; và (iii) Các đơn vị thuộc NHNN liên quan đến quy trình chuyển đổi ngoại tệ cho nhà đầu tư.</w:t>
      </w:r>
    </w:p>
    <w:p w:rsidR="004E304C" w:rsidRPr="00FE0DED" w:rsidRDefault="004E304C" w:rsidP="004E304C">
      <w:pPr>
        <w:shd w:val="clear" w:color="auto" w:fill="FFFFFF"/>
        <w:spacing w:before="120" w:after="120" w:line="252" w:lineRule="auto"/>
        <w:ind w:firstLine="567"/>
        <w:jc w:val="both"/>
        <w:rPr>
          <w:b/>
          <w:color w:val="000000"/>
          <w:lang w:val="sv-SE"/>
        </w:rPr>
      </w:pPr>
      <w:r w:rsidRPr="00FE0DED">
        <w:rPr>
          <w:b/>
          <w:color w:val="000000"/>
          <w:lang w:val="sv-SE"/>
        </w:rPr>
        <w:t>4/ Về giải thích từ ngữ:</w:t>
      </w:r>
    </w:p>
    <w:p w:rsidR="004E304C" w:rsidRPr="00FE0DED" w:rsidRDefault="004E304C" w:rsidP="004E304C">
      <w:pPr>
        <w:shd w:val="clear" w:color="auto" w:fill="FFFFFF"/>
        <w:spacing w:before="120" w:after="120" w:line="252" w:lineRule="auto"/>
        <w:ind w:firstLine="567"/>
        <w:jc w:val="both"/>
        <w:rPr>
          <w:color w:val="000000"/>
          <w:lang w:val="sv-SE"/>
        </w:rPr>
      </w:pPr>
      <w:r w:rsidRPr="00FE0DED">
        <w:rPr>
          <w:color w:val="000000"/>
          <w:lang w:val="sv-SE"/>
        </w:rPr>
        <w:t>Dự thảo Thông tư sửa đổi, bổ sung một số khái niệm so với quy định tại Quyết định 218, cụ thể như sau:</w:t>
      </w:r>
    </w:p>
    <w:p w:rsidR="004E304C" w:rsidRPr="00FE0DED" w:rsidRDefault="004E304C" w:rsidP="004E304C">
      <w:pPr>
        <w:shd w:val="clear" w:color="auto" w:fill="FFFFFF"/>
        <w:spacing w:before="120" w:after="120" w:line="252" w:lineRule="auto"/>
        <w:ind w:firstLine="567"/>
        <w:jc w:val="both"/>
        <w:rPr>
          <w:color w:val="000000"/>
          <w:lang w:val="sv-SE"/>
        </w:rPr>
      </w:pPr>
      <w:r w:rsidRPr="00FE0DED">
        <w:rPr>
          <w:b/>
          <w:color w:val="000000"/>
          <w:lang w:val="sv-SE"/>
        </w:rPr>
        <w:lastRenderedPageBreak/>
        <w:t>4.1.</w:t>
      </w:r>
      <w:r w:rsidRPr="00FE0DED">
        <w:rPr>
          <w:color w:val="000000"/>
          <w:lang w:val="sv-SE"/>
        </w:rPr>
        <w:t xml:space="preserve">  Bỏ khái niệm </w:t>
      </w:r>
      <w:r w:rsidRPr="00FE0DED">
        <w:rPr>
          <w:i/>
          <w:color w:val="000000"/>
          <w:lang w:val="sv-SE"/>
        </w:rPr>
        <w:t xml:space="preserve">“Doanh thu” </w:t>
      </w:r>
      <w:r w:rsidRPr="00FE0DED">
        <w:rPr>
          <w:color w:val="000000"/>
          <w:lang w:val="sv-SE"/>
        </w:rPr>
        <w:t xml:space="preserve">vì: Khái niệm này chỉ liên quan đến </w:t>
      </w:r>
      <w:r w:rsidRPr="00FE0DED">
        <w:rPr>
          <w:bCs/>
          <w:color w:val="000000"/>
          <w:lang w:val="sv-SE"/>
        </w:rPr>
        <w:t>Quy trình thực hiện chuyển đổi ngoại tệ của Nhà đầu tư tại Ngân hàng chuyển đổi, đã được quy định cụ thể tại GGU của từng dự án</w:t>
      </w:r>
      <w:r w:rsidRPr="00FE0DED">
        <w:rPr>
          <w:color w:val="000000"/>
          <w:lang w:val="sv-SE"/>
        </w:rPr>
        <w:t xml:space="preserve">, trong khi phạm vi điều chỉnh của Thông tư chỉ quy định về </w:t>
      </w:r>
      <w:r w:rsidRPr="00FE0DED">
        <w:rPr>
          <w:bCs/>
          <w:i/>
          <w:color w:val="000000"/>
          <w:lang w:val="sv-SE"/>
        </w:rPr>
        <w:t>Quy trình NHNN bán ngoại tệ cho Ngân hàng chuyển đổi để thực hiện cam kết bảo lãnh chuyển đổi của Chính phủ cho Nhà đầu tư</w:t>
      </w:r>
      <w:r w:rsidRPr="00FE0DED">
        <w:rPr>
          <w:bCs/>
          <w:color w:val="000000"/>
          <w:lang w:val="sv-SE"/>
        </w:rPr>
        <w:t>, do vậy, hướng dẫn tại dự thảo Thông tư không liên quan đến khái niệm này.</w:t>
      </w:r>
    </w:p>
    <w:p w:rsidR="004E304C" w:rsidRPr="00FE0DED" w:rsidRDefault="004E304C" w:rsidP="004E304C">
      <w:pPr>
        <w:shd w:val="clear" w:color="auto" w:fill="FFFFFF"/>
        <w:spacing w:before="120" w:after="120" w:line="252" w:lineRule="auto"/>
        <w:ind w:firstLine="567"/>
        <w:jc w:val="both"/>
        <w:rPr>
          <w:color w:val="000000"/>
          <w:lang w:val="pt-BR"/>
        </w:rPr>
      </w:pPr>
      <w:r w:rsidRPr="00FE0DED">
        <w:rPr>
          <w:b/>
          <w:color w:val="000000"/>
          <w:lang w:val="sv-SE"/>
        </w:rPr>
        <w:t>4.2.</w:t>
      </w:r>
      <w:r w:rsidRPr="00FE0DED">
        <w:rPr>
          <w:color w:val="000000"/>
          <w:lang w:val="sv-SE"/>
        </w:rPr>
        <w:t xml:space="preserve"> Bỏ khái niệm </w:t>
      </w:r>
      <w:r w:rsidRPr="00FE0DED">
        <w:rPr>
          <w:i/>
          <w:color w:val="000000"/>
          <w:lang w:val="sv-SE"/>
        </w:rPr>
        <w:t>“Tỷ giá kỳ hạn”</w:t>
      </w:r>
      <w:r w:rsidRPr="00FE0DED">
        <w:rPr>
          <w:color w:val="000000"/>
          <w:lang w:val="sv-SE"/>
        </w:rPr>
        <w:t xml:space="preserve">: Quyết định 218 quy định </w:t>
      </w:r>
      <w:r w:rsidRPr="00FE0DED">
        <w:rPr>
          <w:color w:val="000000"/>
          <w:lang w:val="pt-BR"/>
        </w:rPr>
        <w:t>Tỷ giá kỳ hạn (Forward) là tỷ giá do Ngân hàng chuyển đổi xác định với kỳ hạn tối đa là 9 ngày làm việc để thực hiện việc mua ngoại tệ từ NHNN. Tuy nhiên, hiện nay tỷ giá kỳ hạn đã được quy định cụ thể tại Thông tư 15/2015/TT-NHNN ngày 02/10/2015 của NHNN hướng dẫn giao dịch ngoại tệ trên thị trường ngoại tệ của các tổ chức tín dụng được phép hoạt động ngoại hối. Do đó, khái niệm tỷ giá kỳ hạn không cần thiết phải quy định tại dự thảo Thông tư.</w:t>
      </w:r>
    </w:p>
    <w:p w:rsidR="004E304C" w:rsidRPr="00FE0DED" w:rsidRDefault="004E304C" w:rsidP="004E304C">
      <w:pPr>
        <w:shd w:val="clear" w:color="auto" w:fill="FFFFFF"/>
        <w:spacing w:before="120" w:after="120" w:line="252" w:lineRule="auto"/>
        <w:ind w:firstLine="567"/>
        <w:jc w:val="both"/>
        <w:rPr>
          <w:color w:val="000000"/>
          <w:lang w:val="pt-BR"/>
        </w:rPr>
      </w:pPr>
      <w:r w:rsidRPr="00FE0DED">
        <w:rPr>
          <w:b/>
          <w:color w:val="000000"/>
          <w:lang w:val="pt-BR"/>
        </w:rPr>
        <w:t>4.3.</w:t>
      </w:r>
      <w:r w:rsidRPr="00FE0DED">
        <w:rPr>
          <w:color w:val="000000"/>
          <w:lang w:val="pt-BR"/>
        </w:rPr>
        <w:t xml:space="preserve"> Bổ sung khái niệm về Tài khoản số 1, Tài khoản số 2: Quyết định 218 có đề cập đến Tài khoản số 1, Tài khoản số 2 tại các bước thực hiện quy trình chuyển đổi ngoại tệ. Tuy nhiên, Quyết định 218 không quy định nội dung Tài khoản này. Sau rà soát Vụ QLNH  thấy, tại các GGU đều quy định về khái niệm của Tài khoản này và các bước thực hiện liên quan đến Tài khoản này trong quy trình chuyển đổi ngoại tệ cho Nhà đầu tư. Do vậy, để đảm bảo thống nhất về cơ sở pháp lý, dự thảo Thông tư đã bổ sung  khái niệm về 02 Tài khoản này. </w:t>
      </w:r>
    </w:p>
    <w:p w:rsidR="004E304C" w:rsidRPr="00FE0DED" w:rsidRDefault="004E304C" w:rsidP="004E304C">
      <w:pPr>
        <w:spacing w:before="120" w:after="120" w:line="252" w:lineRule="auto"/>
        <w:ind w:firstLine="567"/>
        <w:jc w:val="both"/>
        <w:rPr>
          <w:b/>
          <w:lang w:val="pt-BR"/>
        </w:rPr>
      </w:pPr>
      <w:r w:rsidRPr="00FE0DED">
        <w:rPr>
          <w:b/>
          <w:lang w:val="pt-BR"/>
        </w:rPr>
        <w:t xml:space="preserve">4.4. </w:t>
      </w:r>
      <w:r w:rsidRPr="00FE0DED">
        <w:rPr>
          <w:lang w:val="pt-BR"/>
        </w:rPr>
        <w:t xml:space="preserve">Ngoài ra,để đảm bảo rõ ràng trong việc hướng dẫn quy trình NHNN bán ngoại tệ cho Ngân hàng chuyển đổi để đáp ứng nhu cầu chuyển đổi của Nhà đầu tư, dự thảo Thông tư bổ sung một số khái niệm về: Ngày Đề nghị chuyển đổi, Ngày Chuyển đổi, Tỷ giá bán hỗ trợ ngoại tệ của NHNN, Trạng thái ngoại tệ của Ngân hàng chuyển đổi. Đồng thời, sửa đổi một số khái niệm về GGU, Dự án, Nhà đầu tư, Doanh nghiệp dự án cho phù hợp với quy định tại GGU và thực tế. </w:t>
      </w:r>
    </w:p>
    <w:p w:rsidR="004E304C" w:rsidRPr="00FE0DED" w:rsidRDefault="004E304C" w:rsidP="004E304C">
      <w:pPr>
        <w:tabs>
          <w:tab w:val="left" w:pos="567"/>
        </w:tabs>
        <w:spacing w:before="120" w:after="120" w:line="252" w:lineRule="auto"/>
        <w:ind w:firstLine="567"/>
        <w:jc w:val="both"/>
        <w:rPr>
          <w:b/>
          <w:bCs/>
          <w:lang w:val="pt-BR"/>
        </w:rPr>
      </w:pPr>
      <w:r w:rsidRPr="00FE0DED">
        <w:rPr>
          <w:b/>
          <w:bCs/>
          <w:lang w:val="pt-BR"/>
        </w:rPr>
        <w:t>5/  Về nguyên tắc thực hiện</w:t>
      </w:r>
      <w:r>
        <w:rPr>
          <w:b/>
          <w:bCs/>
          <w:lang w:val="pt-BR"/>
        </w:rPr>
        <w:t>:</w:t>
      </w:r>
    </w:p>
    <w:p w:rsidR="004E304C" w:rsidRPr="00FE0DED" w:rsidRDefault="004E304C" w:rsidP="004E304C">
      <w:pPr>
        <w:widowControl w:val="0"/>
        <w:spacing w:before="120" w:after="120" w:line="252" w:lineRule="auto"/>
        <w:ind w:firstLine="567"/>
        <w:jc w:val="both"/>
        <w:rPr>
          <w:bCs/>
          <w:lang w:val="pt-BR"/>
        </w:rPr>
      </w:pPr>
      <w:r w:rsidRPr="00FE0DED">
        <w:rPr>
          <w:bCs/>
          <w:lang w:val="pt-BR"/>
        </w:rPr>
        <w:t xml:space="preserve">Để có cơ sở hướng dẫn </w:t>
      </w:r>
      <w:r w:rsidRPr="00FE0DED">
        <w:rPr>
          <w:color w:val="000000"/>
          <w:lang w:val="sv-SE"/>
        </w:rPr>
        <w:t xml:space="preserve">quy trình NHNN bán ngoại tệ cho Ngân hàng chuyển đổi để đáp ứng nhu cầu chuyển đổi ngoại tệ của Nhà đầu tư, Điều 4 </w:t>
      </w:r>
      <w:r w:rsidRPr="00FE0DED">
        <w:rPr>
          <w:bCs/>
          <w:lang w:val="pt-BR"/>
        </w:rPr>
        <w:t xml:space="preserve">dự thảo Thông tư bổ sung quy định nguyên tắc thực hiện như sau: </w:t>
      </w:r>
    </w:p>
    <w:p w:rsidR="004E304C" w:rsidRPr="004F1F45" w:rsidRDefault="004E304C" w:rsidP="004E304C">
      <w:pPr>
        <w:spacing w:before="240" w:after="120" w:line="340" w:lineRule="exact"/>
        <w:ind w:firstLine="539"/>
        <w:jc w:val="both"/>
        <w:rPr>
          <w:bCs/>
          <w:i/>
          <w:lang w:val="pt-BR"/>
        </w:rPr>
      </w:pPr>
      <w:r w:rsidRPr="004F1F45">
        <w:rPr>
          <w:i/>
          <w:lang w:val="pt-BR"/>
        </w:rPr>
        <w:t>(</w:t>
      </w:r>
      <w:r>
        <w:rPr>
          <w:i/>
          <w:lang w:val="pt-BR"/>
        </w:rPr>
        <w:t>i</w:t>
      </w:r>
      <w:r w:rsidRPr="004F1F45">
        <w:rPr>
          <w:i/>
          <w:lang w:val="pt-BR"/>
        </w:rPr>
        <w:t>)</w:t>
      </w:r>
      <w:r w:rsidRPr="004F1F45">
        <w:rPr>
          <w:bCs/>
          <w:i/>
          <w:lang w:val="pt-BR"/>
        </w:rPr>
        <w:t xml:space="preserve"> Doanh nghiệp dự án, Nhà đầu tư chủ động thực hiện chuyển đổi số lượng tiền đồng Việt Nam trên Tài khoản số 1 sang ngoại tệ trên thị trường thông qua Ngân hàng chuyển đổi theo các mục đích được Chính phủ cam kết bảo lãnh và hỗ trợ chuyển đổi quy định tại GGU.</w:t>
      </w:r>
    </w:p>
    <w:p w:rsidR="004E304C" w:rsidRPr="006F0494" w:rsidRDefault="004E304C" w:rsidP="004E304C">
      <w:pPr>
        <w:spacing w:before="240" w:after="120" w:line="340" w:lineRule="exact"/>
        <w:ind w:firstLine="539"/>
        <w:jc w:val="both"/>
        <w:rPr>
          <w:bCs/>
          <w:i/>
          <w:lang w:val="pt-BR"/>
        </w:rPr>
      </w:pPr>
      <w:r w:rsidRPr="00DD5778">
        <w:rPr>
          <w:i/>
          <w:iCs/>
          <w:lang w:val="pt-BR"/>
        </w:rPr>
        <w:t xml:space="preserve">(ii) </w:t>
      </w:r>
      <w:r w:rsidRPr="006F0494">
        <w:rPr>
          <w:bCs/>
          <w:i/>
          <w:lang w:val="pt-BR"/>
        </w:rPr>
        <w:t>Vào Ngày Thông báo tỷ giá, Doanh nghiệp dự án, Nhà đầu tư phải thông báo cho Ngân hàng Nhà nước (Sở Giao dịch) về số lượng đồng Việt Nam cần chuyển đổi và một (01) Ngân hàng chuyển đổi được chỉ định để thực hiện chuyển đổi ngoại tệ cho dự án.</w:t>
      </w:r>
    </w:p>
    <w:p w:rsidR="004E304C" w:rsidRPr="006F0494" w:rsidRDefault="004E304C" w:rsidP="004E304C">
      <w:pPr>
        <w:spacing w:before="240" w:after="120" w:line="340" w:lineRule="exact"/>
        <w:ind w:firstLine="539"/>
        <w:jc w:val="both"/>
        <w:rPr>
          <w:bCs/>
          <w:i/>
          <w:lang w:val="pt-BR"/>
        </w:rPr>
      </w:pPr>
      <w:r>
        <w:rPr>
          <w:bCs/>
          <w:i/>
          <w:lang w:val="pt-BR"/>
        </w:rPr>
        <w:lastRenderedPageBreak/>
        <w:t>(iii</w:t>
      </w:r>
      <w:r w:rsidRPr="00FE0DED">
        <w:rPr>
          <w:bCs/>
          <w:i/>
          <w:lang w:val="pt-BR"/>
        </w:rPr>
        <w:t>)</w:t>
      </w:r>
      <w:r w:rsidRPr="006F0494">
        <w:rPr>
          <w:bCs/>
          <w:i/>
          <w:lang w:val="pt-BR"/>
        </w:rPr>
        <w:t xml:space="preserve"> Trường hợp, trạng thái ngoại tệ của Ngân hàng chuyển đổi ở mức âm hoặc dương nhưng không đáp ứng được hết nhu cầu chuyển đổi ngoại tệ của dự án</w:t>
      </w:r>
      <w:r>
        <w:rPr>
          <w:bCs/>
          <w:i/>
          <w:lang w:val="pt-BR"/>
        </w:rPr>
        <w:t>;</w:t>
      </w:r>
      <w:r w:rsidRPr="006F0494">
        <w:rPr>
          <w:bCs/>
          <w:i/>
          <w:lang w:val="pt-BR"/>
        </w:rPr>
        <w:t xml:space="preserve"> Doanh nghiệp dự án, Nhà đầu tư phải xác định số lượng đồng Việt Nam cần bảo lãnh, hỗ trợ chuyển đổi còn lại gửi Ngân hàng Nhà nước (thông qua Ngân hàng chuyển đổi) đề nghị được bảo lãnh và hỗ trợ chuyển đổi ngoại tệ. </w:t>
      </w:r>
    </w:p>
    <w:p w:rsidR="004E304C" w:rsidRPr="006F0494" w:rsidRDefault="004E304C" w:rsidP="004E304C">
      <w:pPr>
        <w:spacing w:before="240" w:after="120" w:line="340" w:lineRule="exact"/>
        <w:ind w:firstLine="539"/>
        <w:jc w:val="both"/>
        <w:rPr>
          <w:bCs/>
          <w:i/>
          <w:lang w:val="pt-BR"/>
        </w:rPr>
      </w:pPr>
      <w:r w:rsidRPr="006F0494">
        <w:rPr>
          <w:bCs/>
          <w:i/>
          <w:lang w:val="pt-BR"/>
        </w:rPr>
        <w:t xml:space="preserve"> (iv) NHNN sẽ thực hiện bán ngoại tệ cho Ngân hàng chuyển đổi theo quy định tại Điều 5 dự thảo Thông tư.</w:t>
      </w:r>
    </w:p>
    <w:p w:rsidR="004E304C" w:rsidRPr="00FE0DED" w:rsidRDefault="004E304C" w:rsidP="004E304C">
      <w:pPr>
        <w:spacing w:before="120" w:after="120" w:line="252" w:lineRule="auto"/>
        <w:ind w:firstLine="567"/>
        <w:jc w:val="both"/>
        <w:rPr>
          <w:bCs/>
        </w:rPr>
      </w:pPr>
      <w:r w:rsidRPr="00FE0DED">
        <w:rPr>
          <w:bCs/>
        </w:rPr>
        <w:t>Điều khoản này đã quy định rõ về cơ sở để xác định việc Ngân hàng Chuyển đổi không đáp ứng được hết nhu cầu cần chuyển đổi ngoại tệ được dựa vào trạng thái ngoại</w:t>
      </w:r>
      <w:r>
        <w:rPr>
          <w:bCs/>
        </w:rPr>
        <w:t xml:space="preserve"> tệ</w:t>
      </w:r>
      <w:r w:rsidRPr="00FE0DED">
        <w:rPr>
          <w:bCs/>
        </w:rPr>
        <w:t xml:space="preserve"> của Ngân hàng Chuyển đổi vào 01 ngày trước Ngày Đề nghị chuyển đổi. Việc xác định trạng thái ngoại tệ này được thực hiện theo quy định hiện hành của NHNN áp dụng đối với các TCTD, chi nhánh Ngân hàng nước ngoài.</w:t>
      </w:r>
    </w:p>
    <w:p w:rsidR="004E304C" w:rsidRPr="00FE0DED" w:rsidRDefault="004E304C" w:rsidP="004E304C">
      <w:pPr>
        <w:widowControl w:val="0"/>
        <w:spacing w:before="120" w:after="120" w:line="252" w:lineRule="auto"/>
        <w:ind w:firstLine="567"/>
        <w:jc w:val="both"/>
        <w:rPr>
          <w:b/>
          <w:color w:val="000000"/>
        </w:rPr>
      </w:pPr>
      <w:r w:rsidRPr="00FE0DED">
        <w:rPr>
          <w:b/>
          <w:color w:val="000000"/>
          <w:lang w:val="sv-SE"/>
        </w:rPr>
        <w:t>6/ Về Quy trình chuyển đổi</w:t>
      </w:r>
      <w:r w:rsidRPr="00FE0DED">
        <w:rPr>
          <w:b/>
          <w:color w:val="000000"/>
          <w:lang w:val="vi-VN"/>
        </w:rPr>
        <w:t>:</w:t>
      </w:r>
    </w:p>
    <w:p w:rsidR="004E304C" w:rsidRPr="00FE0DED" w:rsidRDefault="004E304C" w:rsidP="004E304C">
      <w:pPr>
        <w:spacing w:before="120" w:after="120" w:line="252" w:lineRule="auto"/>
        <w:ind w:firstLine="567"/>
        <w:jc w:val="both"/>
        <w:rPr>
          <w:bCs/>
        </w:rPr>
      </w:pPr>
      <w:r w:rsidRPr="00FE0DED">
        <w:rPr>
          <w:rFonts w:eastAsia="Batang"/>
          <w:b/>
          <w:lang w:val="pt-BR" w:eastAsia="ko-KR"/>
        </w:rPr>
        <w:t xml:space="preserve">6.1/ </w:t>
      </w:r>
      <w:r w:rsidRPr="00FE0DED">
        <w:rPr>
          <w:rFonts w:eastAsia="Batang"/>
          <w:lang w:val="pt-BR" w:eastAsia="ko-KR"/>
        </w:rPr>
        <w:t xml:space="preserve">Giai đoạn từ năm 2011 trở về trước, </w:t>
      </w:r>
      <w:r w:rsidRPr="00FE0DED">
        <w:rPr>
          <w:rFonts w:eastAsia="Batang"/>
          <w:i/>
          <w:lang w:val="pt-BR" w:eastAsia="ko-KR"/>
        </w:rPr>
        <w:t xml:space="preserve">tỷ lệ cam kết bảo lãnh </w:t>
      </w:r>
      <w:r w:rsidRPr="00FE0DED">
        <w:rPr>
          <w:i/>
          <w:lang w:val="sv-SE"/>
        </w:rPr>
        <w:t>chuyển đổi ngoại tệ của Chính phủ cho các dự án BOT</w:t>
      </w:r>
      <w:r w:rsidRPr="00FE0DED">
        <w:rPr>
          <w:rFonts w:eastAsia="Batang"/>
          <w:i/>
          <w:lang w:val="pt-BR" w:eastAsia="ko-KR"/>
        </w:rPr>
        <w:t xml:space="preserve"> là </w:t>
      </w:r>
      <w:r w:rsidRPr="00FE0DED">
        <w:rPr>
          <w:b/>
          <w:bCs/>
          <w:i/>
        </w:rPr>
        <w:t xml:space="preserve">100% nhu cầu chuyển đổi ngoại tệ. </w:t>
      </w:r>
      <w:r w:rsidRPr="00FE0DED">
        <w:rPr>
          <w:bCs/>
        </w:rPr>
        <w:t xml:space="preserve">Bản chất của cam kết này là Chính phủ bảo lãnh 100% nhu cầu chuyển đổi ngoại tệ của dự án, theo đó:  </w:t>
      </w:r>
    </w:p>
    <w:p w:rsidR="004E304C" w:rsidRPr="00FE0DED" w:rsidRDefault="004E304C" w:rsidP="004E304C">
      <w:pPr>
        <w:spacing w:before="120" w:after="120" w:line="252" w:lineRule="auto"/>
        <w:ind w:firstLine="567"/>
        <w:jc w:val="both"/>
        <w:rPr>
          <w:bCs/>
        </w:rPr>
      </w:pPr>
      <w:r w:rsidRPr="00FE0DED">
        <w:rPr>
          <w:b/>
          <w:bCs/>
        </w:rPr>
        <w:t>(i)</w:t>
      </w:r>
      <w:r w:rsidRPr="00FE0DED">
        <w:rPr>
          <w:bCs/>
        </w:rPr>
        <w:t xml:space="preserve"> Trường hợp Ngân hàng chuyển đổi có đủ số ngoại tệ để đáp ứng nhu cầu chuyển đổi của nhà đầu tư, Ngân hàng chuyển đổi phải tiến hành các giao dịch để chuyển đổi số doanh thu bằng VNĐ sau khi trừ đi số chi tiêu bằng VNĐ sang ngoại tệ trong phạm vi số ngày quy định tại GGU đối với từng dự án theo tỷ giá được Ngân hàng chuyển đổi thông báo.</w:t>
      </w:r>
    </w:p>
    <w:p w:rsidR="004E304C" w:rsidRPr="00FE0DED" w:rsidRDefault="004E304C" w:rsidP="004E304C">
      <w:pPr>
        <w:spacing w:before="120" w:after="120" w:line="252" w:lineRule="auto"/>
        <w:ind w:firstLine="567"/>
        <w:jc w:val="both"/>
        <w:rPr>
          <w:bCs/>
        </w:rPr>
      </w:pPr>
      <w:r w:rsidRPr="00FE0DED">
        <w:rPr>
          <w:b/>
          <w:bCs/>
        </w:rPr>
        <w:t xml:space="preserve">(ii) </w:t>
      </w:r>
      <w:r w:rsidRPr="00FE0DED">
        <w:rPr>
          <w:bCs/>
        </w:rPr>
        <w:t xml:space="preserve">Trường hợp Ngân hàng chuyển đổi không có đủ ngoại tệ để đáp ứng nhu cầu chuyển đổi cho nhà đầu tư do trạng thái ngoại tệ không cho phép vào ngày thanh toán, Chính phủ (thông qua NHNN) sẽ thực hiện chuyển đổi nhu cầu ngoại tệ còn thiếu cho nhà đầu tư. </w:t>
      </w:r>
    </w:p>
    <w:p w:rsidR="004E304C" w:rsidRPr="00FE0DED" w:rsidRDefault="004E304C" w:rsidP="004E304C">
      <w:pPr>
        <w:spacing w:before="120" w:after="120" w:line="252" w:lineRule="auto"/>
        <w:ind w:firstLine="567"/>
        <w:jc w:val="both"/>
        <w:rPr>
          <w:b/>
          <w:bCs/>
        </w:rPr>
      </w:pPr>
      <w:r w:rsidRPr="00FE0DED">
        <w:rPr>
          <w:bCs/>
        </w:rPr>
        <w:t>Trên cơ sở đó, Quyết định 218 đã hướng dẫn về quy trình chuyển đổi ngoại tệ áp dụng đối với dự án BOT được Chính phủ cam kết bảo lãnh 100% nhu cầu chuyển đổi ngoại tệ</w:t>
      </w:r>
      <w:r w:rsidRPr="00FE0DED">
        <w:t>.</w:t>
      </w:r>
      <w:r w:rsidRPr="00FE0DED">
        <w:rPr>
          <w:rFonts w:eastAsia="Batang"/>
          <w:lang w:val="pt-BR" w:eastAsia="ko-KR"/>
        </w:rPr>
        <w:t>Thực tế, trong quá trình triển khai thực hiện Quyết định 218, các Ngân hàng chuyển đổi và Sở Giao dịch NHNN không gặp khó khăn, vướng mắc khi thực hiện chuyển đổi ngoại tệ cho các dự án được Chính phủ cam kết bảo lãnh 100% nhu cầu chuyển đổi ngoại tệ.</w:t>
      </w:r>
    </w:p>
    <w:p w:rsidR="004E304C" w:rsidRPr="00FE0DED" w:rsidRDefault="004E304C" w:rsidP="004E304C">
      <w:pPr>
        <w:spacing w:before="120" w:after="120" w:line="252" w:lineRule="auto"/>
        <w:ind w:firstLine="567"/>
        <w:jc w:val="both"/>
        <w:rPr>
          <w:rFonts w:eastAsia="Batang"/>
          <w:lang w:val="pt-BR" w:eastAsia="ko-KR"/>
        </w:rPr>
      </w:pPr>
      <w:r w:rsidRPr="00FE0DED">
        <w:rPr>
          <w:rFonts w:eastAsia="Batang"/>
          <w:b/>
          <w:lang w:val="pt-BR" w:eastAsia="ko-KR"/>
        </w:rPr>
        <w:t xml:space="preserve">6.2/ </w:t>
      </w:r>
      <w:r w:rsidRPr="00FE0DED">
        <w:rPr>
          <w:rFonts w:eastAsia="Batang"/>
          <w:lang w:val="pt-BR" w:eastAsia="ko-KR"/>
        </w:rPr>
        <w:t xml:space="preserve">Tuy nhiên, giai đoạn từ năm 2011 trở lại đây, Chính phủ đã thay đổi về tỷ lệ bảo lãnh </w:t>
      </w:r>
      <w:r w:rsidRPr="00FE0DED">
        <w:rPr>
          <w:lang w:val="sv-SE"/>
        </w:rPr>
        <w:t xml:space="preserve">chuyển đổi ngoại tệ cho các dự án, Theo đó: </w:t>
      </w:r>
      <w:r w:rsidRPr="00FE0DED">
        <w:rPr>
          <w:b/>
          <w:i/>
        </w:rPr>
        <w:t xml:space="preserve">Chính phủ đã cam kết bảo lãnh 30% và hỗ trợ chuyển đổi 70% </w:t>
      </w:r>
      <w:r w:rsidRPr="00FE0DED">
        <w:t xml:space="preserve">cho một số dự án. </w:t>
      </w:r>
      <w:r w:rsidRPr="00FE0DED">
        <w:rPr>
          <w:rFonts w:eastAsia="Batang"/>
          <w:lang w:val="pt-BR" w:eastAsia="ko-KR"/>
        </w:rPr>
        <w:t>Về bản chất của cam kết này là Chính phủ vẫn bảo lãnh 100% nhu cầu chuyển đổi ngoại tệ cho dự án; tuy nhiên, cam kết được chia thành 02 phần như sau:</w:t>
      </w:r>
    </w:p>
    <w:p w:rsidR="004E304C" w:rsidRPr="00FE0DED" w:rsidRDefault="004E304C" w:rsidP="004E304C">
      <w:pPr>
        <w:spacing w:before="120" w:after="120" w:line="252" w:lineRule="auto"/>
        <w:ind w:firstLine="567"/>
        <w:jc w:val="both"/>
        <w:rPr>
          <w:rFonts w:eastAsia="Batang"/>
          <w:lang w:val="pt-BR" w:eastAsia="ko-KR"/>
        </w:rPr>
      </w:pPr>
      <w:r w:rsidRPr="00FE0DED">
        <w:rPr>
          <w:rFonts w:eastAsia="Batang"/>
          <w:b/>
          <w:lang w:val="pt-BR" w:eastAsia="ko-KR"/>
        </w:rPr>
        <w:lastRenderedPageBreak/>
        <w:t xml:space="preserve">(1) </w:t>
      </w:r>
      <w:r w:rsidRPr="00FE0DED">
        <w:rPr>
          <w:rFonts w:eastAsia="Batang"/>
          <w:lang w:val="pt-BR" w:eastAsia="ko-KR"/>
        </w:rPr>
        <w:t>Chính phủ cam kết bảo lãnh 30% nhu cầu chuyển đổi ngoại tệ của dự án. Thực tế, cơ chế chuyển đổi sẽ được thực hiện tương tự như các dự án được Chính phủ bảo lãnh chuyển đổi 100% nhu cầu chuyển đổi ngoại tệ  tại điểm 6.1 nêu trên. Quyết định 218 đã có hướng dẫn về quy trình chuyển đổi đối với nội dung này.</w:t>
      </w:r>
    </w:p>
    <w:p w:rsidR="004E304C" w:rsidRPr="00FE0DED" w:rsidRDefault="004E304C" w:rsidP="004E304C">
      <w:pPr>
        <w:spacing w:before="120" w:after="120" w:line="252" w:lineRule="auto"/>
        <w:ind w:firstLine="567"/>
        <w:jc w:val="both"/>
        <w:rPr>
          <w:rFonts w:eastAsia="Batang"/>
          <w:lang w:val="pt-BR" w:eastAsia="ko-KR"/>
        </w:rPr>
      </w:pPr>
      <w:r w:rsidRPr="00FE0DED">
        <w:rPr>
          <w:rFonts w:eastAsia="Batang"/>
          <w:b/>
          <w:lang w:val="pt-BR" w:eastAsia="ko-KR"/>
        </w:rPr>
        <w:t>(2)</w:t>
      </w:r>
      <w:r w:rsidRPr="00FE0DED">
        <w:rPr>
          <w:rFonts w:eastAsia="Batang"/>
          <w:lang w:val="pt-BR" w:eastAsia="ko-KR"/>
        </w:rPr>
        <w:t xml:space="preserve"> Chính phủ hỗ trợ chuyển đổi 70%nhu cầu còn lại của dự án sau một khoảng thời gian nhất định, </w:t>
      </w:r>
      <w:r w:rsidRPr="00FE0DED">
        <w:rPr>
          <w:rFonts w:eastAsia="Batang"/>
          <w:i/>
          <w:lang w:val="pt-BR" w:eastAsia="ko-KR"/>
        </w:rPr>
        <w:t>theo quy định tại các GGU, thường là</w:t>
      </w:r>
      <w:r w:rsidRPr="00FE0DED">
        <w:rPr>
          <w:rFonts w:eastAsia="Batang"/>
          <w:i/>
          <w:u w:val="single"/>
          <w:lang w:val="pt-BR" w:eastAsia="ko-KR"/>
        </w:rPr>
        <w:t xml:space="preserve"> sau khoảng từ 2 tuầ</w:t>
      </w:r>
      <w:r>
        <w:rPr>
          <w:rFonts w:eastAsia="Batang"/>
          <w:i/>
          <w:u w:val="single"/>
          <w:lang w:val="pt-BR" w:eastAsia="ko-KR"/>
        </w:rPr>
        <w:t xml:space="preserve">n </w:t>
      </w:r>
      <w:r w:rsidRPr="00FE0DED">
        <w:rPr>
          <w:i/>
          <w:u w:val="single"/>
          <w:lang w:val="sv-SE"/>
        </w:rPr>
        <w:t>kể từ Ngày nhận được thông báo</w:t>
      </w:r>
      <w:r w:rsidRPr="00FE0DED">
        <w:rPr>
          <w:i/>
          <w:lang w:val="sv-SE"/>
        </w:rPr>
        <w:t xml:space="preserve"> của Doanh nghiệp dự án về việc không thực hiện được việc chuyển đổi trên thị trường, Chính phủ (thông qua NHNN) sẽ hỗ trợ Nhà đầu tư chuyển đổi 70% nhu cầu chuyển đổi ngoại tệ còn lại của dự án.</w:t>
      </w:r>
      <w:r w:rsidRPr="00FE0DED">
        <w:rPr>
          <w:lang w:val="sv-SE"/>
        </w:rPr>
        <w:t xml:space="preserve"> Đây là cơ chế hỗ trợ mới của Chính phủnên Quyết định 218 chưa có hướng dẫn về quy trình chuyển đổi ngoại tệ đối với nội dung này.</w:t>
      </w:r>
    </w:p>
    <w:p w:rsidR="004E304C" w:rsidRPr="00FE0DED" w:rsidRDefault="004E304C" w:rsidP="004E304C">
      <w:pPr>
        <w:spacing w:before="120" w:after="120" w:line="252" w:lineRule="auto"/>
        <w:ind w:firstLine="567"/>
        <w:jc w:val="both"/>
        <w:rPr>
          <w:b/>
          <w:color w:val="000000"/>
          <w:lang w:val="pt-BR"/>
        </w:rPr>
      </w:pPr>
      <w:r w:rsidRPr="00FE0DED">
        <w:rPr>
          <w:b/>
          <w:color w:val="000000"/>
          <w:lang w:val="pt-BR"/>
        </w:rPr>
        <w:t xml:space="preserve">6.3/ </w:t>
      </w:r>
      <w:r w:rsidRPr="00FE0DED">
        <w:rPr>
          <w:color w:val="000000"/>
          <w:lang w:val="pt-BR"/>
        </w:rPr>
        <w:t>Căn cứ thực tế phát sinh nêu trên</w:t>
      </w:r>
      <w:r w:rsidRPr="00FE0DED">
        <w:rPr>
          <w:rFonts w:eastAsia="Batang"/>
          <w:lang w:val="pt-BR" w:eastAsia="ko-KR"/>
        </w:rPr>
        <w:t>, dự thảo Thông tư quy định 02 Quy trình bán ngoại tệ của NHNN cho Ngân hàng chuyển đổi tương ứng với cam kết bảo lãnh và hỗ trợ chuyển đổi ngoại tệ của Chính phủ nêu trên như sau</w:t>
      </w:r>
      <w:r w:rsidRPr="00FE0DED">
        <w:rPr>
          <w:color w:val="000000"/>
          <w:lang w:val="sv-SE"/>
        </w:rPr>
        <w:t>:</w:t>
      </w:r>
    </w:p>
    <w:p w:rsidR="004E304C" w:rsidRPr="00FE0DED" w:rsidRDefault="004E304C" w:rsidP="004E304C">
      <w:pPr>
        <w:spacing w:before="120" w:after="120" w:line="252" w:lineRule="auto"/>
        <w:ind w:firstLine="567"/>
        <w:jc w:val="both"/>
        <w:rPr>
          <w:b/>
          <w:i/>
          <w:iCs/>
          <w:lang w:val="pt-BR"/>
        </w:rPr>
      </w:pPr>
      <w:r w:rsidRPr="00FE0DED">
        <w:rPr>
          <w:b/>
          <w:i/>
          <w:color w:val="000000"/>
          <w:lang w:val="pt-BR"/>
        </w:rPr>
        <w:t>a) Quy trình áp dụng đối với</w:t>
      </w:r>
      <w:r w:rsidRPr="00FE0DED">
        <w:rPr>
          <w:b/>
          <w:i/>
          <w:iCs/>
          <w:lang w:val="pt-BR"/>
        </w:rPr>
        <w:t xml:space="preserve"> nhu cầu chuyển đổi ngoại tệ </w:t>
      </w:r>
      <w:r w:rsidRPr="00FE0DED">
        <w:rPr>
          <w:b/>
          <w:i/>
          <w:lang w:val="pt-BR"/>
        </w:rPr>
        <w:t>được Chính phủ cam kết bảo lãnh chuyển đổi:</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 xml:space="preserve">Về cơ bản, nội dung này được quy định trên nguyên tắc kế thừa các quy định tại  Quyết định 218 và quy định tại các GGU, theo đó gồm 04 Bước thực hiện </w:t>
      </w:r>
      <w:r w:rsidRPr="00FE0DED">
        <w:rPr>
          <w:bCs/>
        </w:rPr>
        <w:t>của Ngân hàng chuyển đổi và Sở Giao dịch NHNNgồm</w:t>
      </w:r>
      <w:r w:rsidRPr="00FE0DED">
        <w:rPr>
          <w:color w:val="000000"/>
          <w:lang w:val="pt-BR"/>
        </w:rPr>
        <w:t>:</w:t>
      </w:r>
    </w:p>
    <w:p w:rsidR="004E304C" w:rsidRPr="00FE0DED" w:rsidRDefault="004E304C" w:rsidP="004E304C">
      <w:pPr>
        <w:spacing w:before="240" w:after="120" w:line="340" w:lineRule="exact"/>
        <w:ind w:firstLine="539"/>
        <w:jc w:val="both"/>
        <w:rPr>
          <w:i/>
          <w:iCs/>
          <w:lang w:val="pt-BR"/>
        </w:rPr>
      </w:pPr>
      <w:r w:rsidRPr="00FE0DED">
        <w:rPr>
          <w:b/>
          <w:i/>
          <w:iCs/>
          <w:lang w:val="pt-BR"/>
        </w:rPr>
        <w:t>- Bước 1:</w:t>
      </w:r>
      <w:r w:rsidRPr="00FE0DED">
        <w:rPr>
          <w:i/>
          <w:iCs/>
          <w:lang w:val="pt-BR"/>
        </w:rPr>
        <w:t>Trong thời hạn 02 ngày làm việc kể từ Ngày Thanh toán, Doanh nghiệp dự án, Nhà đầu tư xác định số lượng đồng Việt Nam cần bảo lãnh chuyển đổi còn lại, gửi Ngân hàng chuyển đổi kèm theo hóa đơn có chứng thực.</w:t>
      </w:r>
    </w:p>
    <w:p w:rsidR="004E304C" w:rsidRPr="00FE0DED" w:rsidRDefault="004E304C" w:rsidP="004E304C">
      <w:pPr>
        <w:spacing w:before="240" w:after="120" w:line="340" w:lineRule="exact"/>
        <w:ind w:firstLine="539"/>
        <w:jc w:val="both"/>
        <w:rPr>
          <w:i/>
          <w:iCs/>
          <w:lang w:val="pt-BR"/>
        </w:rPr>
      </w:pPr>
      <w:r w:rsidRPr="00FE0DED">
        <w:rPr>
          <w:b/>
          <w:i/>
          <w:iCs/>
          <w:lang w:val="pt-BR"/>
        </w:rPr>
        <w:t>- Bước 2</w:t>
      </w:r>
      <w:r w:rsidRPr="00FE0DED">
        <w:rPr>
          <w:i/>
          <w:iCs/>
          <w:lang w:val="pt-BR"/>
        </w:rPr>
        <w:t>:Vào Ngày Đề nghị chuyển đổi, Ngân hàng chuyển đổi gửi công văn kèm theo hóa đơn có chứng thực của Doanh nghiệp dự án, Nhà đầu tư đề nghị NHNN (Sở Giao dịch) bán số lượng ngoại tệ tương ứng với số lượng đồng Việt Nam cần bảo lãnh chuyển đổi còn lại.</w:t>
      </w:r>
    </w:p>
    <w:p w:rsidR="004E304C" w:rsidRPr="00FE0DED" w:rsidRDefault="004E304C" w:rsidP="004E304C">
      <w:pPr>
        <w:spacing w:before="240" w:after="120" w:line="340" w:lineRule="exact"/>
        <w:ind w:firstLine="539"/>
        <w:jc w:val="both"/>
        <w:rPr>
          <w:i/>
          <w:iCs/>
          <w:lang w:val="pt-BR"/>
        </w:rPr>
      </w:pPr>
      <w:r w:rsidRPr="00FE0DED">
        <w:rPr>
          <w:b/>
          <w:i/>
          <w:iCs/>
          <w:lang w:val="pt-BR"/>
        </w:rPr>
        <w:t>-Bước 3</w:t>
      </w:r>
      <w:r w:rsidRPr="00FE0DED">
        <w:rPr>
          <w:i/>
          <w:iCs/>
          <w:lang w:val="pt-BR"/>
        </w:rPr>
        <w:t xml:space="preserve">: Trong phạm vi số ngày quy định tại GGU của từng dự án, vào Ngày chuyển đổi, căn cứ quy định tại GGU, trạng thái ngoại tệ của Ngân hàng chuyển đổi, NHNN (Sở Giao dịch) thực hiện kiểm tra </w:t>
      </w:r>
      <w:r w:rsidRPr="00FE0DED">
        <w:rPr>
          <w:i/>
          <w:iCs/>
          <w:color w:val="C00000"/>
          <w:lang w:val="pt-BR"/>
        </w:rPr>
        <w:t>hóa đơn, chứng từ liên quan</w:t>
      </w:r>
      <w:r w:rsidRPr="00FE0DED">
        <w:rPr>
          <w:i/>
          <w:iCs/>
          <w:lang w:val="pt-BR"/>
        </w:rPr>
        <w:t xml:space="preserve"> và bán ngoại tệ từ Quỹ Bình ổn tỷ giá và quản lý thị trường vàng cho Ngân hàng chuyển đổi theo Tỷ giá Thông báo.</w:t>
      </w:r>
    </w:p>
    <w:p w:rsidR="004E304C" w:rsidRPr="00FE0DED" w:rsidRDefault="004E304C" w:rsidP="004E304C">
      <w:pPr>
        <w:spacing w:before="240" w:after="120" w:line="340" w:lineRule="exact"/>
        <w:ind w:firstLine="539"/>
        <w:jc w:val="both"/>
        <w:rPr>
          <w:i/>
          <w:iCs/>
          <w:lang w:val="pt-BR"/>
        </w:rPr>
      </w:pPr>
      <w:r w:rsidRPr="00FE0DED">
        <w:rPr>
          <w:b/>
          <w:i/>
          <w:iCs/>
          <w:lang w:val="pt-BR"/>
        </w:rPr>
        <w:t>-Bước 4</w:t>
      </w:r>
      <w:r w:rsidRPr="00FE0DED">
        <w:rPr>
          <w:i/>
          <w:iCs/>
          <w:lang w:val="pt-BR"/>
        </w:rPr>
        <w:t>: Trong vòng hai (02) ngày làm việc kể từ Ngày Chuyển đổi, Ngân hàng chuyển đổi thực hiện bán ngoại tệ và chuyển vào Tài khoản số 2 cho Doanh nghiệp dự án, Nhà đầu tư theo Tỷ giá Thông báo.</w:t>
      </w:r>
    </w:p>
    <w:p w:rsidR="004E304C" w:rsidRPr="00FE0DED" w:rsidRDefault="004E304C" w:rsidP="004E304C">
      <w:pPr>
        <w:widowControl w:val="0"/>
        <w:spacing w:before="240" w:after="120" w:line="340" w:lineRule="exact"/>
        <w:ind w:firstLine="539"/>
        <w:jc w:val="both"/>
        <w:rPr>
          <w:color w:val="000000"/>
          <w:lang w:val="pt-BR"/>
        </w:rPr>
      </w:pPr>
      <w:r w:rsidRPr="00FE0DED">
        <w:rPr>
          <w:color w:val="000000"/>
          <w:lang w:val="pt-BR"/>
        </w:rPr>
        <w:t xml:space="preserve"> Thực tế, </w:t>
      </w:r>
      <w:r w:rsidRPr="00FE0DED">
        <w:rPr>
          <w:rFonts w:eastAsia="Batang"/>
          <w:lang w:val="pt-BR" w:eastAsia="ko-KR"/>
        </w:rPr>
        <w:t>quy định này không gặp vướng mắc trong quá trình triển khai thực hiện đối với các dự án được Chính phủ cam kết bảo lãnh chuyển đổi 100% nhu cầu ngoại tệ.</w:t>
      </w:r>
    </w:p>
    <w:p w:rsidR="004E304C" w:rsidRPr="00FE0DED" w:rsidRDefault="004E304C" w:rsidP="004E304C">
      <w:pPr>
        <w:spacing w:before="120" w:after="120" w:line="252" w:lineRule="auto"/>
        <w:ind w:firstLine="567"/>
        <w:jc w:val="both"/>
        <w:rPr>
          <w:rFonts w:eastAsia="Courier New"/>
          <w:b/>
          <w:i/>
          <w:color w:val="000000"/>
          <w:lang w:val="pt-BR"/>
        </w:rPr>
      </w:pPr>
      <w:r w:rsidRPr="00FE0DED">
        <w:rPr>
          <w:b/>
          <w:i/>
          <w:iCs/>
          <w:lang w:val="pt-BR"/>
        </w:rPr>
        <w:lastRenderedPageBreak/>
        <w:t>b) Quy trình áp dụng đối với nhu cầu chuyển đổi ngoại tệ được Chính phủ cam kết hỗ trợ chuyển đổi</w:t>
      </w:r>
      <w:r w:rsidRPr="00FE0DED">
        <w:rPr>
          <w:b/>
          <w:i/>
          <w:lang w:val="pt-BR"/>
        </w:rPr>
        <w:t>:</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Đây là nội dung mới của dự thảo Thông tư nhằm hướng dẫn về quy trình hỗ trợ chuyển đổi ngoại tệ đối với 70% nhu cầu chuyển đổi còn lại của các dự án</w:t>
      </w:r>
      <w:r w:rsidRPr="00FE0DED">
        <w:rPr>
          <w:iCs/>
          <w:lang w:val="pt-BR"/>
        </w:rPr>
        <w:t xml:space="preserve"> theo các mục đích quy định tại GGU, theo đó 05 Bước thực hiện như sau:</w:t>
      </w:r>
    </w:p>
    <w:p w:rsidR="004E304C" w:rsidRPr="00FE0DED" w:rsidRDefault="004E304C" w:rsidP="004E304C">
      <w:pPr>
        <w:spacing w:before="120" w:after="120" w:line="252" w:lineRule="auto"/>
        <w:ind w:firstLine="567"/>
        <w:jc w:val="both"/>
        <w:rPr>
          <w:i/>
          <w:iCs/>
          <w:lang w:val="pt-BR"/>
        </w:rPr>
      </w:pPr>
      <w:r w:rsidRPr="00FE0DED">
        <w:rPr>
          <w:b/>
          <w:color w:val="000000"/>
          <w:lang w:val="pt-BR"/>
        </w:rPr>
        <w:t>-</w:t>
      </w:r>
      <w:r w:rsidRPr="00FE0DED">
        <w:rPr>
          <w:b/>
          <w:i/>
          <w:color w:val="000000"/>
          <w:lang w:val="pt-BR"/>
        </w:rPr>
        <w:t>Bước 1</w:t>
      </w:r>
      <w:r w:rsidRPr="00FE0DED">
        <w:rPr>
          <w:i/>
          <w:color w:val="000000"/>
          <w:lang w:val="pt-BR"/>
        </w:rPr>
        <w:t>:</w:t>
      </w:r>
      <w:r w:rsidRPr="00FE0DED">
        <w:rPr>
          <w:i/>
          <w:iCs/>
          <w:lang w:val="pt-BR"/>
        </w:rPr>
        <w:t xml:space="preserve"> Trong vòng hai (02) tuần l</w:t>
      </w:r>
      <w:r>
        <w:rPr>
          <w:i/>
          <w:iCs/>
          <w:lang w:val="pt-BR"/>
        </w:rPr>
        <w:t xml:space="preserve">àm việc kể từ Ngày thanh toán, </w:t>
      </w:r>
      <w:r w:rsidRPr="00FE0DED">
        <w:rPr>
          <w:i/>
          <w:iCs/>
          <w:lang w:val="pt-BR"/>
        </w:rPr>
        <w:t>Doanh nghiệp dự án, Nhà đầu tư phải chủ động thực hiện chuyển đổi ngoại tệ trên thị trường thông qua Ngân hàng chuyển đổi.</w:t>
      </w:r>
    </w:p>
    <w:p w:rsidR="004E304C" w:rsidRPr="00FE0DED" w:rsidRDefault="004E304C" w:rsidP="004E304C">
      <w:pPr>
        <w:spacing w:before="120" w:after="120" w:line="252" w:lineRule="auto"/>
        <w:ind w:firstLine="567"/>
        <w:jc w:val="both"/>
        <w:rPr>
          <w:i/>
          <w:iCs/>
          <w:lang w:val="pt-BR"/>
        </w:rPr>
      </w:pPr>
      <w:r w:rsidRPr="00FE0DED">
        <w:rPr>
          <w:i/>
          <w:iCs/>
          <w:lang w:val="pt-BR"/>
        </w:rPr>
        <w:t xml:space="preserve">- </w:t>
      </w:r>
      <w:r w:rsidRPr="00FE0DED">
        <w:rPr>
          <w:b/>
          <w:i/>
          <w:iCs/>
          <w:lang w:val="pt-BR"/>
        </w:rPr>
        <w:t>Bước 2</w:t>
      </w:r>
      <w:r w:rsidRPr="00FE0DED">
        <w:rPr>
          <w:i/>
          <w:iCs/>
          <w:lang w:val="pt-BR"/>
        </w:rPr>
        <w:t xml:space="preserve">: Sau hai (02) tuần làm việc kể từ Ngày Thanh toán, trường hợp không thực hiện chuyển đổi được hết nhu cầu này trên thị trường, Doanh nghiệp dự án, Nhà đầu tư thực hiện thông báo cho Ngân hàng chuyển đổi về số lượng đồng Việt Nam cần hỗ trợ chuyển đổi còn lại. </w:t>
      </w:r>
    </w:p>
    <w:p w:rsidR="004E304C" w:rsidRPr="00FE0DED" w:rsidRDefault="004E304C" w:rsidP="004E304C">
      <w:pPr>
        <w:spacing w:before="240" w:after="120" w:line="340" w:lineRule="exact"/>
        <w:ind w:firstLine="539"/>
        <w:jc w:val="both"/>
        <w:rPr>
          <w:i/>
          <w:iCs/>
          <w:lang w:val="pt-BR"/>
        </w:rPr>
      </w:pPr>
      <w:r w:rsidRPr="00FE0DED">
        <w:rPr>
          <w:i/>
          <w:iCs/>
          <w:lang w:val="pt-BR"/>
        </w:rPr>
        <w:t>-</w:t>
      </w:r>
      <w:r w:rsidRPr="00FE0DED">
        <w:rPr>
          <w:b/>
          <w:i/>
          <w:iCs/>
          <w:lang w:val="pt-BR"/>
        </w:rPr>
        <w:t xml:space="preserve"> Bước 3: </w:t>
      </w:r>
      <w:r w:rsidRPr="00FE0DED">
        <w:rPr>
          <w:i/>
          <w:iCs/>
          <w:lang w:val="pt-BR"/>
        </w:rPr>
        <w:t xml:space="preserve">Vào Ngày Đề nghị chuyển đổi, Ngân hàng chuyển đổi gửi công văn kèm theo hóa đơn có chứng thực đề nghị NHNN (Sở Giao dịch và Vụ Chính sách tiền tệ) hỗ trợ bán ngoại tệ tương ứng với số lượng đồng Việt Nam cần hỗ trợ chuyển đổi còn lại. </w:t>
      </w:r>
    </w:p>
    <w:p w:rsidR="004E304C" w:rsidRPr="00FE0DED" w:rsidRDefault="004E304C" w:rsidP="004E304C">
      <w:pPr>
        <w:spacing w:before="240" w:after="120" w:line="340" w:lineRule="exact"/>
        <w:ind w:firstLine="539"/>
        <w:jc w:val="both"/>
        <w:rPr>
          <w:iCs/>
          <w:lang w:val="pt-BR"/>
        </w:rPr>
      </w:pPr>
      <w:r w:rsidRPr="00FE0DED">
        <w:rPr>
          <w:i/>
          <w:iCs/>
          <w:lang w:val="pt-BR"/>
        </w:rPr>
        <w:t xml:space="preserve">- </w:t>
      </w:r>
      <w:r w:rsidRPr="00FE0DED">
        <w:rPr>
          <w:b/>
          <w:i/>
          <w:iCs/>
          <w:lang w:val="pt-BR"/>
        </w:rPr>
        <w:t>Bước 4:</w:t>
      </w:r>
      <w:r w:rsidRPr="00FE0DED">
        <w:rPr>
          <w:i/>
          <w:iCs/>
          <w:lang w:val="pt-BR"/>
        </w:rPr>
        <w:t xml:space="preserve"> Trong vòng hai (02) tuần làm việc kể từ Ngày Đề nghị chuyển đổi hoặc trong phạm vi số ngày quy định tại GGU của từng Dự án, căn cứ quy định tại GGU, trạng thái ngoại tệ của Ngân hàng chuyển đổi và quy định tại Thông tư này, NHNN (Sở Giao dịch) thực hiện kiểm tra hóa đơn, chứng từ liên quan và bán ngoại tệ từ Quỹ Bình ổn tỷ giá và quản lý thị trường vàng cho Ngân hàng chuyển đổi theo Tỷ giá bán hỗ trợ ngoại tệ của NHNN.</w:t>
      </w:r>
    </w:p>
    <w:p w:rsidR="004E304C" w:rsidRPr="00FE0DED" w:rsidRDefault="004E304C" w:rsidP="004E304C">
      <w:pPr>
        <w:spacing w:before="240" w:after="120" w:line="340" w:lineRule="exact"/>
        <w:ind w:firstLine="539"/>
        <w:jc w:val="both"/>
        <w:rPr>
          <w:i/>
          <w:iCs/>
          <w:lang w:val="pt-BR"/>
        </w:rPr>
      </w:pPr>
      <w:r w:rsidRPr="00FE0DED">
        <w:rPr>
          <w:i/>
          <w:iCs/>
          <w:lang w:val="pt-BR"/>
        </w:rPr>
        <w:t xml:space="preserve">- </w:t>
      </w:r>
      <w:r w:rsidRPr="00FE0DED">
        <w:rPr>
          <w:b/>
          <w:i/>
          <w:iCs/>
          <w:lang w:val="pt-BR"/>
        </w:rPr>
        <w:t>Bước 5:</w:t>
      </w:r>
      <w:r w:rsidRPr="00FE0DED">
        <w:rPr>
          <w:i/>
          <w:iCs/>
          <w:lang w:val="pt-BR"/>
        </w:rPr>
        <w:t>Trong vòng hai (02) ngày làm việc kể từ Ngày Chuyển đổi, Ngân hàng chuyển đổi thực hiện bán ngoại tệ và chuyển vào Tài khoản số 2 cho Doanh nghiệp dự án, Nhà đầu tư theo Tỷ giá bán hỗ trợ ngoại tệ của NHNN.</w:t>
      </w:r>
    </w:p>
    <w:p w:rsidR="004E304C" w:rsidRPr="00FE0DED" w:rsidRDefault="004E304C" w:rsidP="004E304C">
      <w:pPr>
        <w:spacing w:before="120" w:after="120" w:line="252" w:lineRule="auto"/>
        <w:ind w:firstLine="567"/>
        <w:jc w:val="both"/>
        <w:rPr>
          <w:iCs/>
          <w:color w:val="000000"/>
          <w:lang w:val="pt-BR"/>
        </w:rPr>
      </w:pPr>
      <w:r w:rsidRPr="00FE0DED">
        <w:rPr>
          <w:iCs/>
          <w:color w:val="000000"/>
          <w:lang w:val="pt-BR"/>
        </w:rPr>
        <w:t xml:space="preserve">Quy trình hỗ trợ chuyển đổi khác với Quy trình bảo lãnh chuyển đổi về thời gian thực hiện, theo đó: (i) Nhà đầu tư phải tự chuyển đổi trên thị trường trong vòng 02 tuần làm việc; (ii) NHNN có 04 tuần làm việc (kể từ Ngày Thanh toán) để thực hiện việc bán ngoại tệ cho Ngân hàng chuyển đổi; (iii) Tỷ giá NHNN bán cho Ngân hàng chuyển đổi là Tỷ giá Thông báo. Quy định này là phù hợp với GGU nhằm nâng cao trách nhiệm </w:t>
      </w:r>
      <w:r w:rsidRPr="00FE0DED">
        <w:rPr>
          <w:lang w:val="sv-SE"/>
        </w:rPr>
        <w:t>và nỗ lực của Nhà đầu tư trong việc tìm nguồn ngoại tệ trên thị trường để chuyển đổi trước khi đề nghị NHNN bán hỗ trợ.</w:t>
      </w:r>
    </w:p>
    <w:p w:rsidR="004E304C" w:rsidRPr="00FE0DED" w:rsidRDefault="004E304C" w:rsidP="004E304C">
      <w:pPr>
        <w:spacing w:before="120" w:after="120" w:line="252" w:lineRule="auto"/>
        <w:ind w:firstLine="567"/>
        <w:jc w:val="both"/>
        <w:rPr>
          <w:b/>
          <w:color w:val="000000"/>
          <w:lang w:val="pt-BR"/>
        </w:rPr>
      </w:pPr>
      <w:r w:rsidRPr="00FE0DED">
        <w:rPr>
          <w:b/>
          <w:color w:val="000000"/>
          <w:lang w:val="pt-BR"/>
        </w:rPr>
        <w:t xml:space="preserve">6.4/ Về tỷ giá áp dụng trong trường hợp NHNN bán ngoại tệ cho Ngân hàng chuyển đổi: </w:t>
      </w:r>
    </w:p>
    <w:p w:rsidR="004E304C" w:rsidRPr="00FE0DED" w:rsidRDefault="004E304C" w:rsidP="004E304C">
      <w:pPr>
        <w:spacing w:before="120" w:after="120" w:line="252" w:lineRule="auto"/>
        <w:ind w:firstLine="567"/>
        <w:jc w:val="both"/>
      </w:pPr>
      <w:r w:rsidRPr="00FE0DED">
        <w:rPr>
          <w:color w:val="000000"/>
          <w:lang w:val="pt-BR"/>
        </w:rPr>
        <w:t xml:space="preserve">Quyết định 218 hướng dẫn việc bán ngoại tệ cho các dự án được bảo lãnh 100% nhu cầu chuyển đổi ngoại tệ, theo đó quy định tỷ giá áp dụng trong trường hợp NHNN bán ngoại tệ từ Quỹ Bình ổn tỷ giá và giá vàng cho Ngân hàng </w:t>
      </w:r>
      <w:r w:rsidRPr="00FE0DED">
        <w:rPr>
          <w:color w:val="000000"/>
          <w:lang w:val="pt-BR"/>
        </w:rPr>
        <w:lastRenderedPageBreak/>
        <w:t>chuyển đổi là Tỷ giá kỳ hạn. Tuy nhiên, hiện nay quy định về Tỷ giá kỳ hạn không còn phù hợp, do vậy dự thảo Thông tư đã bỏ khái niệm này.</w:t>
      </w:r>
    </w:p>
    <w:p w:rsidR="004E304C" w:rsidRPr="00FE0DED" w:rsidRDefault="004E304C" w:rsidP="004E304C">
      <w:pPr>
        <w:spacing w:before="100" w:after="100" w:line="252" w:lineRule="auto"/>
        <w:ind w:firstLine="533"/>
        <w:jc w:val="both"/>
      </w:pPr>
      <w:r w:rsidRPr="00FE0DED">
        <w:t xml:space="preserve">Căn cứ cơ chế bảo lãnh hiện nay của Chính phủ, dự thảo Thông tư quy định về Tỷ giá áp dụng trong trường hợp NHNN bán ngoại tệ cho Ngân hàng chuyển đổi theo hướng: </w:t>
      </w:r>
    </w:p>
    <w:p w:rsidR="004E304C" w:rsidRPr="00FE0DED" w:rsidRDefault="004E304C" w:rsidP="004E304C">
      <w:pPr>
        <w:spacing w:before="120" w:after="120" w:line="252" w:lineRule="auto"/>
        <w:ind w:firstLine="567"/>
        <w:jc w:val="both"/>
        <w:rPr>
          <w:color w:val="000000"/>
          <w:lang w:val="pt-BR"/>
        </w:rPr>
      </w:pPr>
      <w:r w:rsidRPr="00FE0DED">
        <w:rPr>
          <w:b/>
        </w:rPr>
        <w:t>(i)</w:t>
      </w:r>
      <w:r w:rsidRPr="00FE0DED">
        <w:rPr>
          <w:b/>
          <w:i/>
          <w:iCs/>
          <w:lang w:val="pt-BR"/>
        </w:rPr>
        <w:t>Đối với nhu cầu chuyển đổi ngoại tệ được Chính phủ</w:t>
      </w:r>
      <w:r w:rsidRPr="00FE0DED">
        <w:rPr>
          <w:b/>
          <w:i/>
          <w:lang w:val="pt-BR"/>
        </w:rPr>
        <w:t xml:space="preserve"> cam kết bảo lãnh chuyển đổi</w:t>
      </w:r>
      <w:r w:rsidRPr="00FE0DED">
        <w:rPr>
          <w:i/>
          <w:lang w:val="pt-BR"/>
        </w:rPr>
        <w:t>:</w:t>
      </w:r>
      <w:r w:rsidRPr="00FE0DED">
        <w:rPr>
          <w:lang w:val="pt-BR"/>
        </w:rPr>
        <w:t xml:space="preserve"> Dự thảo Thông tư quy định:</w:t>
      </w:r>
      <w:r w:rsidRPr="00FE0DED">
        <w:rPr>
          <w:i/>
          <w:color w:val="000000"/>
          <w:lang w:val="pt-BR"/>
        </w:rPr>
        <w:t xml:space="preserve">NHNN bán ngoại tệ từ Quỹ Bình ổn tỷ giá và giá vàng cho Ngân hàng chuyển đổi </w:t>
      </w:r>
      <w:r w:rsidRPr="00FE0DED">
        <w:rPr>
          <w:i/>
          <w:color w:val="000000"/>
          <w:u w:val="single"/>
          <w:lang w:val="pt-BR"/>
        </w:rPr>
        <w:t xml:space="preserve">theo Tỷ giá </w:t>
      </w:r>
      <w:r w:rsidRPr="00FE0DED">
        <w:rPr>
          <w:i/>
          <w:iCs/>
          <w:u w:val="single"/>
          <w:lang w:val="pt-BR"/>
        </w:rPr>
        <w:t>Thông báo (</w:t>
      </w:r>
      <w:r w:rsidRPr="00FE0DED">
        <w:rPr>
          <w:i/>
          <w:lang w:val="pt-BR"/>
        </w:rPr>
        <w:t>là tỷ giá hối đoái giữa ngoại tệ và đồng Việt Nam do Ngân hàng chuyển đổi thông báo cho Doanh nghiệp dự án, Nhà đầu tư theo thời gian được quy định tại GGU của từng Dự án</w:t>
      </w:r>
      <w:r w:rsidRPr="00FE0DED">
        <w:rPr>
          <w:i/>
          <w:iCs/>
          <w:lang w:val="pt-BR"/>
        </w:rPr>
        <w:t xml:space="preserve">). </w:t>
      </w:r>
      <w:r w:rsidRPr="00FE0DED">
        <w:rPr>
          <w:iCs/>
          <w:lang w:val="pt-BR"/>
        </w:rPr>
        <w:t>Thực tế, nội dung này được quy định tại các GGU và được NHNN (Sở giao dịch) áp dụng thực hiện trong thời gian qua.</w:t>
      </w:r>
    </w:p>
    <w:p w:rsidR="004E304C" w:rsidRPr="00FE0DED" w:rsidRDefault="004E304C" w:rsidP="004E304C">
      <w:pPr>
        <w:spacing w:before="120" w:after="120" w:line="252" w:lineRule="auto"/>
        <w:ind w:firstLine="567"/>
        <w:jc w:val="both"/>
        <w:rPr>
          <w:color w:val="000000"/>
          <w:lang w:val="pt-BR"/>
        </w:rPr>
      </w:pPr>
      <w:r w:rsidRPr="00FE0DED">
        <w:rPr>
          <w:b/>
          <w:color w:val="000000"/>
          <w:lang w:val="pt-BR"/>
        </w:rPr>
        <w:t>(ii)</w:t>
      </w:r>
      <w:r w:rsidRPr="00FE0DED">
        <w:rPr>
          <w:b/>
          <w:i/>
          <w:color w:val="000000"/>
          <w:lang w:val="pt-BR"/>
        </w:rPr>
        <w:t>Đối với nhu cầu chuyển đổi ngoại tệ được Chính phủ cam kết hỗ trợ chuyển đổi</w:t>
      </w:r>
      <w:r w:rsidRPr="00FE0DED">
        <w:rPr>
          <w:i/>
          <w:color w:val="000000"/>
          <w:lang w:val="pt-BR"/>
        </w:rPr>
        <w:t>:</w:t>
      </w:r>
      <w:r w:rsidRPr="00FE0DED">
        <w:rPr>
          <w:color w:val="000000"/>
          <w:lang w:val="pt-BR"/>
        </w:rPr>
        <w:t xml:space="preserve"> Thực tế, các GGU không quy định cụ thể về Tỷ giá áp dụng trong trường hợp này mà chỉ quy định chung theo hướng: </w:t>
      </w:r>
      <w:r w:rsidRPr="00FE0DED">
        <w:rPr>
          <w:i/>
          <w:color w:val="000000"/>
          <w:lang w:val="pt-BR"/>
        </w:rPr>
        <w:t xml:space="preserve">NHNN sẽ bán số lượng ngoại tệ thiếu hụt cho Ngân hàng chuyển đổi để Nhà đầu tư chuyển đổi </w:t>
      </w:r>
      <w:r>
        <w:rPr>
          <w:i/>
          <w:color w:val="000000"/>
          <w:lang w:val="pt-BR"/>
        </w:rPr>
        <w:t>số lượng đồng</w:t>
      </w:r>
      <w:r w:rsidRPr="00FE0DED">
        <w:rPr>
          <w:i/>
          <w:color w:val="000000"/>
          <w:lang w:val="pt-BR"/>
        </w:rPr>
        <w:t xml:space="preserve"> Việt nam còn lại theo tỷ giá hối đoái được thông báo vào ngày có liên quan”</w:t>
      </w:r>
      <w:r w:rsidRPr="00FE0DED">
        <w:rPr>
          <w:color w:val="000000"/>
          <w:lang w:val="pt-BR"/>
        </w:rPr>
        <w:t xml:space="preserve">. </w:t>
      </w:r>
      <w:r w:rsidRPr="00FE0DED">
        <w:rPr>
          <w:color w:val="000000"/>
        </w:rPr>
        <w:t>Trên cơ sở tiếp thu ý kiến của các Vụ</w:t>
      </w:r>
      <w:r>
        <w:rPr>
          <w:color w:val="000000"/>
        </w:rPr>
        <w:t xml:space="preserve"> (Chính sách tiền tệ và Sở giao dịch)</w:t>
      </w:r>
      <w:r w:rsidRPr="00FE0DED">
        <w:rPr>
          <w:color w:val="000000"/>
        </w:rPr>
        <w:t>, dự thảo Thông tư quy định:</w:t>
      </w:r>
    </w:p>
    <w:p w:rsidR="004E304C" w:rsidRPr="00FE0DED" w:rsidRDefault="004E304C" w:rsidP="004E304C">
      <w:pPr>
        <w:spacing w:before="120" w:after="120" w:line="252" w:lineRule="auto"/>
        <w:ind w:firstLine="567"/>
        <w:jc w:val="both"/>
        <w:rPr>
          <w:i/>
          <w:color w:val="000000"/>
          <w:lang w:val="pt-BR"/>
        </w:rPr>
      </w:pPr>
      <w:r w:rsidRPr="00FE0DED">
        <w:rPr>
          <w:i/>
          <w:color w:val="000000"/>
          <w:lang w:val="pt-BR"/>
        </w:rPr>
        <w:t xml:space="preserve">NHNN bán ngoại tệ từ Quỹ Bình ổn tỷ giá và giá vàng cho Ngân hàng chuyển đổi đối với nhu cầu này theo </w:t>
      </w:r>
      <w:r w:rsidRPr="00FE0DED">
        <w:rPr>
          <w:b/>
          <w:i/>
          <w:color w:val="000000"/>
          <w:lang w:val="pt-BR"/>
        </w:rPr>
        <w:t>Tỷ giá bán ngoại tệ can thiệp của NHNN công bố sau 14h chiều Ngày chuyển đổi</w:t>
      </w:r>
      <w:r w:rsidRPr="00FE0DED">
        <w:rPr>
          <w:i/>
          <w:color w:val="000000"/>
          <w:lang w:val="pt-BR"/>
        </w:rPr>
        <w:t xml:space="preserve">. Đồng thời, </w:t>
      </w:r>
      <w:r>
        <w:rPr>
          <w:i/>
          <w:color w:val="000000"/>
          <w:lang w:val="pt-BR"/>
        </w:rPr>
        <w:t>Ngân hàng chuyển đổi</w:t>
      </w:r>
      <w:r w:rsidRPr="00FE0DED">
        <w:rPr>
          <w:i/>
          <w:color w:val="000000"/>
          <w:lang w:val="pt-BR"/>
        </w:rPr>
        <w:t xml:space="preserve"> bán lại ngoại tệ cho Doanh nghiệp dự án và Nhà đầu tư theo Tỷ giá này.</w:t>
      </w:r>
    </w:p>
    <w:p w:rsidR="004E304C" w:rsidRPr="00FE0DED" w:rsidRDefault="004E304C" w:rsidP="004E304C">
      <w:pPr>
        <w:spacing w:before="120" w:after="120" w:line="252" w:lineRule="auto"/>
        <w:ind w:firstLine="567"/>
        <w:jc w:val="both"/>
        <w:rPr>
          <w:color w:val="000000"/>
          <w:lang w:val="pt-BR"/>
        </w:rPr>
      </w:pPr>
      <w:r w:rsidRPr="00FE0DED">
        <w:rPr>
          <w:color w:val="000000"/>
          <w:lang w:val="pt-BR"/>
        </w:rPr>
        <w:t xml:space="preserve">Quy định này nhằm đảm bảo được các mục tiêu: (i) Chính phủ hỗ trợ nhu cầu chuyển đổi còn lại; (ii) Tỷ giá áp dụng trong trường hợp này là tỷ giá bán cao nhất, bám sát thị trường và NHNN không bảo lãnh về tỷ </w:t>
      </w:r>
      <w:r>
        <w:rPr>
          <w:color w:val="000000"/>
          <w:lang w:val="pt-BR"/>
        </w:rPr>
        <w:t>giá cho dự án; (iii) Ngân hàng c</w:t>
      </w:r>
      <w:r w:rsidRPr="00FE0DED">
        <w:rPr>
          <w:color w:val="000000"/>
          <w:lang w:val="pt-BR"/>
        </w:rPr>
        <w:t>huyển đổi giữ đúng vai trò là trung gian thực hiện cam kết chuyển đổi ngoại tệ của Chính phủ, không được thực hiện mục tiêu thu lợi nhuận do chênh lệch giữa tỷ giá mua ngoại tệ từ NHNN và Tỷ giá bán lại ngoại tệ cho Doanh nghiệp dự án và Nhà đầu tư.</w:t>
      </w:r>
    </w:p>
    <w:p w:rsidR="004E304C" w:rsidRPr="00FE0DED" w:rsidRDefault="004E304C" w:rsidP="004E304C">
      <w:pPr>
        <w:tabs>
          <w:tab w:val="left" w:pos="567"/>
        </w:tabs>
        <w:spacing w:before="120" w:after="120" w:line="252" w:lineRule="auto"/>
        <w:ind w:firstLine="567"/>
        <w:jc w:val="both"/>
        <w:rPr>
          <w:b/>
          <w:bCs/>
          <w:color w:val="000000"/>
        </w:rPr>
      </w:pPr>
      <w:r w:rsidRPr="00FE0DED">
        <w:rPr>
          <w:b/>
          <w:bCs/>
          <w:color w:val="000000"/>
        </w:rPr>
        <w:tab/>
        <w:t>7/ Các nội dung quy định khác</w:t>
      </w:r>
      <w:r>
        <w:rPr>
          <w:b/>
          <w:bCs/>
          <w:color w:val="000000"/>
        </w:rPr>
        <w:t>:</w:t>
      </w:r>
    </w:p>
    <w:p w:rsidR="004E304C" w:rsidRPr="00FE0DED" w:rsidRDefault="004E304C" w:rsidP="004E304C">
      <w:pPr>
        <w:tabs>
          <w:tab w:val="left" w:pos="567"/>
        </w:tabs>
        <w:spacing w:before="120" w:after="120" w:line="252" w:lineRule="auto"/>
        <w:ind w:firstLine="567"/>
        <w:jc w:val="both"/>
        <w:rPr>
          <w:bCs/>
          <w:color w:val="000000"/>
        </w:rPr>
      </w:pPr>
      <w:r w:rsidRPr="00FE0DED">
        <w:rPr>
          <w:b/>
          <w:bCs/>
          <w:color w:val="000000"/>
        </w:rPr>
        <w:tab/>
      </w:r>
      <w:r w:rsidRPr="00FE0DED">
        <w:rPr>
          <w:bCs/>
          <w:color w:val="000000"/>
        </w:rPr>
        <w:t xml:space="preserve">Ngoài các nội dung chính nêu trên, dự thảo Thông tư còn bao gồm các nội dung quy định về: </w:t>
      </w:r>
    </w:p>
    <w:p w:rsidR="004E304C" w:rsidRPr="00FE0DED" w:rsidRDefault="004E304C" w:rsidP="004E304C">
      <w:pPr>
        <w:tabs>
          <w:tab w:val="left" w:pos="567"/>
        </w:tabs>
        <w:spacing w:before="120" w:after="120" w:line="252" w:lineRule="auto"/>
        <w:ind w:firstLine="567"/>
        <w:jc w:val="both"/>
      </w:pPr>
      <w:r w:rsidRPr="00FE0DED">
        <w:tab/>
        <w:t xml:space="preserve">(i) Về trách nhiệm của các bên liên quan gồm: nhà đầu tư, Ngân hàng chuyển đổi, các đơn vị thuộc NHNN (Vụ QLNH, Sở giao dịch, Vụ Kế toán </w:t>
      </w:r>
      <w:r>
        <w:t>-</w:t>
      </w:r>
      <w:r w:rsidRPr="00FE0DED">
        <w:t xml:space="preserve"> Tài chính).</w:t>
      </w:r>
    </w:p>
    <w:p w:rsidR="004E304C" w:rsidRPr="00FE0DED" w:rsidRDefault="004E304C" w:rsidP="004E304C">
      <w:pPr>
        <w:tabs>
          <w:tab w:val="left" w:pos="567"/>
        </w:tabs>
        <w:spacing w:before="120" w:after="120" w:line="252" w:lineRule="auto"/>
        <w:ind w:firstLine="567"/>
        <w:jc w:val="both"/>
      </w:pPr>
      <w:r w:rsidRPr="00FE0DED">
        <w:tab/>
        <w:t>(ii) Về chế độ báo cáo thống kê áp dụng đối với Ngân hàng chuyển đổi, Nhà đầu tư và các đơn vị thuộc NHNN.</w:t>
      </w:r>
    </w:p>
    <w:p w:rsidR="004E304C" w:rsidRPr="00FE0DED" w:rsidRDefault="004E304C" w:rsidP="004E304C">
      <w:pPr>
        <w:tabs>
          <w:tab w:val="left" w:pos="567"/>
        </w:tabs>
        <w:spacing w:before="120" w:after="120" w:line="252" w:lineRule="auto"/>
        <w:ind w:firstLine="567"/>
        <w:jc w:val="both"/>
      </w:pPr>
      <w:r w:rsidRPr="00FE0DED">
        <w:tab/>
        <w:t>(iii) Điều khoản thi hành.</w:t>
      </w:r>
    </w:p>
    <w:p w:rsidR="004E304C" w:rsidRPr="004E304C" w:rsidRDefault="004E304C" w:rsidP="004E304C">
      <w:pPr>
        <w:spacing w:before="120" w:after="120" w:line="252" w:lineRule="auto"/>
        <w:ind w:firstLine="567"/>
        <w:jc w:val="both"/>
        <w:rPr>
          <w:noProof/>
        </w:rPr>
      </w:pPr>
      <w:r w:rsidRPr="00FE0DED">
        <w:rPr>
          <w:noProof/>
        </w:rPr>
        <w:lastRenderedPageBreak/>
        <w:t>Về cơ bản, các quy định này được xây dựng trên cơ sở kế th</w:t>
      </w:r>
      <w:r>
        <w:rPr>
          <w:noProof/>
        </w:rPr>
        <w:t xml:space="preserve">ừa quy định tại Quyết định 218, </w:t>
      </w:r>
      <w:r w:rsidRPr="00FE0DED">
        <w:rPr>
          <w:noProof/>
        </w:rPr>
        <w:t>có cập nhập các nội dung mới quy định tại Nghị định</w:t>
      </w:r>
      <w:r w:rsidRPr="00FE0DED">
        <w:rPr>
          <w:lang w:val="sv-SE"/>
        </w:rPr>
        <w:t xml:space="preserve"> 50/2014/NĐ-CP của Chính phủ về quản lý dự trữ ngoại hối nhà nước, quy định mới về chế độ báo cáo thống kê</w:t>
      </w:r>
      <w:r w:rsidRPr="00FE0DED">
        <w:rPr>
          <w:noProof/>
        </w:rPr>
        <w:t xml:space="preserve"> và chỉnh sửa về kỹ thuật soạn thảo (xin giải</w:t>
      </w:r>
      <w:r>
        <w:rPr>
          <w:noProof/>
        </w:rPr>
        <w:t xml:space="preserve"> trình chi tiết tại Bản Thuyết m</w:t>
      </w:r>
      <w:r w:rsidRPr="00FE0DED">
        <w:rPr>
          <w:noProof/>
        </w:rPr>
        <w:t xml:space="preserve">inh trình kèm).  </w:t>
      </w:r>
      <w:bookmarkStart w:id="0" w:name="_GoBack"/>
      <w:bookmarkEnd w:id="0"/>
    </w:p>
    <w:p w:rsidR="00374AD5" w:rsidRPr="006C526F" w:rsidRDefault="00374AD5" w:rsidP="00C434E6">
      <w:pPr>
        <w:spacing w:before="120" w:after="120" w:line="252" w:lineRule="auto"/>
        <w:ind w:firstLine="567"/>
        <w:jc w:val="both"/>
        <w:rPr>
          <w:lang w:val="sv-SE"/>
        </w:rPr>
      </w:pPr>
      <w:r w:rsidRPr="00592139">
        <w:rPr>
          <w:lang w:val="sv-SE"/>
        </w:rPr>
        <w:t xml:space="preserve">Trên đây là một số nội dung </w:t>
      </w:r>
      <w:r w:rsidR="00592139">
        <w:rPr>
          <w:lang w:val="sv-SE"/>
        </w:rPr>
        <w:t>chính</w:t>
      </w:r>
      <w:r w:rsidRPr="00592139">
        <w:rPr>
          <w:lang w:val="sv-SE"/>
        </w:rPr>
        <w:t xml:space="preserve"> của</w:t>
      </w:r>
      <w:r w:rsidR="00592139">
        <w:rPr>
          <w:lang w:val="sv-SE"/>
        </w:rPr>
        <w:t xml:space="preserve"> dự thảo</w:t>
      </w:r>
      <w:r w:rsidR="00592139" w:rsidRPr="00592139">
        <w:rPr>
          <w:lang w:val="sv-SE"/>
        </w:rPr>
        <w:t xml:space="preserve">Thông tư hướng dẫn về quy trình </w:t>
      </w:r>
      <w:r w:rsidR="009B708C">
        <w:rPr>
          <w:lang w:val="sv-SE"/>
        </w:rPr>
        <w:t>chuyển đổi</w:t>
      </w:r>
      <w:r w:rsidR="00592139" w:rsidRPr="00592139">
        <w:rPr>
          <w:lang w:val="sv-SE"/>
        </w:rPr>
        <w:t xml:space="preserve"> ngoại tệ của Ngân hàng Nhà nước cho các dự án được Chính phủ cam kết bảo lãnh và hỗ trợ chuyển đổi</w:t>
      </w:r>
      <w:r w:rsidR="006C526F">
        <w:rPr>
          <w:lang w:val="sv-SE"/>
        </w:rPr>
        <w:t>.</w:t>
      </w:r>
      <w:r w:rsidRPr="00C86688">
        <w:rPr>
          <w:color w:val="000000" w:themeColor="text1"/>
          <w:lang w:val="pt-BR"/>
        </w:rPr>
        <w:t xml:space="preserve">Tổ soạn thảo rất mong nhận được sự tham gia góp ý của các đơn vị đối với nội dung dự thảo Thông tư. </w:t>
      </w:r>
    </w:p>
    <w:p w:rsidR="00374AD5" w:rsidRPr="00C86688" w:rsidRDefault="00374AD5" w:rsidP="00C434E6">
      <w:pPr>
        <w:tabs>
          <w:tab w:val="left" w:pos="567"/>
        </w:tabs>
        <w:spacing w:before="120" w:after="120" w:line="252" w:lineRule="auto"/>
        <w:ind w:firstLine="567"/>
        <w:jc w:val="both"/>
        <w:rPr>
          <w:color w:val="000000" w:themeColor="text1"/>
          <w:lang w:val="pt-BR"/>
        </w:rPr>
      </w:pPr>
      <w:r w:rsidRPr="00C86688">
        <w:rPr>
          <w:color w:val="000000" w:themeColor="text1"/>
          <w:lang w:val="pt-BR"/>
        </w:rPr>
        <w:t xml:space="preserve">Ý kiến tham gia đề nghị gửi về Vụ Quản lý Ngoại hối, Ngân hàng Nhà nước Việt Nam (47-49 Lý Thái tổ, Hoàn kiếm, Hà Nội) hoặc qua Email: </w:t>
      </w:r>
      <w:hyperlink r:id="rId7" w:history="1">
        <w:r w:rsidRPr="00C86688">
          <w:rPr>
            <w:rStyle w:val="Hyperlink"/>
            <w:color w:val="000000" w:themeColor="text1"/>
            <w:lang w:val="pt-BR"/>
          </w:rPr>
          <w:t>phongdautu@sbv.gov.vn</w:t>
        </w:r>
      </w:hyperlink>
      <w:r w:rsidRPr="00C86688">
        <w:rPr>
          <w:color w:val="000000" w:themeColor="text1"/>
          <w:lang w:val="pt-BR"/>
        </w:rPr>
        <w:t>.</w:t>
      </w:r>
    </w:p>
    <w:p w:rsidR="00374AD5" w:rsidRPr="00C86688" w:rsidRDefault="00374AD5" w:rsidP="00C434E6">
      <w:pPr>
        <w:tabs>
          <w:tab w:val="left" w:pos="567"/>
        </w:tabs>
        <w:spacing w:before="120" w:after="120" w:line="252" w:lineRule="auto"/>
        <w:ind w:firstLine="567"/>
        <w:jc w:val="both"/>
        <w:rPr>
          <w:b/>
          <w:color w:val="000000" w:themeColor="text1"/>
        </w:rPr>
      </w:pPr>
      <w:r w:rsidRPr="00C86688">
        <w:rPr>
          <w:color w:val="000000" w:themeColor="text1"/>
          <w:lang w:val="pt-BR"/>
        </w:rPr>
        <w:tab/>
      </w:r>
      <w:r w:rsidRPr="00C86688">
        <w:rPr>
          <w:color w:val="000000" w:themeColor="text1"/>
          <w:lang w:val="pt-BR"/>
        </w:rPr>
        <w:tab/>
      </w:r>
      <w:r w:rsidRPr="00C86688">
        <w:rPr>
          <w:color w:val="000000" w:themeColor="text1"/>
          <w:lang w:val="pt-BR"/>
        </w:rPr>
        <w:tab/>
      </w:r>
      <w:r w:rsidRPr="00C86688">
        <w:rPr>
          <w:color w:val="000000" w:themeColor="text1"/>
          <w:lang w:val="pt-BR"/>
        </w:rPr>
        <w:tab/>
      </w:r>
      <w:r w:rsidRPr="00C86688">
        <w:rPr>
          <w:color w:val="000000" w:themeColor="text1"/>
          <w:lang w:val="pt-BR"/>
        </w:rPr>
        <w:tab/>
      </w:r>
      <w:r w:rsidRPr="00C86688">
        <w:rPr>
          <w:b/>
          <w:color w:val="000000" w:themeColor="text1"/>
        </w:rPr>
        <w:t>VỤ QUẢN LÝ NGOẠI HỐI</w:t>
      </w:r>
    </w:p>
    <w:p w:rsidR="00DC11FB" w:rsidRDefault="00DC11FB" w:rsidP="004F3966">
      <w:pPr>
        <w:spacing w:before="120" w:after="120" w:line="252" w:lineRule="auto"/>
        <w:rPr>
          <w:color w:val="000000" w:themeColor="text1"/>
        </w:rPr>
      </w:pPr>
      <w:r>
        <w:rPr>
          <w:color w:val="000000" w:themeColor="text1"/>
        </w:rPr>
        <w:br w:type="page"/>
      </w:r>
    </w:p>
    <w:p w:rsidR="00374AD5" w:rsidRPr="00DC11FB" w:rsidRDefault="00374AD5" w:rsidP="00374AD5">
      <w:pPr>
        <w:spacing w:after="120" w:line="247" w:lineRule="auto"/>
        <w:rPr>
          <w:color w:val="000000" w:themeColor="text1"/>
          <w:lang w:val="pt-BR"/>
        </w:rPr>
      </w:pPr>
    </w:p>
    <w:sectPr w:rsidR="00374AD5" w:rsidRPr="00DC11FB" w:rsidSect="00D67EC2">
      <w:footerReference w:type="even" r:id="rId8"/>
      <w:footerReference w:type="default" r:id="rId9"/>
      <w:pgSz w:w="11907" w:h="16840" w:code="9"/>
      <w:pgMar w:top="1134" w:right="907" w:bottom="1021" w:left="1871" w:header="851" w:footer="4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6D9" w:rsidRDefault="00C756D9" w:rsidP="00182BDB">
      <w:r>
        <w:separator/>
      </w:r>
    </w:p>
  </w:endnote>
  <w:endnote w:type="continuationSeparator" w:id="1">
    <w:p w:rsidR="00C756D9" w:rsidRDefault="00C756D9" w:rsidP="00182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CD" w:rsidRDefault="00AA4E48" w:rsidP="00AB5351">
    <w:pPr>
      <w:pStyle w:val="Footer"/>
      <w:framePr w:wrap="around" w:vAnchor="text" w:hAnchor="margin" w:xAlign="center" w:y="1"/>
      <w:rPr>
        <w:rStyle w:val="PageNumber"/>
      </w:rPr>
    </w:pPr>
    <w:r>
      <w:rPr>
        <w:rStyle w:val="PageNumber"/>
      </w:rPr>
      <w:fldChar w:fldCharType="begin"/>
    </w:r>
    <w:r w:rsidR="00CC592E">
      <w:rPr>
        <w:rStyle w:val="PageNumber"/>
      </w:rPr>
      <w:instrText xml:space="preserve">PAGE  </w:instrText>
    </w:r>
    <w:r>
      <w:rPr>
        <w:rStyle w:val="PageNumber"/>
      </w:rPr>
      <w:fldChar w:fldCharType="end"/>
    </w:r>
  </w:p>
  <w:p w:rsidR="008C64CD" w:rsidRDefault="00C75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CD" w:rsidRDefault="00AA4E48">
    <w:pPr>
      <w:pStyle w:val="Footer"/>
      <w:jc w:val="right"/>
    </w:pPr>
    <w:r>
      <w:fldChar w:fldCharType="begin"/>
    </w:r>
    <w:r w:rsidR="00CC592E">
      <w:instrText xml:space="preserve"> PAGE   \* MERGEFORMAT </w:instrText>
    </w:r>
    <w:r>
      <w:fldChar w:fldCharType="separate"/>
    </w:r>
    <w:r w:rsidR="00B67501">
      <w:rPr>
        <w:noProof/>
      </w:rPr>
      <w:t>1</w:t>
    </w:r>
    <w:r>
      <w:rPr>
        <w:noProof/>
      </w:rPr>
      <w:fldChar w:fldCharType="end"/>
    </w:r>
  </w:p>
  <w:p w:rsidR="008C64CD" w:rsidRDefault="00C75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6D9" w:rsidRDefault="00C756D9" w:rsidP="00182BDB">
      <w:r>
        <w:separator/>
      </w:r>
    </w:p>
  </w:footnote>
  <w:footnote w:type="continuationSeparator" w:id="1">
    <w:p w:rsidR="00C756D9" w:rsidRDefault="00C756D9" w:rsidP="00182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374AD5"/>
    <w:rsid w:val="00002CA0"/>
    <w:rsid w:val="000031AD"/>
    <w:rsid w:val="00003E44"/>
    <w:rsid w:val="00005002"/>
    <w:rsid w:val="00006246"/>
    <w:rsid w:val="000148C3"/>
    <w:rsid w:val="00015653"/>
    <w:rsid w:val="00017025"/>
    <w:rsid w:val="00017FA9"/>
    <w:rsid w:val="00020CCD"/>
    <w:rsid w:val="00032F3B"/>
    <w:rsid w:val="0004509C"/>
    <w:rsid w:val="00071942"/>
    <w:rsid w:val="0007619A"/>
    <w:rsid w:val="0007661F"/>
    <w:rsid w:val="000A1577"/>
    <w:rsid w:val="000A507C"/>
    <w:rsid w:val="000A76BF"/>
    <w:rsid w:val="000B5BFC"/>
    <w:rsid w:val="000C2B05"/>
    <w:rsid w:val="000D7084"/>
    <w:rsid w:val="001038E4"/>
    <w:rsid w:val="00127919"/>
    <w:rsid w:val="001364C7"/>
    <w:rsid w:val="00141FDD"/>
    <w:rsid w:val="00147E43"/>
    <w:rsid w:val="00153429"/>
    <w:rsid w:val="00161822"/>
    <w:rsid w:val="001640AA"/>
    <w:rsid w:val="0018049E"/>
    <w:rsid w:val="00182BDB"/>
    <w:rsid w:val="001B3C3C"/>
    <w:rsid w:val="001B7ACD"/>
    <w:rsid w:val="001B7DA9"/>
    <w:rsid w:val="0020251B"/>
    <w:rsid w:val="002049E5"/>
    <w:rsid w:val="00214006"/>
    <w:rsid w:val="002248E4"/>
    <w:rsid w:val="00224A18"/>
    <w:rsid w:val="00254815"/>
    <w:rsid w:val="00266CC1"/>
    <w:rsid w:val="00271734"/>
    <w:rsid w:val="002867D4"/>
    <w:rsid w:val="002914A7"/>
    <w:rsid w:val="002A7024"/>
    <w:rsid w:val="002B0BF3"/>
    <w:rsid w:val="002B7249"/>
    <w:rsid w:val="002B7742"/>
    <w:rsid w:val="00303E96"/>
    <w:rsid w:val="00306ABA"/>
    <w:rsid w:val="00320C75"/>
    <w:rsid w:val="003455BE"/>
    <w:rsid w:val="00363B64"/>
    <w:rsid w:val="00372E98"/>
    <w:rsid w:val="0037378F"/>
    <w:rsid w:val="00373DCB"/>
    <w:rsid w:val="00374AD5"/>
    <w:rsid w:val="00384E62"/>
    <w:rsid w:val="003939B4"/>
    <w:rsid w:val="003A055B"/>
    <w:rsid w:val="003A1031"/>
    <w:rsid w:val="003A2F3C"/>
    <w:rsid w:val="003A300E"/>
    <w:rsid w:val="003A77D5"/>
    <w:rsid w:val="003B366B"/>
    <w:rsid w:val="003B7B0C"/>
    <w:rsid w:val="003C78BC"/>
    <w:rsid w:val="00400595"/>
    <w:rsid w:val="00421C33"/>
    <w:rsid w:val="00427D1B"/>
    <w:rsid w:val="0045342B"/>
    <w:rsid w:val="00467715"/>
    <w:rsid w:val="00471452"/>
    <w:rsid w:val="004B471F"/>
    <w:rsid w:val="004E304C"/>
    <w:rsid w:val="004E6E4F"/>
    <w:rsid w:val="004F2580"/>
    <w:rsid w:val="004F3966"/>
    <w:rsid w:val="004F50F7"/>
    <w:rsid w:val="0050524C"/>
    <w:rsid w:val="005132AA"/>
    <w:rsid w:val="00516C24"/>
    <w:rsid w:val="00517F21"/>
    <w:rsid w:val="00522EFD"/>
    <w:rsid w:val="00536622"/>
    <w:rsid w:val="00543079"/>
    <w:rsid w:val="00545080"/>
    <w:rsid w:val="00554015"/>
    <w:rsid w:val="0056753E"/>
    <w:rsid w:val="005863FC"/>
    <w:rsid w:val="00590C03"/>
    <w:rsid w:val="0059174A"/>
    <w:rsid w:val="00592139"/>
    <w:rsid w:val="005A37EE"/>
    <w:rsid w:val="005B2FB0"/>
    <w:rsid w:val="005C1865"/>
    <w:rsid w:val="005C4BB5"/>
    <w:rsid w:val="005C7B1C"/>
    <w:rsid w:val="005D2121"/>
    <w:rsid w:val="005D3FD7"/>
    <w:rsid w:val="005E4ECE"/>
    <w:rsid w:val="005F4E66"/>
    <w:rsid w:val="00613B3D"/>
    <w:rsid w:val="0062557E"/>
    <w:rsid w:val="006331F6"/>
    <w:rsid w:val="0065523D"/>
    <w:rsid w:val="00663628"/>
    <w:rsid w:val="00666BA3"/>
    <w:rsid w:val="0067453B"/>
    <w:rsid w:val="0068602F"/>
    <w:rsid w:val="00690BC0"/>
    <w:rsid w:val="006A178A"/>
    <w:rsid w:val="006A22EF"/>
    <w:rsid w:val="006A6DF7"/>
    <w:rsid w:val="006B1310"/>
    <w:rsid w:val="006B52DC"/>
    <w:rsid w:val="006C526F"/>
    <w:rsid w:val="006C5D1E"/>
    <w:rsid w:val="006D1D56"/>
    <w:rsid w:val="006F7192"/>
    <w:rsid w:val="007042F0"/>
    <w:rsid w:val="00706544"/>
    <w:rsid w:val="007137CA"/>
    <w:rsid w:val="007150F7"/>
    <w:rsid w:val="00724D08"/>
    <w:rsid w:val="007351A9"/>
    <w:rsid w:val="007359F2"/>
    <w:rsid w:val="00752624"/>
    <w:rsid w:val="00755790"/>
    <w:rsid w:val="007635ED"/>
    <w:rsid w:val="007670EE"/>
    <w:rsid w:val="007738E2"/>
    <w:rsid w:val="007827B0"/>
    <w:rsid w:val="007879C9"/>
    <w:rsid w:val="0079330A"/>
    <w:rsid w:val="007A3E7D"/>
    <w:rsid w:val="007B0742"/>
    <w:rsid w:val="007B368F"/>
    <w:rsid w:val="007D0FBA"/>
    <w:rsid w:val="007D7532"/>
    <w:rsid w:val="00825E12"/>
    <w:rsid w:val="00833A6E"/>
    <w:rsid w:val="008365B3"/>
    <w:rsid w:val="008402BC"/>
    <w:rsid w:val="00845200"/>
    <w:rsid w:val="00851C44"/>
    <w:rsid w:val="00853587"/>
    <w:rsid w:val="00872C10"/>
    <w:rsid w:val="008800E3"/>
    <w:rsid w:val="00880E07"/>
    <w:rsid w:val="008A3011"/>
    <w:rsid w:val="008B1866"/>
    <w:rsid w:val="008B4894"/>
    <w:rsid w:val="008F08FF"/>
    <w:rsid w:val="00903D78"/>
    <w:rsid w:val="0091313C"/>
    <w:rsid w:val="00923A6A"/>
    <w:rsid w:val="00925133"/>
    <w:rsid w:val="00940380"/>
    <w:rsid w:val="00950886"/>
    <w:rsid w:val="00951991"/>
    <w:rsid w:val="00951D6D"/>
    <w:rsid w:val="0097303B"/>
    <w:rsid w:val="00977098"/>
    <w:rsid w:val="00990054"/>
    <w:rsid w:val="009A2F1C"/>
    <w:rsid w:val="009B0735"/>
    <w:rsid w:val="009B5564"/>
    <w:rsid w:val="009B708C"/>
    <w:rsid w:val="009E35EE"/>
    <w:rsid w:val="009F51DF"/>
    <w:rsid w:val="00A01730"/>
    <w:rsid w:val="00A02BE5"/>
    <w:rsid w:val="00A02BF2"/>
    <w:rsid w:val="00A068E2"/>
    <w:rsid w:val="00A15C2E"/>
    <w:rsid w:val="00A24CD1"/>
    <w:rsid w:val="00A27BCF"/>
    <w:rsid w:val="00A422C7"/>
    <w:rsid w:val="00A4384B"/>
    <w:rsid w:val="00A675DB"/>
    <w:rsid w:val="00A72689"/>
    <w:rsid w:val="00A86646"/>
    <w:rsid w:val="00A94E9E"/>
    <w:rsid w:val="00A97A75"/>
    <w:rsid w:val="00AA4E48"/>
    <w:rsid w:val="00AB1CE1"/>
    <w:rsid w:val="00AC00B9"/>
    <w:rsid w:val="00AD6A1F"/>
    <w:rsid w:val="00AE57BF"/>
    <w:rsid w:val="00B01944"/>
    <w:rsid w:val="00B06B55"/>
    <w:rsid w:val="00B11F2F"/>
    <w:rsid w:val="00B17E6F"/>
    <w:rsid w:val="00B3121B"/>
    <w:rsid w:val="00B31E94"/>
    <w:rsid w:val="00B5048C"/>
    <w:rsid w:val="00B52066"/>
    <w:rsid w:val="00B636BC"/>
    <w:rsid w:val="00B643E6"/>
    <w:rsid w:val="00B67501"/>
    <w:rsid w:val="00B70080"/>
    <w:rsid w:val="00B77250"/>
    <w:rsid w:val="00B80D74"/>
    <w:rsid w:val="00B8659C"/>
    <w:rsid w:val="00BA6725"/>
    <w:rsid w:val="00BB1D34"/>
    <w:rsid w:val="00BB616E"/>
    <w:rsid w:val="00BC53B4"/>
    <w:rsid w:val="00BE2C60"/>
    <w:rsid w:val="00BF774A"/>
    <w:rsid w:val="00C0798B"/>
    <w:rsid w:val="00C27998"/>
    <w:rsid w:val="00C41446"/>
    <w:rsid w:val="00C434E6"/>
    <w:rsid w:val="00C756D9"/>
    <w:rsid w:val="00C83BE1"/>
    <w:rsid w:val="00C86688"/>
    <w:rsid w:val="00C91A7E"/>
    <w:rsid w:val="00CA7951"/>
    <w:rsid w:val="00CB4B08"/>
    <w:rsid w:val="00CB52C3"/>
    <w:rsid w:val="00CB681B"/>
    <w:rsid w:val="00CC592E"/>
    <w:rsid w:val="00CC6C76"/>
    <w:rsid w:val="00CF31CD"/>
    <w:rsid w:val="00CF34A4"/>
    <w:rsid w:val="00D0101A"/>
    <w:rsid w:val="00D02230"/>
    <w:rsid w:val="00D02CC3"/>
    <w:rsid w:val="00D057A5"/>
    <w:rsid w:val="00D202E4"/>
    <w:rsid w:val="00D21FE3"/>
    <w:rsid w:val="00D2698C"/>
    <w:rsid w:val="00D34DEE"/>
    <w:rsid w:val="00D619BE"/>
    <w:rsid w:val="00D67EC2"/>
    <w:rsid w:val="00D76770"/>
    <w:rsid w:val="00D97A67"/>
    <w:rsid w:val="00DB0D42"/>
    <w:rsid w:val="00DC11FB"/>
    <w:rsid w:val="00DC1677"/>
    <w:rsid w:val="00DD06F6"/>
    <w:rsid w:val="00DD7FA5"/>
    <w:rsid w:val="00DF00B0"/>
    <w:rsid w:val="00E16764"/>
    <w:rsid w:val="00E219E1"/>
    <w:rsid w:val="00E42F94"/>
    <w:rsid w:val="00E4421C"/>
    <w:rsid w:val="00E6428F"/>
    <w:rsid w:val="00E71C7C"/>
    <w:rsid w:val="00E86D3E"/>
    <w:rsid w:val="00EA2AE5"/>
    <w:rsid w:val="00EA47F9"/>
    <w:rsid w:val="00EA79FF"/>
    <w:rsid w:val="00EB17AF"/>
    <w:rsid w:val="00EC338E"/>
    <w:rsid w:val="00EC58A5"/>
    <w:rsid w:val="00ED64CD"/>
    <w:rsid w:val="00EF7557"/>
    <w:rsid w:val="00F0519A"/>
    <w:rsid w:val="00F13C09"/>
    <w:rsid w:val="00F17AC3"/>
    <w:rsid w:val="00F26874"/>
    <w:rsid w:val="00F34CDD"/>
    <w:rsid w:val="00F41F46"/>
    <w:rsid w:val="00F734CB"/>
    <w:rsid w:val="00F8763C"/>
    <w:rsid w:val="00F93E98"/>
    <w:rsid w:val="00FB3038"/>
    <w:rsid w:val="00FD6DC3"/>
    <w:rsid w:val="00FE1128"/>
    <w:rsid w:val="00FE1816"/>
    <w:rsid w:val="00FE1F5E"/>
    <w:rsid w:val="00FE380A"/>
    <w:rsid w:val="00FE7D7A"/>
    <w:rsid w:val="00FF7D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D5"/>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qFormat/>
    <w:rsid w:val="00374AD5"/>
    <w:pPr>
      <w:keepNext/>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4AD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374AD5"/>
    <w:pPr>
      <w:tabs>
        <w:tab w:val="center" w:pos="4153"/>
        <w:tab w:val="right" w:pos="8306"/>
      </w:tabs>
    </w:pPr>
    <w:rPr>
      <w:sz w:val="24"/>
      <w:szCs w:val="24"/>
      <w:lang w:val="vi-VN" w:eastAsia="vi-VN"/>
    </w:rPr>
  </w:style>
  <w:style w:type="character" w:customStyle="1" w:styleId="FooterChar">
    <w:name w:val="Footer Char"/>
    <w:basedOn w:val="DefaultParagraphFont"/>
    <w:link w:val="Footer"/>
    <w:uiPriority w:val="99"/>
    <w:rsid w:val="00374AD5"/>
    <w:rPr>
      <w:rFonts w:ascii="Times New Roman" w:eastAsia="Times New Roman" w:hAnsi="Times New Roman" w:cs="Times New Roman"/>
      <w:sz w:val="24"/>
      <w:szCs w:val="24"/>
      <w:lang w:eastAsia="vi-VN"/>
    </w:rPr>
  </w:style>
  <w:style w:type="character" w:styleId="PageNumber">
    <w:name w:val="page number"/>
    <w:basedOn w:val="DefaultParagraphFont"/>
    <w:rsid w:val="00374AD5"/>
  </w:style>
  <w:style w:type="paragraph" w:customStyle="1" w:styleId="normal-p">
    <w:name w:val="normal-p"/>
    <w:basedOn w:val="Normal"/>
    <w:rsid w:val="00374AD5"/>
    <w:rPr>
      <w:sz w:val="20"/>
      <w:szCs w:val="20"/>
    </w:rPr>
  </w:style>
  <w:style w:type="paragraph" w:styleId="NormalWeb">
    <w:name w:val="Normal (Web)"/>
    <w:basedOn w:val="Normal"/>
    <w:rsid w:val="00374AD5"/>
    <w:pPr>
      <w:spacing w:before="100" w:beforeAutospacing="1" w:after="100" w:afterAutospacing="1"/>
    </w:pPr>
    <w:rPr>
      <w:sz w:val="24"/>
      <w:szCs w:val="24"/>
    </w:rPr>
  </w:style>
  <w:style w:type="character" w:styleId="Hyperlink">
    <w:name w:val="Hyperlink"/>
    <w:rsid w:val="00374AD5"/>
    <w:rPr>
      <w:color w:val="0000FF"/>
      <w:u w:val="single"/>
    </w:rPr>
  </w:style>
  <w:style w:type="paragraph" w:styleId="ListParagraph">
    <w:name w:val="List Paragraph"/>
    <w:basedOn w:val="Normal"/>
    <w:qFormat/>
    <w:rsid w:val="00374A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434E6"/>
    <w:rPr>
      <w:rFonts w:ascii="Tahoma" w:hAnsi="Tahoma" w:cs="Tahoma"/>
      <w:sz w:val="16"/>
      <w:szCs w:val="16"/>
    </w:rPr>
  </w:style>
  <w:style w:type="character" w:customStyle="1" w:styleId="BalloonTextChar">
    <w:name w:val="Balloon Text Char"/>
    <w:basedOn w:val="DefaultParagraphFont"/>
    <w:link w:val="BalloonText"/>
    <w:uiPriority w:val="99"/>
    <w:semiHidden/>
    <w:rsid w:val="00C434E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D5"/>
    <w:pPr>
      <w:spacing w:after="0" w:line="240" w:lineRule="auto"/>
    </w:pPr>
    <w:rPr>
      <w:rFonts w:ascii="Times New Roman" w:eastAsia="Times New Roman" w:hAnsi="Times New Roman" w:cs="Times New Roman"/>
      <w:sz w:val="28"/>
      <w:szCs w:val="28"/>
      <w:lang w:val="en-US"/>
    </w:rPr>
  </w:style>
  <w:style w:type="paragraph" w:styleId="Heading4">
    <w:name w:val="heading 4"/>
    <w:basedOn w:val="Normal"/>
    <w:next w:val="Normal"/>
    <w:link w:val="Heading4Char"/>
    <w:qFormat/>
    <w:rsid w:val="00374AD5"/>
    <w:pPr>
      <w:keepNext/>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4AD5"/>
    <w:rPr>
      <w:rFonts w:ascii="Times New Roman" w:eastAsia="Times New Roman" w:hAnsi="Times New Roman" w:cs="Times New Roman"/>
      <w:b/>
      <w:bCs/>
      <w:sz w:val="24"/>
      <w:szCs w:val="24"/>
      <w:lang w:val="en-US"/>
    </w:rPr>
  </w:style>
  <w:style w:type="paragraph" w:styleId="Footer">
    <w:name w:val="footer"/>
    <w:basedOn w:val="Normal"/>
    <w:link w:val="FooterChar"/>
    <w:uiPriority w:val="99"/>
    <w:rsid w:val="00374AD5"/>
    <w:pPr>
      <w:tabs>
        <w:tab w:val="center" w:pos="4153"/>
        <w:tab w:val="right" w:pos="8306"/>
      </w:tabs>
    </w:pPr>
    <w:rPr>
      <w:sz w:val="24"/>
      <w:szCs w:val="24"/>
      <w:lang w:val="vi-VN" w:eastAsia="vi-VN"/>
    </w:rPr>
  </w:style>
  <w:style w:type="character" w:customStyle="1" w:styleId="FooterChar">
    <w:name w:val="Footer Char"/>
    <w:basedOn w:val="DefaultParagraphFont"/>
    <w:link w:val="Footer"/>
    <w:uiPriority w:val="99"/>
    <w:rsid w:val="00374AD5"/>
    <w:rPr>
      <w:rFonts w:ascii="Times New Roman" w:eastAsia="Times New Roman" w:hAnsi="Times New Roman" w:cs="Times New Roman"/>
      <w:sz w:val="24"/>
      <w:szCs w:val="24"/>
      <w:lang w:eastAsia="vi-VN"/>
    </w:rPr>
  </w:style>
  <w:style w:type="character" w:styleId="PageNumber">
    <w:name w:val="page number"/>
    <w:basedOn w:val="DefaultParagraphFont"/>
    <w:rsid w:val="00374AD5"/>
  </w:style>
  <w:style w:type="paragraph" w:customStyle="1" w:styleId="normal-p">
    <w:name w:val="normal-p"/>
    <w:basedOn w:val="Normal"/>
    <w:rsid w:val="00374AD5"/>
    <w:rPr>
      <w:sz w:val="20"/>
      <w:szCs w:val="20"/>
    </w:rPr>
  </w:style>
  <w:style w:type="paragraph" w:styleId="NormalWeb">
    <w:name w:val="Normal (Web)"/>
    <w:basedOn w:val="Normal"/>
    <w:rsid w:val="00374AD5"/>
    <w:pPr>
      <w:spacing w:before="100" w:beforeAutospacing="1" w:after="100" w:afterAutospacing="1"/>
    </w:pPr>
    <w:rPr>
      <w:sz w:val="24"/>
      <w:szCs w:val="24"/>
    </w:rPr>
  </w:style>
  <w:style w:type="character" w:styleId="Hyperlink">
    <w:name w:val="Hyperlink"/>
    <w:rsid w:val="00374AD5"/>
    <w:rPr>
      <w:color w:val="0000FF"/>
      <w:u w:val="single"/>
    </w:rPr>
  </w:style>
  <w:style w:type="paragraph" w:styleId="ListParagraph">
    <w:name w:val="List Paragraph"/>
    <w:basedOn w:val="Normal"/>
    <w:qFormat/>
    <w:rsid w:val="00374A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434E6"/>
    <w:rPr>
      <w:rFonts w:ascii="Tahoma" w:hAnsi="Tahoma" w:cs="Tahoma"/>
      <w:sz w:val="16"/>
      <w:szCs w:val="16"/>
    </w:rPr>
  </w:style>
  <w:style w:type="character" w:customStyle="1" w:styleId="BalloonTextChar">
    <w:name w:val="Balloon Text Char"/>
    <w:basedOn w:val="DefaultParagraphFont"/>
    <w:link w:val="BalloonText"/>
    <w:uiPriority w:val="99"/>
    <w:semiHidden/>
    <w:rsid w:val="00C434E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Mode="External" Target="mailto:phongdautu@sbv.gov.vn" Type="http://schemas.openxmlformats.org/officeDocument/2006/relationships/hyperlink" Id="rId7"></Relationship><Relationship Target="stylesWithEffects.xml" Type="http://schemas.microsoft.com/office/2007/relationships/stylesWithEffects" Id="rId12"></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ADF9-9EE3-4689-951C-7E79D916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2018-04-04T09:00:00Z</cp:lastPrinted>
  <dcterms:created xsi:type="dcterms:W3CDTF">2018-06-14T03:08:00Z</dcterms:created>
  <dcterms:modified xsi:type="dcterms:W3CDTF">2018-06-14T03:08:00Z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SBV342225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337562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http://webcenter-app01:16200/cs/idcplg?IdcService=DESKTOP_DOC_INFO&amp;dDocName=SBV342225&amp;dID=337562&amp;ClientControlled=DocMan,taskpane&amp;coreContentOnly=1</vt:lpwstr>
  </property>
</Properties>
</file>