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Phụ lụ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RÀ SOÁ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BẤ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CẬ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CHỒ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ƯỚ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MẮ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GIỮ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QUY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LUẬ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LIÊN QUAN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ĐẾ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VIỆ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TIẾ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CẬ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ĐẤ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ĐAI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NGƯỜ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DÂN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DOANH NGHI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Ể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HIỆ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DỰ 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ĐẦ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TƯ,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XUẤ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KINH DOANH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4"/>
        <w:gridCol w:w="1842"/>
        <w:gridCol w:w="3686"/>
        <w:gridCol w:w="3796"/>
        <w:gridCol w:w="3433"/>
        <w:gridCol w:w="1497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Stt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Tên VBQPPL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Quy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đị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cụ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ể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Bấ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cậ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p,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ướ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mắ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chồ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ché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o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ề xuấ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kiế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nghị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Ghi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chú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đai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114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, bảng giá đất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Nộ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dung không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đề cập đến trường hợp d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ùng bảng giá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đất do Ủy ban nhân dân cấp tỉnh xây dựng theo định kỳ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05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năm một lần, sau khi tr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ình Hội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đồng nhân dân c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ùng cấp thông qua làm c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ăn cứ để tính giá khởi điểm khi tổ chức đấu giá quyền sử dụng đất. Nhưng tại khoản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Nghị định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/NĐ-CP quy định: 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Giá đất cụ thể được sử dụng để l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àm c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ăn cứ đối với các trường hợp quy định tại khoản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114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, khoản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 Điều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172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à khoản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189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của Luật Đất đai; 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u w:val="single"/>
                <w:shd w:fill="FFFFFF" w:val="clear"/>
              </w:rPr>
              <w:t xml:space="preserve">giá khởi điểm để đấu giá quyền sử dụng đất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 khi Nh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à n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6"/>
                <w:shd w:fill="FFFFFF" w:val="clear"/>
              </w:rPr>
              <w:t xml:space="preserve">ước giao đất có thu tiền sử dụng đất, cho thuê đất thu tiền một lần cho cả thời gian thuê.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 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ăn bản quy phạm pháp luật phải bảo đảm sự ph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ù hợp và thông nhất giữa v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ăn bản quy phạm pháp luật do cơ quan cấp dưới có thẩm quyền ban h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ành với v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ăn bản quy phạm pháp luật do cơ quan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tr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ên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có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thẩm quyền ban hành.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đai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Khoả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 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ơ chế giải quyết “dự án treo” trên nguyên tắc Nhà nước sẽ thu hồi cả đất đai và tài sản gắn liền 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đầu tư sau khi gia hạn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tháng thực hiện đối với các dự án rơi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ào tình trạng bị “treo”. Quy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định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ày trái với Hiến pháp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ăm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à Luật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Đầu tư năm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về quy định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à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ước cam kết bảo hộ tài sản của nhà đầu tư trong quá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ình thực hiện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đầu tư.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chỉ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nh s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ử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lạ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cho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phù hợ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vớ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Hiế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phá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và cá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khá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có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liên quan.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49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Thời gian thực hiện kế hoạch sử dụng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ng năm, tuy nhiên theo quy định tại 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49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ì các dự án thu hồi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đất, chuyển mục đích sử dụng đất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ì gần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  là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năm.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quy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đẩ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y nhanh ti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ế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độ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thu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hồ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t, chuy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ể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mụ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ch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sử dụ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đồ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bộ hằ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năm theo k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ế hoạ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ch s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ử dụ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chưa đủ chi tiết..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, quy định về điều kiện giao đất, cho thu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đất, cho phép chuyển mục đích sử dụng đất để thực hiện dự án đầu tư. 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ày sẽ tạo kẽ hở cho lợi ích nhóm. Sự canh tranh giữa các doanh nghiệp không thực chất bằng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ăng lực, bằng trí tuệ sáng tạo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bằng những “tiêu chí”  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Có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lự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tà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chí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nh”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Luật cần bổ sung những loại hình khác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ư bán đấu giá, đấu thầu quyền sử dụng đất trong các trường hợp được giao, cho thuê đất.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105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 Nghị định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/NĐ- CP,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ì lại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định được cấp giấy chứng nhận quyền sử dụng đất, quyền sở hữu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ở và tài sản khác gắn liền với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cho cá nhân nước ngo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ài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ề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chỉ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Nghị đị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phù hợ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vớ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Điểm c 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114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không quy định giá đất cụ thể để tính giá khởi điểm trong trường hợp đấu giá quyền sử dụng đất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Nghị định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/NĐ- CP ng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của Chính phủ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định về giá đất lại quy định giá đất cụ thể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àm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ăn cứ để xác định giá khởi điểm để đấu giá quyền sử dụng đất.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ề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chỉ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Nghị đị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phù hợ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vớ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71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chỉ quy định cưỡng chế thực hiện đối với trường hợp thu hồi đất để thực hiện dự án đầu tư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à không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định việc cưỡng chế thu hồi đất vi phạm đất đai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Các vấn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đề trong việc xử lý vi phạm đất đai, các địa phương đang gặp nhiều khó khăn về cưỡng chế thực hiện quyết định thu hồi đất. 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rõ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ệ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ưỡ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chế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thu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hồ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đặ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biệ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đố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vớ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cá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tổ chứ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cá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nhân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cố tì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đò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tiề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hỗ trợ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không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đú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củ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phá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Tại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điểm d 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167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quy định việc công chứng, chứng thực hợp đồng chuyển nhượng,…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Tạ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i 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, 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57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Công chứng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2006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(sửa đổi, bổ sung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Hai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có chồ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ché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ử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đổ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phù hợ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p.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kinh doanh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bấ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độ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sả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2014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cá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nhân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ngườ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nướ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ngoà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đượ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 thu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cá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loạ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bấ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độ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sả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n,... 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Đất đai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, doanh nghi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đượ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 thu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đấ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t, không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có cá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nhân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Thố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nhấ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 gi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ữ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luậ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có khá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nhau.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Thông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/TT-BTNMT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67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định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ày dẫn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đến hiện nay các địa phương đều hiểu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thực hiện theo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ướng: Nếu người sử dụng đất có đất phù hợp với quy hoạch sử dụng đất được duyệt nhưng muốn chuyển mục đích sử dụng đất trong năm kế hoạch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ì phải làm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đơn đăng ký với Ủy ban nhân dân x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ã, hoặc Phòng Tài nguyên và Môi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ường để đưa vào kế hoạch sử dụng đất hàng năm cấp huyện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ình Ủy ban nhân dân tỉnh phê duyệt.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Điều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ày dẫn tới hàng triệu hộ dân trên cả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ước hàng năm phải theo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õi thông báo của các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ơ quan chức năng để làm đơn đăng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ý chuyển mục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đích sử dụng đất trong năm kế hoạch.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s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ử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tạ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o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điề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u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cho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ngườ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dân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và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doanh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nghiệ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thự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hiệ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Thông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/TT-BTNMT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Điểm a 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  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56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Theo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định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ày, bản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đồ kế hoạch sử dụng đất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àng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ăm cấp huyện được thể hiện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ên nền bản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đồ quy hoạch sử dụng đất cấp huyện 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ã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được Ủy ban nhân dân cấp tỉnh ph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 duyệt.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định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ày dẫn tới nhiều công trình, dự  án có diện tích quá nhỏ không thể hiện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được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ên nền bản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đồ cấp huyện tỷ lệ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hoặc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hay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. Do thể hiện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ên nền bản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đồ quy hoạch sử dụng đất được duyệt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ên việc tìm kiếm các công trình, dự án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được duyệt trong năm kế hoạch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rất khó kh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ăn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nhầm lẫn với các công trình trong quy hoạch sử dụng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đất.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s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ử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tạ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o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điề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u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cho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ngườ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dân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và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doanh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nghiệ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thự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hiệ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Luật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Đầu tư năm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2014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Khoản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Điều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42 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Mức ký quỹ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để bảo đảm thực hiện dự án từ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% đến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%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6"/>
                  <w:u w:val="single"/>
                  <w:shd w:fill="auto" w:val="clear"/>
                </w:rPr>
                <w:t xml:space="preserve"> vốn đầu tư 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của dự án, là 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ưa phù hợp với những trường hợp nhà đầu tư 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ã tự bỏ chi phí giải phóng mặt bằng rồi mới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được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ước giao, cho thuê đất, cho phép chuyển mục đích sử dụng để đầu tư kinh doanh nhưng vẫn phải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ý quỹ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 quy định trên là chưa hợp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ý. 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Cầ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s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ử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đổ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phù hợ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đố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vớ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nhữ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dự á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 xây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dự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văn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phò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là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m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việ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kế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hợ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 cho thuê không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phả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ký quỹ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6"/>
                <w:shd w:fill="FFFFFF" w:val="clear"/>
              </w:rPr>
              <w:t xml:space="preserve">.</w:t>
            </w:r>
          </w:p>
        </w:tc>
        <w:tc>
          <w:tcPr>
            <w:tcW w:w="1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ddn.com.vn/von-dau-tu.tag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