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Phụ lục số 01</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DANH MỤC V</w:t>
      </w:r>
      <w:r>
        <w:rPr>
          <w:rFonts w:ascii="Times New Roman" w:hAnsi="Times New Roman" w:cs="Times New Roman" w:eastAsia="Times New Roman"/>
          <w:b/>
          <w:color w:val="auto"/>
          <w:spacing w:val="0"/>
          <w:position w:val="0"/>
          <w:sz w:val="28"/>
          <w:shd w:fill="auto" w:val="clear"/>
        </w:rPr>
        <w:t xml:space="preserve">ĂN BẢN QUY PHẠM PHÁP LUẬT VỀ ĐẤT ĐAI DO CÁC CƠ QUAN TRUNG ƯƠNG BAN H</w:t>
      </w:r>
      <w:r>
        <w:rPr>
          <w:rFonts w:ascii="Times New Roman" w:hAnsi="Times New Roman" w:cs="Times New Roman" w:eastAsia="Times New Roman"/>
          <w:b/>
          <w:color w:val="auto"/>
          <w:spacing w:val="0"/>
          <w:position w:val="0"/>
          <w:sz w:val="28"/>
          <w:shd w:fill="auto" w:val="clear"/>
        </w:rPr>
        <w:t xml:space="preserve">ÀNH,</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KIỂM TOÁN NHÀ N</w:t>
      </w:r>
      <w:r>
        <w:rPr>
          <w:rFonts w:ascii="Times New Roman" w:hAnsi="Times New Roman" w:cs="Times New Roman" w:eastAsia="Times New Roman"/>
          <w:b/>
          <w:color w:val="auto"/>
          <w:spacing w:val="0"/>
          <w:position w:val="0"/>
          <w:sz w:val="28"/>
          <w:shd w:fill="auto" w:val="clear"/>
        </w:rPr>
        <w:t xml:space="preserve">ƯỚC KIẾN NGHỊ SỬA ĐỔI, BỔ SUNG, HỦY BỎ</w:t>
      </w:r>
    </w:p>
    <w:p>
      <w:pPr>
        <w:spacing w:before="120" w:after="120" w:line="276"/>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(Kèm theo Công v</w:t>
      </w:r>
      <w:r>
        <w:rPr>
          <w:rFonts w:ascii="Times New Roman" w:hAnsi="Times New Roman" w:cs="Times New Roman" w:eastAsia="Times New Roman"/>
          <w:i/>
          <w:color w:val="auto"/>
          <w:spacing w:val="0"/>
          <w:position w:val="0"/>
          <w:sz w:val="28"/>
          <w:shd w:fill="auto" w:val="clear"/>
        </w:rPr>
        <w:t xml:space="preserve">ăn số       /KTNN-TH ng</w:t>
      </w:r>
      <w:r>
        <w:rPr>
          <w:rFonts w:ascii="Times New Roman" w:hAnsi="Times New Roman" w:cs="Times New Roman" w:eastAsia="Times New Roman"/>
          <w:i/>
          <w:color w:val="auto"/>
          <w:spacing w:val="0"/>
          <w:position w:val="0"/>
          <w:sz w:val="28"/>
          <w:shd w:fill="auto" w:val="clear"/>
        </w:rPr>
        <w:t xml:space="preserve">ày     /5/2018 của KTNN)</w:t>
      </w:r>
    </w:p>
    <w:tbl>
      <w:tblPr/>
      <w:tblGrid>
        <w:gridCol w:w="745"/>
        <w:gridCol w:w="2340"/>
        <w:gridCol w:w="3827"/>
        <w:gridCol w:w="6130"/>
        <w:gridCol w:w="1468"/>
      </w:tblGrid>
      <w:tr>
        <w:trPr>
          <w:trHeight w:val="1" w:hRule="atLeast"/>
          <w:jc w:val="left"/>
        </w:trPr>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5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7"/>
                <w:shd w:fill="auto" w:val="clear"/>
              </w:rPr>
              <w:t xml:space="preserve">STT</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5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7"/>
                <w:shd w:fill="auto" w:val="clear"/>
              </w:rPr>
              <w:t xml:space="preserve">Tên VBQPPL</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5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7"/>
                <w:shd w:fill="auto" w:val="clear"/>
              </w:rPr>
              <w:t xml:space="preserve">Quy </w:t>
            </w:r>
            <w:r>
              <w:rPr>
                <w:rFonts w:ascii="Times New Roman" w:hAnsi="Times New Roman" w:cs="Times New Roman" w:eastAsia="Times New Roman"/>
                <w:b/>
                <w:color w:val="auto"/>
                <w:spacing w:val="0"/>
                <w:position w:val="0"/>
                <w:sz w:val="27"/>
                <w:shd w:fill="auto" w:val="clear"/>
              </w:rPr>
              <w:t xml:space="preserve">định cụ thể</w:t>
            </w:r>
          </w:p>
        </w:tc>
        <w:tc>
          <w:tcPr>
            <w:tcW w:w="6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5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7"/>
                <w:shd w:fill="auto" w:val="clear"/>
              </w:rPr>
              <w:t xml:space="preserve">Lý do kiến nghị sửa </w:t>
            </w:r>
            <w:r>
              <w:rPr>
                <w:rFonts w:ascii="Times New Roman" w:hAnsi="Times New Roman" w:cs="Times New Roman" w:eastAsia="Times New Roman"/>
                <w:b/>
                <w:color w:val="auto"/>
                <w:spacing w:val="0"/>
                <w:position w:val="0"/>
                <w:sz w:val="27"/>
                <w:shd w:fill="auto" w:val="clear"/>
              </w:rPr>
              <w:t xml:space="preserve">đổi, bổ sung hoặc hủy bỏ</w:t>
            </w:r>
          </w:p>
        </w:tc>
        <w:tc>
          <w:tcPr>
            <w:tcW w:w="14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7"/>
                <w:shd w:fill="auto" w:val="clear"/>
              </w:rPr>
              <w:t xml:space="preserve">Đối tượng kiến nghị</w:t>
            </w:r>
          </w:p>
        </w:tc>
      </w:tr>
      <w:tr>
        <w:trPr>
          <w:trHeight w:val="1" w:hRule="atLeast"/>
          <w:jc w:val="left"/>
        </w:trPr>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Luật </w:t>
            </w:r>
            <w:r>
              <w:rPr>
                <w:rFonts w:ascii="Times New Roman" w:hAnsi="Times New Roman" w:cs="Times New Roman" w:eastAsia="Times New Roman"/>
                <w:color w:val="auto"/>
                <w:spacing w:val="0"/>
                <w:position w:val="0"/>
                <w:sz w:val="27"/>
                <w:shd w:fill="auto" w:val="clear"/>
              </w:rPr>
              <w:t xml:space="preserve">Đất đai năm 2013</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Khoản 3, </w:t>
            </w:r>
            <w:r>
              <w:rPr>
                <w:rFonts w:ascii="Times New Roman" w:hAnsi="Times New Roman" w:cs="Times New Roman" w:eastAsia="Times New Roman"/>
                <w:color w:val="auto"/>
                <w:spacing w:val="0"/>
                <w:position w:val="0"/>
                <w:sz w:val="27"/>
                <w:shd w:fill="auto" w:val="clear"/>
              </w:rPr>
              <w:t xml:space="preserve">Điều 132 Luật Đất đai năm 2013</w:t>
            </w:r>
          </w:p>
        </w:tc>
        <w:tc>
          <w:tcPr>
            <w:tcW w:w="6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2"/>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Quy </w:t>
            </w:r>
            <w:r>
              <w:rPr>
                <w:rFonts w:ascii="Times New Roman" w:hAnsi="Times New Roman" w:cs="Times New Roman" w:eastAsia="Times New Roman"/>
                <w:color w:val="auto"/>
                <w:spacing w:val="0"/>
                <w:position w:val="0"/>
                <w:sz w:val="27"/>
                <w:shd w:fill="auto" w:val="clear"/>
              </w:rPr>
              <w:t xml:space="preserve">định thu từ quỹ đất công ích v</w:t>
            </w:r>
            <w:r>
              <w:rPr>
                <w:rFonts w:ascii="Times New Roman" w:hAnsi="Times New Roman" w:cs="Times New Roman" w:eastAsia="Times New Roman"/>
                <w:color w:val="auto"/>
                <w:spacing w:val="0"/>
                <w:position w:val="0"/>
                <w:sz w:val="27"/>
                <w:shd w:fill="auto" w:val="clear"/>
              </w:rPr>
              <w:t xml:space="preserve">à thu hoa lợi công sản khác tại Khoản 3 </w:t>
            </w:r>
            <w:r>
              <w:rPr>
                <w:rFonts w:ascii="Times New Roman" w:hAnsi="Times New Roman" w:cs="Times New Roman" w:eastAsia="Times New Roman"/>
                <w:color w:val="auto"/>
                <w:spacing w:val="0"/>
                <w:position w:val="0"/>
                <w:sz w:val="27"/>
                <w:shd w:fill="auto" w:val="clear"/>
              </w:rPr>
              <w:t xml:space="preserve">Điều 132 Luật Đất đai năm 2013 c</w:t>
            </w:r>
            <w:r>
              <w:rPr>
                <w:rFonts w:ascii="Times New Roman" w:hAnsi="Times New Roman" w:cs="Times New Roman" w:eastAsia="Times New Roman"/>
                <w:color w:val="auto"/>
                <w:spacing w:val="0"/>
                <w:position w:val="0"/>
                <w:sz w:val="27"/>
                <w:shd w:fill="auto" w:val="clear"/>
              </w:rPr>
              <w:t xml:space="preserve">òn ch</w:t>
            </w:r>
            <w:r>
              <w:rPr>
                <w:rFonts w:ascii="Times New Roman" w:hAnsi="Times New Roman" w:cs="Times New Roman" w:eastAsia="Times New Roman"/>
                <w:color w:val="auto"/>
                <w:spacing w:val="0"/>
                <w:position w:val="0"/>
                <w:sz w:val="27"/>
                <w:shd w:fill="auto" w:val="clear"/>
              </w:rPr>
              <w:t xml:space="preserve">ưa thống nhất với quy định tại Điều 37 và Điều 40 Luật NSNN năm 2015, cụ thể: Luật Đất đai quy định tiền thu được từ việc cho thuê đất thuộc quỹ đất nông nghiệp của x</w:t>
            </w:r>
            <w:r>
              <w:rPr>
                <w:rFonts w:ascii="Times New Roman" w:hAnsi="Times New Roman" w:cs="Times New Roman" w:eastAsia="Times New Roman"/>
                <w:color w:val="auto"/>
                <w:spacing w:val="0"/>
                <w:position w:val="0"/>
                <w:sz w:val="27"/>
                <w:shd w:fill="auto" w:val="clear"/>
              </w:rPr>
              <w:t xml:space="preserve">ã chỉ </w:t>
            </w:r>
            <w:r>
              <w:rPr>
                <w:rFonts w:ascii="Times New Roman" w:hAnsi="Times New Roman" w:cs="Times New Roman" w:eastAsia="Times New Roman"/>
                <w:color w:val="auto"/>
                <w:spacing w:val="0"/>
                <w:position w:val="0"/>
                <w:sz w:val="27"/>
                <w:shd w:fill="auto" w:val="clear"/>
              </w:rPr>
              <w:t xml:space="preserve">được d</w:t>
            </w:r>
            <w:r>
              <w:rPr>
                <w:rFonts w:ascii="Times New Roman" w:hAnsi="Times New Roman" w:cs="Times New Roman" w:eastAsia="Times New Roman"/>
                <w:color w:val="auto"/>
                <w:spacing w:val="0"/>
                <w:position w:val="0"/>
                <w:sz w:val="27"/>
                <w:shd w:fill="auto" w:val="clear"/>
              </w:rPr>
              <w:t xml:space="preserve">ùng cho nhu cầu công ích của xã, ph</w:t>
            </w:r>
            <w:r>
              <w:rPr>
                <w:rFonts w:ascii="Times New Roman" w:hAnsi="Times New Roman" w:cs="Times New Roman" w:eastAsia="Times New Roman"/>
                <w:color w:val="auto"/>
                <w:spacing w:val="0"/>
                <w:position w:val="0"/>
                <w:sz w:val="27"/>
                <w:shd w:fill="auto" w:val="clear"/>
              </w:rPr>
              <w:t xml:space="preserve">ường, thị trấn theo quy định của pháp luật. Luật NSNN quy định khoản thu từ quỹ đất công ích và thu hoa lợi công sản khác ở x</w:t>
            </w:r>
            <w:r>
              <w:rPr>
                <w:rFonts w:ascii="Times New Roman" w:hAnsi="Times New Roman" w:cs="Times New Roman" w:eastAsia="Times New Roman"/>
                <w:color w:val="auto"/>
                <w:spacing w:val="0"/>
                <w:position w:val="0"/>
                <w:sz w:val="27"/>
                <w:shd w:fill="auto" w:val="clear"/>
              </w:rPr>
              <w:t xml:space="preserve">ã vẫn </w:t>
            </w:r>
            <w:r>
              <w:rPr>
                <w:rFonts w:ascii="Times New Roman" w:hAnsi="Times New Roman" w:cs="Times New Roman" w:eastAsia="Times New Roman"/>
                <w:color w:val="auto"/>
                <w:spacing w:val="0"/>
                <w:position w:val="0"/>
                <w:sz w:val="27"/>
                <w:shd w:fill="auto" w:val="clear"/>
              </w:rPr>
              <w:t xml:space="preserve">được tổng hợp v</w:t>
            </w:r>
            <w:r>
              <w:rPr>
                <w:rFonts w:ascii="Times New Roman" w:hAnsi="Times New Roman" w:cs="Times New Roman" w:eastAsia="Times New Roman"/>
                <w:color w:val="auto"/>
                <w:spacing w:val="0"/>
                <w:position w:val="0"/>
                <w:sz w:val="27"/>
                <w:shd w:fill="auto" w:val="clear"/>
              </w:rPr>
              <w:t xml:space="preserve">ào cân </w:t>
            </w:r>
            <w:r>
              <w:rPr>
                <w:rFonts w:ascii="Times New Roman" w:hAnsi="Times New Roman" w:cs="Times New Roman" w:eastAsia="Times New Roman"/>
                <w:color w:val="auto"/>
                <w:spacing w:val="0"/>
                <w:position w:val="0"/>
                <w:sz w:val="27"/>
                <w:shd w:fill="auto" w:val="clear"/>
              </w:rPr>
              <w:t xml:space="preserve">đối NSĐP để xác định số bổ sung cân đối ngân sách n</w:t>
            </w:r>
            <w:r>
              <w:rPr>
                <w:rFonts w:ascii="Times New Roman" w:hAnsi="Times New Roman" w:cs="Times New Roman" w:eastAsia="Times New Roman"/>
                <w:color w:val="auto"/>
                <w:spacing w:val="0"/>
                <w:position w:val="0"/>
                <w:sz w:val="27"/>
                <w:shd w:fill="auto" w:val="clear"/>
              </w:rPr>
              <w:t xml:space="preserve">ên không thể chỉ </w:t>
            </w:r>
            <w:r>
              <w:rPr>
                <w:rFonts w:ascii="Times New Roman" w:hAnsi="Times New Roman" w:cs="Times New Roman" w:eastAsia="Times New Roman"/>
                <w:color w:val="auto"/>
                <w:spacing w:val="0"/>
                <w:position w:val="0"/>
                <w:sz w:val="27"/>
                <w:shd w:fill="auto" w:val="clear"/>
              </w:rPr>
              <w:t xml:space="preserve">được d</w:t>
            </w:r>
            <w:r>
              <w:rPr>
                <w:rFonts w:ascii="Times New Roman" w:hAnsi="Times New Roman" w:cs="Times New Roman" w:eastAsia="Times New Roman"/>
                <w:color w:val="auto"/>
                <w:spacing w:val="0"/>
                <w:position w:val="0"/>
                <w:sz w:val="27"/>
                <w:shd w:fill="auto" w:val="clear"/>
              </w:rPr>
              <w:t xml:space="preserve">ùng cho nhu cầu công ích của xã, ph</w:t>
            </w:r>
            <w:r>
              <w:rPr>
                <w:rFonts w:ascii="Times New Roman" w:hAnsi="Times New Roman" w:cs="Times New Roman" w:eastAsia="Times New Roman"/>
                <w:color w:val="auto"/>
                <w:spacing w:val="0"/>
                <w:position w:val="0"/>
                <w:sz w:val="27"/>
                <w:shd w:fill="auto" w:val="clear"/>
              </w:rPr>
              <w:t xml:space="preserve">ường, thị trấn như quy định của Luật Đất đai.</w:t>
            </w:r>
          </w:p>
        </w:tc>
        <w:tc>
          <w:tcPr>
            <w:tcW w:w="14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Quốc Hội</w:t>
            </w:r>
          </w:p>
        </w:tc>
      </w:tr>
      <w:tr>
        <w:trPr>
          <w:trHeight w:val="70" w:hRule="auto"/>
          <w:jc w:val="left"/>
        </w:trPr>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2</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Quyết </w:t>
            </w:r>
            <w:r>
              <w:rPr>
                <w:rFonts w:ascii="Times New Roman" w:hAnsi="Times New Roman" w:cs="Times New Roman" w:eastAsia="Times New Roman"/>
                <w:color w:val="auto"/>
                <w:spacing w:val="0"/>
                <w:position w:val="0"/>
                <w:sz w:val="27"/>
                <w:shd w:fill="auto" w:val="clear"/>
              </w:rPr>
              <w:t xml:space="preserve">định số 09/2007/QĐ-TTg ng</w:t>
            </w:r>
            <w:r>
              <w:rPr>
                <w:rFonts w:ascii="Times New Roman" w:hAnsi="Times New Roman" w:cs="Times New Roman" w:eastAsia="Times New Roman"/>
                <w:color w:val="auto"/>
                <w:spacing w:val="0"/>
                <w:position w:val="0"/>
                <w:sz w:val="27"/>
                <w:shd w:fill="auto" w:val="clear"/>
              </w:rPr>
              <w:t xml:space="preserve">ày 19/01/2007 của Thủ t</w:t>
            </w:r>
            <w:r>
              <w:rPr>
                <w:rFonts w:ascii="Times New Roman" w:hAnsi="Times New Roman" w:cs="Times New Roman" w:eastAsia="Times New Roman"/>
                <w:color w:val="auto"/>
                <w:spacing w:val="0"/>
                <w:position w:val="0"/>
                <w:sz w:val="27"/>
                <w:shd w:fill="auto" w:val="clear"/>
              </w:rPr>
              <w:t xml:space="preserve">ướng Chính phủ</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 Một số </w:t>
            </w:r>
            <w:r>
              <w:rPr>
                <w:rFonts w:ascii="Times New Roman" w:hAnsi="Times New Roman" w:cs="Times New Roman" w:eastAsia="Times New Roman"/>
                <w:color w:val="auto"/>
                <w:spacing w:val="0"/>
                <w:position w:val="0"/>
                <w:sz w:val="27"/>
                <w:shd w:fill="auto" w:val="clear"/>
              </w:rPr>
              <w:t xml:space="preserve">điều khoản chưa ph</w:t>
            </w:r>
            <w:r>
              <w:rPr>
                <w:rFonts w:ascii="Times New Roman" w:hAnsi="Times New Roman" w:cs="Times New Roman" w:eastAsia="Times New Roman"/>
                <w:color w:val="auto"/>
                <w:spacing w:val="0"/>
                <w:position w:val="0"/>
                <w:sz w:val="27"/>
                <w:shd w:fill="auto" w:val="clear"/>
              </w:rPr>
              <w:t xml:space="preserve">ù hợp tại Quyết </w:t>
            </w:r>
            <w:r>
              <w:rPr>
                <w:rFonts w:ascii="Times New Roman" w:hAnsi="Times New Roman" w:cs="Times New Roman" w:eastAsia="Times New Roman"/>
                <w:color w:val="auto"/>
                <w:spacing w:val="0"/>
                <w:position w:val="0"/>
                <w:sz w:val="27"/>
                <w:shd w:fill="auto" w:val="clear"/>
              </w:rPr>
              <w:t xml:space="preserve">định 09/2007/QĐ-TTg ng</w:t>
            </w:r>
            <w:r>
              <w:rPr>
                <w:rFonts w:ascii="Times New Roman" w:hAnsi="Times New Roman" w:cs="Times New Roman" w:eastAsia="Times New Roman"/>
                <w:color w:val="auto"/>
                <w:spacing w:val="0"/>
                <w:position w:val="0"/>
                <w:sz w:val="27"/>
                <w:shd w:fill="auto" w:val="clear"/>
              </w:rPr>
              <w:t xml:space="preserve">ày 19/01/07 của Thủ t</w:t>
            </w:r>
            <w:r>
              <w:rPr>
                <w:rFonts w:ascii="Times New Roman" w:hAnsi="Times New Roman" w:cs="Times New Roman" w:eastAsia="Times New Roman"/>
                <w:color w:val="auto"/>
                <w:spacing w:val="0"/>
                <w:position w:val="0"/>
                <w:sz w:val="27"/>
                <w:shd w:fill="auto" w:val="clear"/>
              </w:rPr>
              <w:t xml:space="preserve">ướng Chính phủ về việc sắp xếp lại, xử l</w:t>
            </w:r>
            <w:r>
              <w:rPr>
                <w:rFonts w:ascii="Times New Roman" w:hAnsi="Times New Roman" w:cs="Times New Roman" w:eastAsia="Times New Roman"/>
                <w:color w:val="auto"/>
                <w:spacing w:val="0"/>
                <w:position w:val="0"/>
                <w:sz w:val="27"/>
                <w:shd w:fill="auto" w:val="clear"/>
              </w:rPr>
              <w:t xml:space="preserve">ý nhà, </w:t>
            </w:r>
            <w:r>
              <w:rPr>
                <w:rFonts w:ascii="Times New Roman" w:hAnsi="Times New Roman" w:cs="Times New Roman" w:eastAsia="Times New Roman"/>
                <w:color w:val="auto"/>
                <w:spacing w:val="0"/>
                <w:position w:val="0"/>
                <w:sz w:val="27"/>
                <w:shd w:fill="auto" w:val="clear"/>
              </w:rPr>
              <w:t xml:space="preserve">đất thuộc sở hữu nh</w:t>
            </w:r>
            <w:r>
              <w:rPr>
                <w:rFonts w:ascii="Times New Roman" w:hAnsi="Times New Roman" w:cs="Times New Roman" w:eastAsia="Times New Roman"/>
                <w:color w:val="auto"/>
                <w:spacing w:val="0"/>
                <w:position w:val="0"/>
                <w:sz w:val="27"/>
                <w:shd w:fill="auto" w:val="clear"/>
              </w:rPr>
              <w:t xml:space="preserve">à n</w:t>
            </w:r>
            <w:r>
              <w:rPr>
                <w:rFonts w:ascii="Times New Roman" w:hAnsi="Times New Roman" w:cs="Times New Roman" w:eastAsia="Times New Roman"/>
                <w:color w:val="auto"/>
                <w:spacing w:val="0"/>
                <w:position w:val="0"/>
                <w:sz w:val="27"/>
                <w:shd w:fill="auto" w:val="clear"/>
              </w:rPr>
              <w:t xml:space="preserve">ước</w:t>
            </w:r>
          </w:p>
        </w:tc>
        <w:tc>
          <w:tcPr>
            <w:tcW w:w="6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2"/>
              <w:ind w:right="0" w:left="0" w:firstLine="0"/>
              <w:jc w:val="both"/>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color w:val="auto"/>
                <w:spacing w:val="0"/>
                <w:position w:val="0"/>
                <w:sz w:val="27"/>
                <w:shd w:fill="auto" w:val="clear"/>
              </w:rPr>
              <w:t xml:space="preserve">- Ch</w:t>
            </w:r>
            <w:r>
              <w:rPr>
                <w:rFonts w:ascii="Times New Roman" w:hAnsi="Times New Roman" w:cs="Times New Roman" w:eastAsia="Times New Roman"/>
                <w:color w:val="auto"/>
                <w:spacing w:val="0"/>
                <w:position w:val="0"/>
                <w:sz w:val="27"/>
                <w:shd w:fill="auto" w:val="clear"/>
              </w:rPr>
              <w:t xml:space="preserve">ưa quy định r</w:t>
            </w:r>
            <w:r>
              <w:rPr>
                <w:rFonts w:ascii="Times New Roman" w:hAnsi="Times New Roman" w:cs="Times New Roman" w:eastAsia="Times New Roman"/>
                <w:color w:val="auto"/>
                <w:spacing w:val="0"/>
                <w:position w:val="0"/>
                <w:sz w:val="27"/>
                <w:shd w:fill="auto" w:val="clear"/>
              </w:rPr>
              <w:t xml:space="preserve">õ về c</w:t>
            </w:r>
            <w:r>
              <w:rPr>
                <w:rFonts w:ascii="Times New Roman" w:hAnsi="Times New Roman" w:cs="Times New Roman" w:eastAsia="Times New Roman"/>
                <w:color w:val="auto"/>
                <w:spacing w:val="0"/>
                <w:position w:val="0"/>
                <w:sz w:val="27"/>
                <w:shd w:fill="auto" w:val="clear"/>
              </w:rPr>
              <w:t xml:space="preserve">ơ quan, đơn vị hành chính và đối tượng được thụ hưởng từ nguồn kinh phí bán chuyển nhượng cơ sở nhà, đất; dẫn đến trong quá tr</w:t>
            </w:r>
            <w:r>
              <w:rPr>
                <w:rFonts w:ascii="Times New Roman" w:hAnsi="Times New Roman" w:cs="Times New Roman" w:eastAsia="Times New Roman"/>
                <w:color w:val="auto"/>
                <w:spacing w:val="0"/>
                <w:position w:val="0"/>
                <w:sz w:val="27"/>
                <w:shd w:fill="auto" w:val="clear"/>
              </w:rPr>
              <w:t xml:space="preserve">ình xử lý nguồn kinh phí không thống nhất; </w:t>
            </w:r>
          </w:p>
          <w:p>
            <w:pPr>
              <w:spacing w:before="0" w:after="0" w:line="252"/>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 Số tiền bán chuyển nh</w:t>
            </w:r>
            <w:r>
              <w:rPr>
                <w:rFonts w:ascii="Times New Roman" w:hAnsi="Times New Roman" w:cs="Times New Roman" w:eastAsia="Times New Roman"/>
                <w:color w:val="auto"/>
                <w:spacing w:val="0"/>
                <w:position w:val="0"/>
                <w:sz w:val="27"/>
                <w:shd w:fill="auto" w:val="clear"/>
              </w:rPr>
              <w:t xml:space="preserve">ượng tài sản nhà, đất của các bộ, ngành và địa phương chưa được quản l</w:t>
            </w:r>
            <w:r>
              <w:rPr>
                <w:rFonts w:ascii="Times New Roman" w:hAnsi="Times New Roman" w:cs="Times New Roman" w:eastAsia="Times New Roman"/>
                <w:color w:val="auto"/>
                <w:spacing w:val="0"/>
                <w:position w:val="0"/>
                <w:sz w:val="27"/>
                <w:shd w:fill="auto" w:val="clear"/>
              </w:rPr>
              <w:t xml:space="preserve">ý tập trung vào NSNN </w:t>
            </w:r>
            <w:r>
              <w:rPr>
                <w:rFonts w:ascii="Times New Roman" w:hAnsi="Times New Roman" w:cs="Times New Roman" w:eastAsia="Times New Roman"/>
                <w:color w:val="auto"/>
                <w:spacing w:val="0"/>
                <w:position w:val="0"/>
                <w:sz w:val="27"/>
                <w:shd w:fill="auto" w:val="clear"/>
              </w:rPr>
              <w:t xml:space="preserve">để quản lý thống nhất có hiệu quả. Mặt khác không có sự tham gia phân bổ của Bộ Kế hoạch v</w:t>
            </w:r>
            <w:r>
              <w:rPr>
                <w:rFonts w:ascii="Times New Roman" w:hAnsi="Times New Roman" w:cs="Times New Roman" w:eastAsia="Times New Roman"/>
                <w:color w:val="auto"/>
                <w:spacing w:val="0"/>
                <w:position w:val="0"/>
                <w:sz w:val="27"/>
                <w:shd w:fill="auto" w:val="clear"/>
              </w:rPr>
              <w:t xml:space="preserve">à </w:t>
            </w:r>
            <w:r>
              <w:rPr>
                <w:rFonts w:ascii="Times New Roman" w:hAnsi="Times New Roman" w:cs="Times New Roman" w:eastAsia="Times New Roman"/>
                <w:color w:val="auto"/>
                <w:spacing w:val="0"/>
                <w:position w:val="0"/>
                <w:sz w:val="27"/>
                <w:shd w:fill="auto" w:val="clear"/>
              </w:rPr>
              <w:t xml:space="preserve">Đầu tư đối với các dự án chi từ nguồn kinh phí n</w:t>
            </w:r>
            <w:r>
              <w:rPr>
                <w:rFonts w:ascii="Times New Roman" w:hAnsi="Times New Roman" w:cs="Times New Roman" w:eastAsia="Times New Roman"/>
                <w:color w:val="auto"/>
                <w:spacing w:val="0"/>
                <w:position w:val="0"/>
                <w:sz w:val="27"/>
                <w:shd w:fill="auto" w:val="clear"/>
              </w:rPr>
              <w:t xml:space="preserve">ày trong khi </w:t>
            </w:r>
            <w:r>
              <w:rPr>
                <w:rFonts w:ascii="Times New Roman" w:hAnsi="Times New Roman" w:cs="Times New Roman" w:eastAsia="Times New Roman"/>
                <w:color w:val="auto"/>
                <w:spacing w:val="0"/>
                <w:position w:val="0"/>
                <w:sz w:val="27"/>
                <w:shd w:fill="auto" w:val="clear"/>
              </w:rPr>
              <w:t xml:space="preserve">đây thực chất l</w:t>
            </w:r>
            <w:r>
              <w:rPr>
                <w:rFonts w:ascii="Times New Roman" w:hAnsi="Times New Roman" w:cs="Times New Roman" w:eastAsia="Times New Roman"/>
                <w:color w:val="auto"/>
                <w:spacing w:val="0"/>
                <w:position w:val="0"/>
                <w:sz w:val="27"/>
                <w:shd w:fill="auto" w:val="clear"/>
              </w:rPr>
              <w:t xml:space="preserve">à khoản </w:t>
            </w:r>
            <w:r>
              <w:rPr>
                <w:rFonts w:ascii="Times New Roman" w:hAnsi="Times New Roman" w:cs="Times New Roman" w:eastAsia="Times New Roman"/>
                <w:color w:val="auto"/>
                <w:spacing w:val="0"/>
                <w:position w:val="0"/>
                <w:sz w:val="27"/>
                <w:shd w:fill="auto" w:val="clear"/>
              </w:rPr>
              <w:t xml:space="preserve">đầu tư XDCB từ NSNN.</w:t>
            </w:r>
          </w:p>
        </w:tc>
        <w:tc>
          <w:tcPr>
            <w:tcW w:w="14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color w:val="auto"/>
                <w:spacing w:val="0"/>
                <w:position w:val="0"/>
                <w:sz w:val="27"/>
                <w:shd w:fill="auto" w:val="clear"/>
              </w:rPr>
              <w:t xml:space="preserve">Thủ t</w:t>
            </w:r>
            <w:r>
              <w:rPr>
                <w:rFonts w:ascii="Times New Roman" w:hAnsi="Times New Roman" w:cs="Times New Roman" w:eastAsia="Times New Roman"/>
                <w:color w:val="auto"/>
                <w:spacing w:val="0"/>
                <w:position w:val="0"/>
                <w:sz w:val="27"/>
                <w:shd w:fill="auto" w:val="clear"/>
              </w:rPr>
              <w:t xml:space="preserve">ướng Chính phủ</w:t>
            </w:r>
          </w:p>
          <w:p>
            <w:pPr>
              <w:spacing w:before="0" w:after="0" w:line="252"/>
              <w:ind w:right="0" w:left="0" w:firstLine="0"/>
              <w:jc w:val="center"/>
              <w:rPr>
                <w:color w:val="auto"/>
                <w:spacing w:val="0"/>
                <w:position w:val="0"/>
                <w:shd w:fill="auto" w:val="clear"/>
              </w:rPr>
            </w:pPr>
          </w:p>
        </w:tc>
      </w:tr>
      <w:tr>
        <w:trPr>
          <w:trHeight w:val="1" w:hRule="atLeast"/>
          <w:jc w:val="left"/>
        </w:trPr>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3</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Thông t</w:t>
            </w:r>
            <w:r>
              <w:rPr>
                <w:rFonts w:ascii="Times New Roman" w:hAnsi="Times New Roman" w:cs="Times New Roman" w:eastAsia="Times New Roman"/>
                <w:color w:val="auto"/>
                <w:spacing w:val="0"/>
                <w:position w:val="0"/>
                <w:sz w:val="27"/>
                <w:shd w:fill="auto" w:val="clear"/>
              </w:rPr>
              <w:t xml:space="preserve">ư liên tịch số 14/2015/TTLT-BTNMT-BTP ngày 04/4/2015 của Bộ Tài nguyên và Môi trường, Bộ Tư pháp</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Sửa </w:t>
            </w:r>
            <w:r>
              <w:rPr>
                <w:rFonts w:ascii="Times New Roman" w:hAnsi="Times New Roman" w:cs="Times New Roman" w:eastAsia="Times New Roman"/>
                <w:color w:val="auto"/>
                <w:spacing w:val="0"/>
                <w:position w:val="0"/>
                <w:sz w:val="27"/>
                <w:shd w:fill="auto" w:val="clear"/>
              </w:rPr>
              <w:t xml:space="preserve">đổi nội dung hướng dẫn xác định giá khởi điểm của thửa đất đấu giá tại Khoản 1, Điều 9, Thông tư li</w:t>
            </w:r>
            <w:r>
              <w:rPr>
                <w:rFonts w:ascii="Times New Roman" w:hAnsi="Times New Roman" w:cs="Times New Roman" w:eastAsia="Times New Roman"/>
                <w:color w:val="auto"/>
                <w:spacing w:val="0"/>
                <w:position w:val="0"/>
                <w:sz w:val="27"/>
                <w:shd w:fill="auto" w:val="clear"/>
              </w:rPr>
              <w:t xml:space="preserve">ên tịch số 14/2015/TTLT-BTNMT-BTP ngày 04/4/2015 của Bộ Tài nguyên và Môi tr</w:t>
            </w:r>
            <w:r>
              <w:rPr>
                <w:rFonts w:ascii="Times New Roman" w:hAnsi="Times New Roman" w:cs="Times New Roman" w:eastAsia="Times New Roman"/>
                <w:color w:val="auto"/>
                <w:spacing w:val="0"/>
                <w:position w:val="0"/>
                <w:sz w:val="27"/>
                <w:shd w:fill="auto" w:val="clear"/>
              </w:rPr>
              <w:t xml:space="preserve">ường, Bộ Tư pháp quy định việc tổ chức thực hiện đấu giá quyền sử dụng đất để giao đất có thu tiền sử dụng đất hoặc cho thuê đất cho phù hợp, thống nhất với Nghị định số 135/2016/NĐ-CP ngày 15/11/2016 của Chính phủ sửa đổi, bổ sung một số điều của các Nghị định quy định về thu tiền sử dụng đất, thu tiền thuê đất, thuê mặt nước.</w:t>
            </w:r>
          </w:p>
        </w:tc>
        <w:tc>
          <w:tcPr>
            <w:tcW w:w="6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2"/>
              <w:ind w:right="0" w:left="0" w:firstLine="0"/>
              <w:jc w:val="both"/>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color w:val="auto"/>
                <w:spacing w:val="0"/>
                <w:position w:val="0"/>
                <w:sz w:val="27"/>
                <w:shd w:fill="auto" w:val="clear"/>
              </w:rPr>
              <w:t xml:space="preserve">Theo quy </w:t>
            </w:r>
            <w:r>
              <w:rPr>
                <w:rFonts w:ascii="Times New Roman" w:hAnsi="Times New Roman" w:cs="Times New Roman" w:eastAsia="Times New Roman"/>
                <w:color w:val="auto"/>
                <w:spacing w:val="0"/>
                <w:position w:val="0"/>
                <w:sz w:val="27"/>
                <w:shd w:fill="auto" w:val="clear"/>
              </w:rPr>
              <w:t xml:space="preserve">định tại khoản 1, Điều 9, Thông tư li</w:t>
            </w:r>
            <w:r>
              <w:rPr>
                <w:rFonts w:ascii="Times New Roman" w:hAnsi="Times New Roman" w:cs="Times New Roman" w:eastAsia="Times New Roman"/>
                <w:color w:val="auto"/>
                <w:spacing w:val="0"/>
                <w:position w:val="0"/>
                <w:sz w:val="27"/>
                <w:shd w:fill="auto" w:val="clear"/>
              </w:rPr>
              <w:t xml:space="preserve">ên tịch số 14/2015/TTLT-BTNMT-BTP ngày 04/4/2015 của Bộ Tài nguyên và Môi tr</w:t>
            </w:r>
            <w:r>
              <w:rPr>
                <w:rFonts w:ascii="Times New Roman" w:hAnsi="Times New Roman" w:cs="Times New Roman" w:eastAsia="Times New Roman"/>
                <w:color w:val="auto"/>
                <w:spacing w:val="0"/>
                <w:position w:val="0"/>
                <w:sz w:val="27"/>
                <w:shd w:fill="auto" w:val="clear"/>
              </w:rPr>
              <w:t xml:space="preserve">ường, Bộ Tư pháp th</w:t>
            </w:r>
            <w:r>
              <w:rPr>
                <w:rFonts w:ascii="Times New Roman" w:hAnsi="Times New Roman" w:cs="Times New Roman" w:eastAsia="Times New Roman"/>
                <w:color w:val="auto"/>
                <w:spacing w:val="0"/>
                <w:position w:val="0"/>
                <w:sz w:val="27"/>
                <w:shd w:fill="auto" w:val="clear"/>
              </w:rPr>
              <w:t xml:space="preserve">ì “C</w:t>
            </w:r>
            <w:r>
              <w:rPr>
                <w:rFonts w:ascii="Times New Roman" w:hAnsi="Times New Roman" w:cs="Times New Roman" w:eastAsia="Times New Roman"/>
                <w:color w:val="auto"/>
                <w:spacing w:val="0"/>
                <w:position w:val="0"/>
                <w:sz w:val="27"/>
                <w:shd w:fill="auto" w:val="clear"/>
              </w:rPr>
              <w:t xml:space="preserve">ăn cứ quyết định đấu giá quyền sử dụng đất, </w:t>
            </w:r>
            <w:r>
              <w:rPr>
                <w:rFonts w:ascii="Times New Roman" w:hAnsi="Times New Roman" w:cs="Times New Roman" w:eastAsia="Times New Roman"/>
                <w:b/>
                <w:i/>
                <w:color w:val="auto"/>
                <w:spacing w:val="0"/>
                <w:position w:val="0"/>
                <w:sz w:val="27"/>
                <w:shd w:fill="auto" w:val="clear"/>
              </w:rPr>
              <w:t xml:space="preserve">Sở T</w:t>
            </w:r>
            <w:r>
              <w:rPr>
                <w:rFonts w:ascii="Times New Roman" w:hAnsi="Times New Roman" w:cs="Times New Roman" w:eastAsia="Times New Roman"/>
                <w:b/>
                <w:i/>
                <w:color w:val="auto"/>
                <w:spacing w:val="0"/>
                <w:position w:val="0"/>
                <w:sz w:val="27"/>
                <w:shd w:fill="auto" w:val="clear"/>
              </w:rPr>
              <w:t xml:space="preserve">ài nguyên và Môi tr</w:t>
            </w:r>
            <w:r>
              <w:rPr>
                <w:rFonts w:ascii="Times New Roman" w:hAnsi="Times New Roman" w:cs="Times New Roman" w:eastAsia="Times New Roman"/>
                <w:b/>
                <w:i/>
                <w:color w:val="auto"/>
                <w:spacing w:val="0"/>
                <w:position w:val="0"/>
                <w:sz w:val="27"/>
                <w:shd w:fill="auto" w:val="clear"/>
              </w:rPr>
              <w:t xml:space="preserve">ường</w:t>
            </w:r>
            <w:r>
              <w:rPr>
                <w:rFonts w:ascii="Times New Roman" w:hAnsi="Times New Roman" w:cs="Times New Roman" w:eastAsia="Times New Roman"/>
                <w:color w:val="auto"/>
                <w:spacing w:val="0"/>
                <w:position w:val="0"/>
                <w:sz w:val="27"/>
                <w:shd w:fill="auto" w:val="clear"/>
              </w:rPr>
              <w:t xml:space="preserve"> tổ chức thực hiện việc xác định giá khởi điểm của thửa đất đấu giá (gồm giá đất, hạ tầng kỹ thuật, tài sản gắn liền với đất nếu có) theo quy định của pháp luật và tr</w:t>
            </w:r>
            <w:r>
              <w:rPr>
                <w:rFonts w:ascii="Times New Roman" w:hAnsi="Times New Roman" w:cs="Times New Roman" w:eastAsia="Times New Roman"/>
                <w:color w:val="auto"/>
                <w:spacing w:val="0"/>
                <w:position w:val="0"/>
                <w:sz w:val="27"/>
                <w:shd w:fill="auto" w:val="clear"/>
              </w:rPr>
              <w:t xml:space="preserve">ình Ủy ban nhân dân tỉnh, thành phố trực thuộc Trung </w:t>
            </w:r>
            <w:r>
              <w:rPr>
                <w:rFonts w:ascii="Times New Roman" w:hAnsi="Times New Roman" w:cs="Times New Roman" w:eastAsia="Times New Roman"/>
                <w:color w:val="auto"/>
                <w:spacing w:val="0"/>
                <w:position w:val="0"/>
                <w:sz w:val="27"/>
                <w:shd w:fill="auto" w:val="clear"/>
              </w:rPr>
              <w:t xml:space="preserve">ương (sau đây gọi chung là Ủy ban nhân dân cấp tỉnh) phê duyệt”, hướng dẫn này chưa phù hợp với hướng dẫn tại điểm a, b, khoản 1, Điều 2, Nghị định số 135/2016/NĐ-CP, cụ thể: </w:t>
            </w:r>
          </w:p>
          <w:p>
            <w:pPr>
              <w:spacing w:before="0" w:after="0" w:line="252"/>
              <w:ind w:right="0" w:left="0" w:firstLine="0"/>
              <w:jc w:val="both"/>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color w:val="auto"/>
                <w:spacing w:val="0"/>
                <w:position w:val="0"/>
                <w:sz w:val="27"/>
                <w:shd w:fill="auto" w:val="clear"/>
              </w:rPr>
              <w:t xml:space="preserve">“a) Giá khởi </w:t>
            </w:r>
            <w:r>
              <w:rPr>
                <w:rFonts w:ascii="Times New Roman" w:hAnsi="Times New Roman" w:cs="Times New Roman" w:eastAsia="Times New Roman"/>
                <w:color w:val="auto"/>
                <w:spacing w:val="0"/>
                <w:position w:val="0"/>
                <w:sz w:val="27"/>
                <w:shd w:fill="auto" w:val="clear"/>
              </w:rPr>
              <w:t xml:space="preserve">điểm để đấu giá quyền sử dụng đất đối với trường hợp đấu giá quyền sử dụng đất m</w:t>
            </w:r>
            <w:r>
              <w:rPr>
                <w:rFonts w:ascii="Times New Roman" w:hAnsi="Times New Roman" w:cs="Times New Roman" w:eastAsia="Times New Roman"/>
                <w:color w:val="auto"/>
                <w:spacing w:val="0"/>
                <w:position w:val="0"/>
                <w:sz w:val="27"/>
                <w:shd w:fill="auto" w:val="clear"/>
              </w:rPr>
              <w:t xml:space="preserve">à diện tích tính thu tiền sử dụng </w:t>
            </w:r>
            <w:r>
              <w:rPr>
                <w:rFonts w:ascii="Times New Roman" w:hAnsi="Times New Roman" w:cs="Times New Roman" w:eastAsia="Times New Roman"/>
                <w:color w:val="auto"/>
                <w:spacing w:val="0"/>
                <w:position w:val="0"/>
                <w:sz w:val="27"/>
                <w:shd w:fill="auto" w:val="clear"/>
              </w:rPr>
              <w:t xml:space="preserve">đất của thửa đất hoặc khu đất đấu giá có giá trị (tính theo giá đất trong Bảng giá đất) từ 30 tỷ đồng trở l</w:t>
            </w:r>
            <w:r>
              <w:rPr>
                <w:rFonts w:ascii="Times New Roman" w:hAnsi="Times New Roman" w:cs="Times New Roman" w:eastAsia="Times New Roman"/>
                <w:color w:val="auto"/>
                <w:spacing w:val="0"/>
                <w:position w:val="0"/>
                <w:sz w:val="27"/>
                <w:shd w:fill="auto" w:val="clear"/>
              </w:rPr>
              <w:t xml:space="preserve">ên ... là giá </w:t>
            </w:r>
            <w:r>
              <w:rPr>
                <w:rFonts w:ascii="Times New Roman" w:hAnsi="Times New Roman" w:cs="Times New Roman" w:eastAsia="Times New Roman"/>
                <w:color w:val="auto"/>
                <w:spacing w:val="0"/>
                <w:position w:val="0"/>
                <w:sz w:val="27"/>
                <w:shd w:fill="auto" w:val="clear"/>
              </w:rPr>
              <w:t xml:space="preserve">đất cụ thể do Sở T</w:t>
            </w:r>
            <w:r>
              <w:rPr>
                <w:rFonts w:ascii="Times New Roman" w:hAnsi="Times New Roman" w:cs="Times New Roman" w:eastAsia="Times New Roman"/>
                <w:color w:val="auto"/>
                <w:spacing w:val="0"/>
                <w:position w:val="0"/>
                <w:sz w:val="27"/>
                <w:shd w:fill="auto" w:val="clear"/>
              </w:rPr>
              <w:t xml:space="preserve">ài nguyên và Môi tr</w:t>
            </w:r>
            <w:r>
              <w:rPr>
                <w:rFonts w:ascii="Times New Roman" w:hAnsi="Times New Roman" w:cs="Times New Roman" w:eastAsia="Times New Roman"/>
                <w:color w:val="auto"/>
                <w:spacing w:val="0"/>
                <w:position w:val="0"/>
                <w:sz w:val="27"/>
                <w:shd w:fill="auto" w:val="clear"/>
              </w:rPr>
              <w:t xml:space="preserve">ường xác định, chuyển cho Hội đồng thẩm định giá đất của địa phương do Sở Tài chính làm thường trực Hội đồng tổ chức thẩm định, tr</w:t>
            </w:r>
            <w:r>
              <w:rPr>
                <w:rFonts w:ascii="Times New Roman" w:hAnsi="Times New Roman" w:cs="Times New Roman" w:eastAsia="Times New Roman"/>
                <w:color w:val="auto"/>
                <w:spacing w:val="0"/>
                <w:position w:val="0"/>
                <w:sz w:val="27"/>
                <w:shd w:fill="auto" w:val="clear"/>
              </w:rPr>
              <w:t xml:space="preserve">ình Ủy ban nhân dân cấp tỉnh phê duyệt.</w:t>
            </w:r>
          </w:p>
          <w:p>
            <w:pPr>
              <w:spacing w:before="0" w:after="0" w:line="252"/>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b) Giá khởi </w:t>
            </w:r>
            <w:r>
              <w:rPr>
                <w:rFonts w:ascii="Times New Roman" w:hAnsi="Times New Roman" w:cs="Times New Roman" w:eastAsia="Times New Roman"/>
                <w:color w:val="auto"/>
                <w:spacing w:val="0"/>
                <w:position w:val="0"/>
                <w:sz w:val="27"/>
                <w:shd w:fill="auto" w:val="clear"/>
              </w:rPr>
              <w:t xml:space="preserve">điểm để đấu giá quyền sử dụng đất đối với trường hợp đấu giá quyền sử dụng đất m</w:t>
            </w:r>
            <w:r>
              <w:rPr>
                <w:rFonts w:ascii="Times New Roman" w:hAnsi="Times New Roman" w:cs="Times New Roman" w:eastAsia="Times New Roman"/>
                <w:color w:val="auto"/>
                <w:spacing w:val="0"/>
                <w:position w:val="0"/>
                <w:sz w:val="27"/>
                <w:shd w:fill="auto" w:val="clear"/>
              </w:rPr>
              <w:t xml:space="preserve">à diện tích tính thu tiền sử dụng </w:t>
            </w:r>
            <w:r>
              <w:rPr>
                <w:rFonts w:ascii="Times New Roman" w:hAnsi="Times New Roman" w:cs="Times New Roman" w:eastAsia="Times New Roman"/>
                <w:color w:val="auto"/>
                <w:spacing w:val="0"/>
                <w:position w:val="0"/>
                <w:sz w:val="27"/>
                <w:shd w:fill="auto" w:val="clear"/>
              </w:rPr>
              <w:t xml:space="preserve">đất của thửa đất hoặc khu đất đấu giá có giá trị (tính theo giá đất trong Bảng giá đất) dưới 30 tỷ đồng ... l</w:t>
            </w:r>
            <w:r>
              <w:rPr>
                <w:rFonts w:ascii="Times New Roman" w:hAnsi="Times New Roman" w:cs="Times New Roman" w:eastAsia="Times New Roman"/>
                <w:color w:val="auto"/>
                <w:spacing w:val="0"/>
                <w:position w:val="0"/>
                <w:sz w:val="27"/>
                <w:shd w:fill="auto" w:val="clear"/>
              </w:rPr>
              <w:t xml:space="preserve">à giá </w:t>
            </w:r>
            <w:r>
              <w:rPr>
                <w:rFonts w:ascii="Times New Roman" w:hAnsi="Times New Roman" w:cs="Times New Roman" w:eastAsia="Times New Roman"/>
                <w:color w:val="auto"/>
                <w:spacing w:val="0"/>
                <w:position w:val="0"/>
                <w:sz w:val="27"/>
                <w:shd w:fill="auto" w:val="clear"/>
              </w:rPr>
              <w:t xml:space="preserve">đất cụ thể do</w:t>
            </w:r>
            <w:r>
              <w:rPr>
                <w:rFonts w:ascii="Times New Roman" w:hAnsi="Times New Roman" w:cs="Times New Roman" w:eastAsia="Times New Roman"/>
                <w:i/>
                <w:color w:val="auto"/>
                <w:spacing w:val="0"/>
                <w:position w:val="0"/>
                <w:sz w:val="27"/>
                <w:shd w:fill="auto" w:val="clear"/>
              </w:rPr>
              <w:t xml:space="preserve"> </w:t>
            </w:r>
            <w:r>
              <w:rPr>
                <w:rFonts w:ascii="Times New Roman" w:hAnsi="Times New Roman" w:cs="Times New Roman" w:eastAsia="Times New Roman"/>
                <w:b/>
                <w:i/>
                <w:color w:val="auto"/>
                <w:spacing w:val="0"/>
                <w:position w:val="0"/>
                <w:sz w:val="27"/>
                <w:shd w:fill="auto" w:val="clear"/>
              </w:rPr>
              <w:t xml:space="preserve">cơ quan t</w:t>
            </w:r>
            <w:r>
              <w:rPr>
                <w:rFonts w:ascii="Times New Roman" w:hAnsi="Times New Roman" w:cs="Times New Roman" w:eastAsia="Times New Roman"/>
                <w:b/>
                <w:i/>
                <w:color w:val="auto"/>
                <w:spacing w:val="0"/>
                <w:position w:val="0"/>
                <w:sz w:val="27"/>
                <w:shd w:fill="auto" w:val="clear"/>
              </w:rPr>
              <w:t xml:space="preserve">ài chính</w:t>
            </w:r>
            <w:r>
              <w:rPr>
                <w:rFonts w:ascii="Times New Roman" w:hAnsi="Times New Roman" w:cs="Times New Roman" w:eastAsia="Times New Roman"/>
                <w:i/>
                <w:color w:val="auto"/>
                <w:spacing w:val="0"/>
                <w:position w:val="0"/>
                <w:sz w:val="27"/>
                <w:shd w:fill="auto" w:val="clear"/>
              </w:rPr>
              <w:t xml:space="preserve"> </w:t>
            </w:r>
            <w:r>
              <w:rPr>
                <w:rFonts w:ascii="Times New Roman" w:hAnsi="Times New Roman" w:cs="Times New Roman" w:eastAsia="Times New Roman"/>
                <w:color w:val="auto"/>
                <w:spacing w:val="0"/>
                <w:position w:val="0"/>
                <w:sz w:val="27"/>
                <w:shd w:fill="auto" w:val="clear"/>
              </w:rPr>
              <w:t xml:space="preserve">xác </w:t>
            </w:r>
            <w:r>
              <w:rPr>
                <w:rFonts w:ascii="Times New Roman" w:hAnsi="Times New Roman" w:cs="Times New Roman" w:eastAsia="Times New Roman"/>
                <w:color w:val="auto"/>
                <w:spacing w:val="0"/>
                <w:position w:val="0"/>
                <w:sz w:val="27"/>
                <w:shd w:fill="auto" w:val="clear"/>
              </w:rPr>
              <w:t xml:space="preserve">định theo phương pháp hệ số điều chỉnh giá đất”.</w:t>
            </w:r>
          </w:p>
        </w:tc>
        <w:tc>
          <w:tcPr>
            <w:tcW w:w="14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Bộ T</w:t>
            </w:r>
            <w:r>
              <w:rPr>
                <w:rFonts w:ascii="Times New Roman" w:hAnsi="Times New Roman" w:cs="Times New Roman" w:eastAsia="Times New Roman"/>
                <w:color w:val="auto"/>
                <w:spacing w:val="0"/>
                <w:position w:val="0"/>
                <w:sz w:val="27"/>
                <w:shd w:fill="auto" w:val="clear"/>
              </w:rPr>
              <w:t xml:space="preserve">ư pháp; Bộ Tài nguyên và Môi trường</w:t>
            </w:r>
          </w:p>
        </w:tc>
      </w:tr>
      <w:tr>
        <w:trPr>
          <w:trHeight w:val="1" w:hRule="atLeast"/>
          <w:jc w:val="left"/>
        </w:trPr>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4</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Thông t</w:t>
            </w:r>
            <w:r>
              <w:rPr>
                <w:rFonts w:ascii="Times New Roman" w:hAnsi="Times New Roman" w:cs="Times New Roman" w:eastAsia="Times New Roman"/>
                <w:color w:val="auto"/>
                <w:spacing w:val="0"/>
                <w:position w:val="0"/>
                <w:sz w:val="27"/>
                <w:shd w:fill="auto" w:val="clear"/>
              </w:rPr>
              <w:t xml:space="preserve">ư số 36/2014/TT-BTNMT ngày 30/6/2014 của Bộ Tài nguyên và Môi trường</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Sửa </w:t>
            </w:r>
            <w:r>
              <w:rPr>
                <w:rFonts w:ascii="Times New Roman" w:hAnsi="Times New Roman" w:cs="Times New Roman" w:eastAsia="Times New Roman"/>
                <w:color w:val="auto"/>
                <w:spacing w:val="0"/>
                <w:position w:val="0"/>
                <w:sz w:val="27"/>
                <w:shd w:fill="auto" w:val="clear"/>
              </w:rPr>
              <w:t xml:space="preserve">đổi những bất cập về hướng dẫn tại Thông tư 36/2014/TT-BTNMT ng</w:t>
            </w:r>
            <w:r>
              <w:rPr>
                <w:rFonts w:ascii="Times New Roman" w:hAnsi="Times New Roman" w:cs="Times New Roman" w:eastAsia="Times New Roman"/>
                <w:color w:val="auto"/>
                <w:spacing w:val="0"/>
                <w:position w:val="0"/>
                <w:sz w:val="27"/>
                <w:shd w:fill="auto" w:val="clear"/>
              </w:rPr>
              <w:t xml:space="preserve">ày 30/6/2014 của Bộ TN&amp;MT “Quy </w:t>
            </w:r>
            <w:r>
              <w:rPr>
                <w:rFonts w:ascii="Times New Roman" w:hAnsi="Times New Roman" w:cs="Times New Roman" w:eastAsia="Times New Roman"/>
                <w:color w:val="auto"/>
                <w:spacing w:val="0"/>
                <w:position w:val="0"/>
                <w:sz w:val="27"/>
                <w:shd w:fill="auto" w:val="clear"/>
              </w:rPr>
              <w:t xml:space="preserve">định chi tiết phương pháp định giá đất; xây dựng điều chỉnh bảng giá đất; định giá đất cụ thể v</w:t>
            </w:r>
            <w:r>
              <w:rPr>
                <w:rFonts w:ascii="Times New Roman" w:hAnsi="Times New Roman" w:cs="Times New Roman" w:eastAsia="Times New Roman"/>
                <w:color w:val="auto"/>
                <w:spacing w:val="0"/>
                <w:position w:val="0"/>
                <w:sz w:val="27"/>
                <w:shd w:fill="auto" w:val="clear"/>
              </w:rPr>
              <w:t xml:space="preserve">à t</w:t>
            </w:r>
            <w:r>
              <w:rPr>
                <w:rFonts w:ascii="Times New Roman" w:hAnsi="Times New Roman" w:cs="Times New Roman" w:eastAsia="Times New Roman"/>
                <w:color w:val="auto"/>
                <w:spacing w:val="0"/>
                <w:position w:val="0"/>
                <w:sz w:val="27"/>
                <w:shd w:fill="auto" w:val="clear"/>
              </w:rPr>
              <w:t xml:space="preserve">ư vấn xác định giá đất”.</w:t>
            </w:r>
          </w:p>
        </w:tc>
        <w:tc>
          <w:tcPr>
            <w:tcW w:w="6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2"/>
              <w:ind w:right="0" w:left="0" w:firstLine="0"/>
              <w:jc w:val="both"/>
              <w:rPr>
                <w:color w:val="auto"/>
                <w:position w:val="0"/>
                <w:shd w:fill="auto" w:val="clear"/>
              </w:rPr>
            </w:pPr>
            <w:r>
              <w:rPr>
                <w:rFonts w:ascii="Times New Roman" w:hAnsi="Times New Roman" w:cs="Times New Roman" w:eastAsia="Times New Roman"/>
                <w:color w:val="auto"/>
                <w:spacing w:val="-2"/>
                <w:position w:val="0"/>
                <w:sz w:val="27"/>
                <w:shd w:fill="auto" w:val="clear"/>
              </w:rPr>
              <w:t xml:space="preserve">Xác </w:t>
            </w:r>
            <w:r>
              <w:rPr>
                <w:rFonts w:ascii="Times New Roman" w:hAnsi="Times New Roman" w:cs="Times New Roman" w:eastAsia="Times New Roman"/>
                <w:color w:val="auto"/>
                <w:spacing w:val="-2"/>
                <w:position w:val="0"/>
                <w:sz w:val="27"/>
                <w:shd w:fill="auto" w:val="clear"/>
              </w:rPr>
              <w:t xml:space="preserve">định giá thu tiền sử dụng đất, tiền thu</w:t>
            </w:r>
            <w:r>
              <w:rPr>
                <w:rFonts w:ascii="Times New Roman" w:hAnsi="Times New Roman" w:cs="Times New Roman" w:eastAsia="Times New Roman"/>
                <w:color w:val="auto"/>
                <w:spacing w:val="-2"/>
                <w:position w:val="0"/>
                <w:sz w:val="27"/>
                <w:shd w:fill="auto" w:val="clear"/>
              </w:rPr>
              <w:t xml:space="preserve">ê </w:t>
            </w:r>
            <w:r>
              <w:rPr>
                <w:rFonts w:ascii="Times New Roman" w:hAnsi="Times New Roman" w:cs="Times New Roman" w:eastAsia="Times New Roman"/>
                <w:color w:val="auto"/>
                <w:spacing w:val="-2"/>
                <w:position w:val="0"/>
                <w:sz w:val="27"/>
                <w:shd w:fill="auto" w:val="clear"/>
              </w:rPr>
              <w:t xml:space="preserve">đất của các dự án theo phương pháp so sánh hoặc phương pháp thặng dư kết hợp so sánh chưa ph</w:t>
            </w:r>
            <w:r>
              <w:rPr>
                <w:rFonts w:ascii="Times New Roman" w:hAnsi="Times New Roman" w:cs="Times New Roman" w:eastAsia="Times New Roman"/>
                <w:color w:val="auto"/>
                <w:spacing w:val="-2"/>
                <w:position w:val="0"/>
                <w:sz w:val="27"/>
                <w:shd w:fill="auto" w:val="clear"/>
              </w:rPr>
              <w:t xml:space="preserve">ù hợp quy </w:t>
            </w:r>
            <w:r>
              <w:rPr>
                <w:rFonts w:ascii="Times New Roman" w:hAnsi="Times New Roman" w:cs="Times New Roman" w:eastAsia="Times New Roman"/>
                <w:color w:val="auto"/>
                <w:spacing w:val="-2"/>
                <w:position w:val="0"/>
                <w:sz w:val="27"/>
                <w:shd w:fill="auto" w:val="clear"/>
              </w:rPr>
              <w:t xml:space="preserve">định v</w:t>
            </w:r>
            <w:r>
              <w:rPr>
                <w:rFonts w:ascii="Times New Roman" w:hAnsi="Times New Roman" w:cs="Times New Roman" w:eastAsia="Times New Roman"/>
                <w:color w:val="auto"/>
                <w:spacing w:val="-2"/>
                <w:position w:val="0"/>
                <w:sz w:val="27"/>
                <w:shd w:fill="auto" w:val="clear"/>
              </w:rPr>
              <w:t xml:space="preserve">à thực tế: (i) Việc h</w:t>
            </w:r>
            <w:r>
              <w:rPr>
                <w:rFonts w:ascii="Times New Roman" w:hAnsi="Times New Roman" w:cs="Times New Roman" w:eastAsia="Times New Roman"/>
                <w:color w:val="auto"/>
                <w:spacing w:val="-2"/>
                <w:position w:val="0"/>
                <w:sz w:val="27"/>
                <w:shd w:fill="auto" w:val="clear"/>
              </w:rPr>
              <w:t xml:space="preserve">ướng dẫn điều chỉnh mức giá do các yếu tố khác biệt của các thửa đất so sánh với thửa đất cần định giá mang nhiều tính chủ quan của cá nhân, tổ chức thẩm định giá nên việc quy đổi điều chỉnh khó đảm bảo chính xác; (ii) Quy định giá của thửa đất cần định giá đ</w:t>
            </w:r>
            <w:r>
              <w:rPr>
                <w:rFonts w:ascii="Times New Roman" w:hAnsi="Times New Roman" w:cs="Times New Roman" w:eastAsia="Times New Roman"/>
                <w:color w:val="auto"/>
                <w:spacing w:val="-2"/>
                <w:position w:val="0"/>
                <w:sz w:val="27"/>
                <w:shd w:fill="auto" w:val="clear"/>
              </w:rPr>
              <w:t xml:space="preserve">ã xác </w:t>
            </w:r>
            <w:r>
              <w:rPr>
                <w:rFonts w:ascii="Times New Roman" w:hAnsi="Times New Roman" w:cs="Times New Roman" w:eastAsia="Times New Roman"/>
                <w:color w:val="auto"/>
                <w:spacing w:val="-2"/>
                <w:position w:val="0"/>
                <w:sz w:val="27"/>
                <w:shd w:fill="auto" w:val="clear"/>
              </w:rPr>
              <w:t xml:space="preserve">định phải đảm bảo ch</w:t>
            </w:r>
            <w:r>
              <w:rPr>
                <w:rFonts w:ascii="Times New Roman" w:hAnsi="Times New Roman" w:cs="Times New Roman" w:eastAsia="Times New Roman"/>
                <w:color w:val="auto"/>
                <w:spacing w:val="-2"/>
                <w:position w:val="0"/>
                <w:sz w:val="27"/>
                <w:shd w:fill="auto" w:val="clear"/>
              </w:rPr>
              <w:t xml:space="preserve">ênh lệch với từng mức giá </w:t>
            </w:r>
            <w:r>
              <w:rPr>
                <w:rFonts w:ascii="Times New Roman" w:hAnsi="Times New Roman" w:cs="Times New Roman" w:eastAsia="Times New Roman"/>
                <w:color w:val="auto"/>
                <w:spacing w:val="-2"/>
                <w:position w:val="0"/>
                <w:sz w:val="27"/>
                <w:shd w:fill="auto" w:val="clear"/>
              </w:rPr>
              <w:t xml:space="preserve">ước tính không quá 10% trong thực tế không phù hợp đối với trường hợp các dự án giao đất ở những địa bàn ngoại thành, địa thế khó khăn không có nhiều tài sản tương đồng lựa chọn để so sánh dẫn đến mức giá của các tài sản so sánh chênh lệch lớn, không đảm bảo điều kiện theo quy định của Thông tư; (iii) Việc quy định chi phí dự ph</w:t>
            </w:r>
            <w:r>
              <w:rPr>
                <w:rFonts w:ascii="Times New Roman" w:hAnsi="Times New Roman" w:cs="Times New Roman" w:eastAsia="Times New Roman"/>
                <w:color w:val="auto"/>
                <w:spacing w:val="-2"/>
                <w:position w:val="0"/>
                <w:sz w:val="27"/>
                <w:shd w:fill="auto" w:val="clear"/>
              </w:rPr>
              <w:t xml:space="preserve">òng trong tính toán chi phí phát triển theo suất vốn </w:t>
            </w:r>
            <w:r>
              <w:rPr>
                <w:rFonts w:ascii="Times New Roman" w:hAnsi="Times New Roman" w:cs="Times New Roman" w:eastAsia="Times New Roman"/>
                <w:color w:val="auto"/>
                <w:spacing w:val="-2"/>
                <w:position w:val="0"/>
                <w:sz w:val="27"/>
                <w:shd w:fill="auto" w:val="clear"/>
              </w:rPr>
              <w:t xml:space="preserve">đầu tư chưa r</w:t>
            </w:r>
            <w:r>
              <w:rPr>
                <w:rFonts w:ascii="Times New Roman" w:hAnsi="Times New Roman" w:cs="Times New Roman" w:eastAsia="Times New Roman"/>
                <w:color w:val="auto"/>
                <w:spacing w:val="-2"/>
                <w:position w:val="0"/>
                <w:sz w:val="27"/>
                <w:shd w:fill="auto" w:val="clear"/>
              </w:rPr>
              <w:t xml:space="preserve">õ ràng, ch</w:t>
            </w:r>
            <w:r>
              <w:rPr>
                <w:rFonts w:ascii="Times New Roman" w:hAnsi="Times New Roman" w:cs="Times New Roman" w:eastAsia="Times New Roman"/>
                <w:color w:val="auto"/>
                <w:spacing w:val="-2"/>
                <w:position w:val="0"/>
                <w:sz w:val="27"/>
                <w:shd w:fill="auto" w:val="clear"/>
              </w:rPr>
              <w:t xml:space="preserve">ưa cụ thể và không hợp l</w:t>
            </w:r>
            <w:r>
              <w:rPr>
                <w:rFonts w:ascii="Times New Roman" w:hAnsi="Times New Roman" w:cs="Times New Roman" w:eastAsia="Times New Roman"/>
                <w:color w:val="auto"/>
                <w:spacing w:val="-2"/>
                <w:position w:val="0"/>
                <w:sz w:val="27"/>
                <w:shd w:fill="auto" w:val="clear"/>
              </w:rPr>
              <w:t xml:space="preserve">ý; (iv) Quy </w:t>
            </w:r>
            <w:r>
              <w:rPr>
                <w:rFonts w:ascii="Times New Roman" w:hAnsi="Times New Roman" w:cs="Times New Roman" w:eastAsia="Times New Roman"/>
                <w:color w:val="auto"/>
                <w:spacing w:val="-2"/>
                <w:position w:val="0"/>
                <w:sz w:val="27"/>
                <w:shd w:fill="auto" w:val="clear"/>
              </w:rPr>
              <w:t xml:space="preserve">định ước tính các khoản doanh thu, chi phí thực hiện theo từng năm v</w:t>
            </w:r>
            <w:r>
              <w:rPr>
                <w:rFonts w:ascii="Times New Roman" w:hAnsi="Times New Roman" w:cs="Times New Roman" w:eastAsia="Times New Roman"/>
                <w:color w:val="auto"/>
                <w:spacing w:val="-2"/>
                <w:position w:val="0"/>
                <w:sz w:val="27"/>
                <w:shd w:fill="auto" w:val="clear"/>
              </w:rPr>
              <w:t xml:space="preserve">à phải chiết khấu về giá trị hiện tại tại thời </w:t>
            </w:r>
            <w:r>
              <w:rPr>
                <w:rFonts w:ascii="Times New Roman" w:hAnsi="Times New Roman" w:cs="Times New Roman" w:eastAsia="Times New Roman"/>
                <w:color w:val="auto"/>
                <w:spacing w:val="-2"/>
                <w:position w:val="0"/>
                <w:sz w:val="27"/>
                <w:shd w:fill="auto" w:val="clear"/>
              </w:rPr>
              <w:t xml:space="preserve">điểm định giá đất c</w:t>
            </w:r>
            <w:r>
              <w:rPr>
                <w:rFonts w:ascii="Times New Roman" w:hAnsi="Times New Roman" w:cs="Times New Roman" w:eastAsia="Times New Roman"/>
                <w:color w:val="auto"/>
                <w:spacing w:val="-2"/>
                <w:position w:val="0"/>
                <w:sz w:val="27"/>
                <w:shd w:fill="auto" w:val="clear"/>
              </w:rPr>
              <w:t xml:space="preserve">òn bất cập làm giảm doanh thu phát triển, tiền sử dụng </w:t>
            </w:r>
            <w:r>
              <w:rPr>
                <w:rFonts w:ascii="Times New Roman" w:hAnsi="Times New Roman" w:cs="Times New Roman" w:eastAsia="Times New Roman"/>
                <w:color w:val="auto"/>
                <w:spacing w:val="-2"/>
                <w:position w:val="0"/>
                <w:sz w:val="27"/>
                <w:shd w:fill="auto" w:val="clear"/>
              </w:rPr>
              <w:t xml:space="preserve">đất phải nộp NSNN; (v) Việc xác định chi phí phát triển của các dự án theo suất đầu tư c</w:t>
            </w:r>
            <w:r>
              <w:rPr>
                <w:rFonts w:ascii="Times New Roman" w:hAnsi="Times New Roman" w:cs="Times New Roman" w:eastAsia="Times New Roman"/>
                <w:color w:val="auto"/>
                <w:spacing w:val="-2"/>
                <w:position w:val="0"/>
                <w:sz w:val="27"/>
                <w:shd w:fill="auto" w:val="clear"/>
              </w:rPr>
              <w:t xml:space="preserve">òn nhiều bất cập, tiềm ẩn nguy c</w:t>
            </w:r>
            <w:r>
              <w:rPr>
                <w:rFonts w:ascii="Times New Roman" w:hAnsi="Times New Roman" w:cs="Times New Roman" w:eastAsia="Times New Roman"/>
                <w:color w:val="auto"/>
                <w:spacing w:val="-2"/>
                <w:position w:val="0"/>
                <w:sz w:val="27"/>
                <w:shd w:fill="auto" w:val="clear"/>
              </w:rPr>
              <w:t xml:space="preserve">ơ thất thu cho NSNN; (vi) Chưa có hướng dẫn cụ thể, chi tiết cách thức xác định doanh thu phát triển dự kiến của dự án không bao gồm thuế GTGT; (vii) Hướng dẫn tại khoản 5, Điều 6 và Phụ lục số 04, Thông tư số 36/2014/TT-BTNMT về tính giá đất theo phương pháp thặng dư chưa r</w:t>
            </w:r>
            <w:r>
              <w:rPr>
                <w:rFonts w:ascii="Times New Roman" w:hAnsi="Times New Roman" w:cs="Times New Roman" w:eastAsia="Times New Roman"/>
                <w:color w:val="auto"/>
                <w:spacing w:val="-2"/>
                <w:position w:val="0"/>
                <w:sz w:val="27"/>
                <w:shd w:fill="auto" w:val="clear"/>
              </w:rPr>
              <w:t xml:space="preserve">õ ràng dẫn </w:t>
            </w:r>
            <w:r>
              <w:rPr>
                <w:rFonts w:ascii="Times New Roman" w:hAnsi="Times New Roman" w:cs="Times New Roman" w:eastAsia="Times New Roman"/>
                <w:color w:val="auto"/>
                <w:spacing w:val="-2"/>
                <w:position w:val="0"/>
                <w:sz w:val="27"/>
                <w:shd w:fill="auto" w:val="clear"/>
              </w:rPr>
              <w:t xml:space="preserve">đến một số địa phương khi áp dụng c</w:t>
            </w:r>
            <w:r>
              <w:rPr>
                <w:rFonts w:ascii="Times New Roman" w:hAnsi="Times New Roman" w:cs="Times New Roman" w:eastAsia="Times New Roman"/>
                <w:color w:val="auto"/>
                <w:spacing w:val="-2"/>
                <w:position w:val="0"/>
                <w:sz w:val="27"/>
                <w:shd w:fill="auto" w:val="clear"/>
              </w:rPr>
              <w:t xml:space="preserve">ùng một ph</w:t>
            </w:r>
            <w:r>
              <w:rPr>
                <w:rFonts w:ascii="Times New Roman" w:hAnsi="Times New Roman" w:cs="Times New Roman" w:eastAsia="Times New Roman"/>
                <w:color w:val="auto"/>
                <w:spacing w:val="-2"/>
                <w:position w:val="0"/>
                <w:sz w:val="27"/>
                <w:shd w:fill="auto" w:val="clear"/>
              </w:rPr>
              <w:t xml:space="preserve">ương pháp nhưng hiểu khác nhau dẫn đến xác định tiền sử dụng đất phải nộp NSNN là khác nhau, gây thất thu cho NSNN.</w:t>
            </w:r>
          </w:p>
        </w:tc>
        <w:tc>
          <w:tcPr>
            <w:tcW w:w="14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Bộ Tài nguyên và Môi tr</w:t>
            </w:r>
            <w:r>
              <w:rPr>
                <w:rFonts w:ascii="Times New Roman" w:hAnsi="Times New Roman" w:cs="Times New Roman" w:eastAsia="Times New Roman"/>
                <w:color w:val="auto"/>
                <w:spacing w:val="0"/>
                <w:position w:val="0"/>
                <w:sz w:val="27"/>
                <w:shd w:fill="auto" w:val="clear"/>
              </w:rPr>
              <w:t xml:space="preserve">ường</w:t>
            </w:r>
          </w:p>
        </w:tc>
      </w:tr>
      <w:tr>
        <w:trPr>
          <w:trHeight w:val="1" w:hRule="atLeast"/>
          <w:jc w:val="left"/>
        </w:trPr>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5</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Thông t</w:t>
            </w:r>
            <w:r>
              <w:rPr>
                <w:rFonts w:ascii="Times New Roman" w:hAnsi="Times New Roman" w:cs="Times New Roman" w:eastAsia="Times New Roman"/>
                <w:color w:val="auto"/>
                <w:spacing w:val="0"/>
                <w:position w:val="0"/>
                <w:sz w:val="27"/>
                <w:shd w:fill="auto" w:val="clear"/>
              </w:rPr>
              <w:t xml:space="preserve">ư số 219/2013/TT-BTC</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both"/>
              <w:rPr>
                <w:color w:val="auto"/>
                <w:position w:val="0"/>
                <w:shd w:fill="auto" w:val="clear"/>
              </w:rPr>
            </w:pPr>
            <w:r>
              <w:rPr>
                <w:rFonts w:ascii="Times New Roman" w:hAnsi="Times New Roman" w:cs="Times New Roman" w:eastAsia="Times New Roman"/>
                <w:color w:val="auto"/>
                <w:spacing w:val="-4"/>
                <w:position w:val="0"/>
                <w:sz w:val="27"/>
                <w:shd w:fill="auto" w:val="clear"/>
              </w:rPr>
              <w:t xml:space="preserve">H</w:t>
            </w:r>
            <w:r>
              <w:rPr>
                <w:rFonts w:ascii="Times New Roman" w:hAnsi="Times New Roman" w:cs="Times New Roman" w:eastAsia="Times New Roman"/>
                <w:color w:val="auto"/>
                <w:spacing w:val="-4"/>
                <w:position w:val="0"/>
                <w:sz w:val="27"/>
                <w:shd w:fill="auto" w:val="clear"/>
              </w:rPr>
              <w:t xml:space="preserve">ướng dẫn cụ thể việc xác định thuế GTGT đối với trường hợp nhà nước giao đất đ</w:t>
            </w:r>
            <w:r>
              <w:rPr>
                <w:rFonts w:ascii="Times New Roman" w:hAnsi="Times New Roman" w:cs="Times New Roman" w:eastAsia="Times New Roman"/>
                <w:color w:val="auto"/>
                <w:spacing w:val="-4"/>
                <w:position w:val="0"/>
                <w:sz w:val="27"/>
                <w:shd w:fill="auto" w:val="clear"/>
              </w:rPr>
              <w:t xml:space="preserve">ã </w:t>
            </w:r>
            <w:r>
              <w:rPr>
                <w:rFonts w:ascii="Times New Roman" w:hAnsi="Times New Roman" w:cs="Times New Roman" w:eastAsia="Times New Roman"/>
                <w:color w:val="auto"/>
                <w:spacing w:val="-4"/>
                <w:position w:val="0"/>
                <w:sz w:val="27"/>
                <w:shd w:fill="auto" w:val="clear"/>
              </w:rPr>
              <w:t xml:space="preserve">được san lấp mặt bằng gắn với cơ sở hạ tầng cho chủ đầu tư m</w:t>
            </w:r>
            <w:r>
              <w:rPr>
                <w:rFonts w:ascii="Times New Roman" w:hAnsi="Times New Roman" w:cs="Times New Roman" w:eastAsia="Times New Roman"/>
                <w:color w:val="auto"/>
                <w:spacing w:val="-4"/>
                <w:position w:val="0"/>
                <w:sz w:val="27"/>
                <w:shd w:fill="auto" w:val="clear"/>
              </w:rPr>
              <w:t xml:space="preserve">à phần chi phí này do nhà n</w:t>
            </w:r>
            <w:r>
              <w:rPr>
                <w:rFonts w:ascii="Times New Roman" w:hAnsi="Times New Roman" w:cs="Times New Roman" w:eastAsia="Times New Roman"/>
                <w:color w:val="auto"/>
                <w:spacing w:val="-4"/>
                <w:position w:val="0"/>
                <w:sz w:val="27"/>
                <w:shd w:fill="auto" w:val="clear"/>
              </w:rPr>
              <w:t xml:space="preserve">ước đầu tư nhưng giao cho chủ đầu tư thực hiện và được khấu trừ vào tiền sử dụng đất phải nộp sau đó nhà đầu tư phân lô bán nền chuyển nhượng cho người mua (không bỏ chi phí đầu tư, không xây dựng nhà ở, công tr</w:t>
            </w:r>
            <w:r>
              <w:rPr>
                <w:rFonts w:ascii="Times New Roman" w:hAnsi="Times New Roman" w:cs="Times New Roman" w:eastAsia="Times New Roman"/>
                <w:color w:val="auto"/>
                <w:spacing w:val="-4"/>
                <w:position w:val="0"/>
                <w:sz w:val="27"/>
                <w:shd w:fill="auto" w:val="clear"/>
              </w:rPr>
              <w:t xml:space="preserve">ình kiến trúc trên </w:t>
            </w:r>
            <w:r>
              <w:rPr>
                <w:rFonts w:ascii="Times New Roman" w:hAnsi="Times New Roman" w:cs="Times New Roman" w:eastAsia="Times New Roman"/>
                <w:color w:val="auto"/>
                <w:spacing w:val="-4"/>
                <w:position w:val="0"/>
                <w:sz w:val="27"/>
                <w:shd w:fill="auto" w:val="clear"/>
              </w:rPr>
              <w:t xml:space="preserve">đất), thực tế chủ đầu tư đang không xác định thuế GTGT đối với việc chuyển nhượng tr</w:t>
            </w:r>
            <w:r>
              <w:rPr>
                <w:rFonts w:ascii="Times New Roman" w:hAnsi="Times New Roman" w:cs="Times New Roman" w:eastAsia="Times New Roman"/>
                <w:color w:val="auto"/>
                <w:spacing w:val="-4"/>
                <w:position w:val="0"/>
                <w:sz w:val="27"/>
                <w:shd w:fill="auto" w:val="clear"/>
              </w:rPr>
              <w:t xml:space="preserve">ên, </w:t>
            </w:r>
            <w:r>
              <w:rPr>
                <w:rFonts w:ascii="Times New Roman" w:hAnsi="Times New Roman" w:cs="Times New Roman" w:eastAsia="Times New Roman"/>
                <w:color w:val="auto"/>
                <w:spacing w:val="-4"/>
                <w:position w:val="0"/>
                <w:sz w:val="27"/>
                <w:shd w:fill="auto" w:val="clear"/>
              </w:rPr>
              <w:t xml:space="preserve">đảm bảo thống nhất giữa quy định tại khoản 6, Điều 5 v</w:t>
            </w:r>
            <w:r>
              <w:rPr>
                <w:rFonts w:ascii="Times New Roman" w:hAnsi="Times New Roman" w:cs="Times New Roman" w:eastAsia="Times New Roman"/>
                <w:color w:val="auto"/>
                <w:spacing w:val="-4"/>
                <w:position w:val="0"/>
                <w:sz w:val="27"/>
                <w:shd w:fill="auto" w:val="clear"/>
              </w:rPr>
              <w:t xml:space="preserve">à quy </w:t>
            </w:r>
            <w:r>
              <w:rPr>
                <w:rFonts w:ascii="Times New Roman" w:hAnsi="Times New Roman" w:cs="Times New Roman" w:eastAsia="Times New Roman"/>
                <w:color w:val="auto"/>
                <w:spacing w:val="-4"/>
                <w:position w:val="0"/>
                <w:sz w:val="27"/>
                <w:shd w:fill="auto" w:val="clear"/>
              </w:rPr>
              <w:t xml:space="preserve">định tại khoản h, Điều 7 Luật Thuế GTGT số 13/2008/QH12; thống nhất giữa quy định tại khoản 6, Điều 4 v</w:t>
            </w:r>
            <w:r>
              <w:rPr>
                <w:rFonts w:ascii="Times New Roman" w:hAnsi="Times New Roman" w:cs="Times New Roman" w:eastAsia="Times New Roman"/>
                <w:color w:val="auto"/>
                <w:spacing w:val="-4"/>
                <w:position w:val="0"/>
                <w:sz w:val="27"/>
                <w:shd w:fill="auto" w:val="clear"/>
              </w:rPr>
              <w:t xml:space="preserve">à quy </w:t>
            </w:r>
            <w:r>
              <w:rPr>
                <w:rFonts w:ascii="Times New Roman" w:hAnsi="Times New Roman" w:cs="Times New Roman" w:eastAsia="Times New Roman"/>
                <w:color w:val="auto"/>
                <w:spacing w:val="-4"/>
                <w:position w:val="0"/>
                <w:sz w:val="27"/>
                <w:shd w:fill="auto" w:val="clear"/>
              </w:rPr>
              <w:t xml:space="preserve">định tại khoản 10, Điều 7 Thông tư số 219/2013/TT BTC.</w:t>
            </w:r>
          </w:p>
        </w:tc>
        <w:tc>
          <w:tcPr>
            <w:tcW w:w="6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2"/>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Ch</w:t>
            </w:r>
            <w:r>
              <w:rPr>
                <w:rFonts w:ascii="Times New Roman" w:hAnsi="Times New Roman" w:cs="Times New Roman" w:eastAsia="Times New Roman"/>
                <w:color w:val="auto"/>
                <w:spacing w:val="0"/>
                <w:position w:val="0"/>
                <w:sz w:val="27"/>
                <w:shd w:fill="auto" w:val="clear"/>
              </w:rPr>
              <w:t xml:space="preserve">ưa hướng dẫn cụ thể việc xác định thuế GTGT đối với trường hợp nhà nước giao đất đ</w:t>
            </w:r>
            <w:r>
              <w:rPr>
                <w:rFonts w:ascii="Times New Roman" w:hAnsi="Times New Roman" w:cs="Times New Roman" w:eastAsia="Times New Roman"/>
                <w:color w:val="auto"/>
                <w:spacing w:val="0"/>
                <w:position w:val="0"/>
                <w:sz w:val="27"/>
                <w:shd w:fill="auto" w:val="clear"/>
              </w:rPr>
              <w:t xml:space="preserve">ã </w:t>
            </w:r>
            <w:r>
              <w:rPr>
                <w:rFonts w:ascii="Times New Roman" w:hAnsi="Times New Roman" w:cs="Times New Roman" w:eastAsia="Times New Roman"/>
                <w:color w:val="auto"/>
                <w:spacing w:val="0"/>
                <w:position w:val="0"/>
                <w:sz w:val="27"/>
                <w:shd w:fill="auto" w:val="clear"/>
              </w:rPr>
              <w:t xml:space="preserve">được san lấp mặt bằng gắn với cơ sở hạ tầng cho chủ đầu tư m</w:t>
            </w:r>
            <w:r>
              <w:rPr>
                <w:rFonts w:ascii="Times New Roman" w:hAnsi="Times New Roman" w:cs="Times New Roman" w:eastAsia="Times New Roman"/>
                <w:color w:val="auto"/>
                <w:spacing w:val="0"/>
                <w:position w:val="0"/>
                <w:sz w:val="27"/>
                <w:shd w:fill="auto" w:val="clear"/>
              </w:rPr>
              <w:t xml:space="preserve">à phần chi phí này do nhà n</w:t>
            </w:r>
            <w:r>
              <w:rPr>
                <w:rFonts w:ascii="Times New Roman" w:hAnsi="Times New Roman" w:cs="Times New Roman" w:eastAsia="Times New Roman"/>
                <w:color w:val="auto"/>
                <w:spacing w:val="0"/>
                <w:position w:val="0"/>
                <w:sz w:val="27"/>
                <w:shd w:fill="auto" w:val="clear"/>
              </w:rPr>
              <w:t xml:space="preserve">ước đầu tư nhưng giao lại cho chủ đầu tư thực hiện và được khấu trừ vào tiền sử dụng đất phải nộp, tuy nhiên sau đó nhà đầu tư phân lô bán nền chuyển nhượng cho người mua (không bỏ chi phí đầu tư, không xây dựng nhà ở, công tr</w:t>
            </w:r>
            <w:r>
              <w:rPr>
                <w:rFonts w:ascii="Times New Roman" w:hAnsi="Times New Roman" w:cs="Times New Roman" w:eastAsia="Times New Roman"/>
                <w:color w:val="auto"/>
                <w:spacing w:val="0"/>
                <w:position w:val="0"/>
                <w:sz w:val="27"/>
                <w:shd w:fill="auto" w:val="clear"/>
              </w:rPr>
              <w:t xml:space="preserve">ình kiến trúc trên </w:t>
            </w:r>
            <w:r>
              <w:rPr>
                <w:rFonts w:ascii="Times New Roman" w:hAnsi="Times New Roman" w:cs="Times New Roman" w:eastAsia="Times New Roman"/>
                <w:color w:val="auto"/>
                <w:spacing w:val="0"/>
                <w:position w:val="0"/>
                <w:sz w:val="27"/>
                <w:shd w:fill="auto" w:val="clear"/>
              </w:rPr>
              <w:t xml:space="preserve">đất), thực tế chủ đầu tư đang không xác định thuế GTGT đối với việc chuyển nhượng tr</w:t>
            </w:r>
            <w:r>
              <w:rPr>
                <w:rFonts w:ascii="Times New Roman" w:hAnsi="Times New Roman" w:cs="Times New Roman" w:eastAsia="Times New Roman"/>
                <w:color w:val="auto"/>
                <w:spacing w:val="0"/>
                <w:position w:val="0"/>
                <w:sz w:val="27"/>
                <w:shd w:fill="auto" w:val="clear"/>
              </w:rPr>
              <w:t xml:space="preserve">ên.</w:t>
            </w:r>
          </w:p>
        </w:tc>
        <w:tc>
          <w:tcPr>
            <w:tcW w:w="14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7"/>
                <w:shd w:fill="auto" w:val="clear"/>
              </w:rPr>
              <w:t xml:space="preserve">Bộ Tài chính </w:t>
            </w:r>
          </w:p>
        </w:tc>
      </w:tr>
    </w:tbl>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