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00" w:type="dxa"/>
        <w:tblCellSpacing w:w="0" w:type="dxa"/>
        <w:tblCellMar>
          <w:left w:w="0" w:type="dxa"/>
          <w:right w:w="0" w:type="dxa"/>
        </w:tblCellMar>
        <w:tblLook w:val="04A0" w:firstRow="1" w:lastRow="0" w:firstColumn="1" w:lastColumn="0" w:noHBand="0" w:noVBand="1"/>
      </w:tblPr>
      <w:tblGrid>
        <w:gridCol w:w="8300"/>
      </w:tblGrid>
      <w:tr w:rsidR="00A2229E" w:rsidRPr="00A2229E" w:rsidTr="00A2229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178"/>
              <w:gridCol w:w="122"/>
            </w:tblGrid>
            <w:tr w:rsidR="00A2229E" w:rsidRPr="00A2229E">
              <w:trPr>
                <w:gridAfter w:val="1"/>
                <w:tblCellSpacing w:w="0" w:type="dxa"/>
              </w:trPr>
              <w:tc>
                <w:tcPr>
                  <w:tcW w:w="0" w:type="auto"/>
                  <w:tcMar>
                    <w:top w:w="30" w:type="dxa"/>
                    <w:left w:w="120" w:type="dxa"/>
                    <w:bottom w:w="0" w:type="dxa"/>
                    <w:right w:w="0" w:type="dxa"/>
                  </w:tcMar>
                  <w:hideMark/>
                </w:tcPr>
                <w:tbl>
                  <w:tblPr>
                    <w:tblW w:w="20595" w:type="dxa"/>
                    <w:shd w:val="clear" w:color="auto" w:fill="FFFFFF"/>
                    <w:tblCellMar>
                      <w:top w:w="15" w:type="dxa"/>
                      <w:left w:w="15" w:type="dxa"/>
                      <w:bottom w:w="15" w:type="dxa"/>
                      <w:right w:w="15" w:type="dxa"/>
                    </w:tblCellMar>
                    <w:tblLook w:val="04A0" w:firstRow="1" w:lastRow="0" w:firstColumn="1" w:lastColumn="0" w:noHBand="0" w:noVBand="1"/>
                  </w:tblPr>
                  <w:tblGrid>
                    <w:gridCol w:w="3860"/>
                    <w:gridCol w:w="720"/>
                    <w:gridCol w:w="7831"/>
                    <w:gridCol w:w="8184"/>
                  </w:tblGrid>
                  <w:tr w:rsidR="00A2229E" w:rsidRPr="00A2229E" w:rsidTr="00A2229E">
                    <w:trPr>
                      <w:gridAfter w:val="1"/>
                      <w:trHeight w:val="284"/>
                    </w:trPr>
                    <w:tc>
                      <w:tcPr>
                        <w:tcW w:w="3860" w:type="dxa"/>
                        <w:shd w:val="clear" w:color="auto" w:fill="FFFFFF"/>
                        <w:hideMark/>
                      </w:tcPr>
                      <w:p w:rsidR="00A2229E" w:rsidRPr="00A2229E" w:rsidRDefault="00A2229E" w:rsidP="00A2229E">
                        <w:pPr>
                          <w:jc w:val="center"/>
                          <w:rPr>
                            <w:rFonts w:ascii="Times" w:eastAsia="Times New Roman" w:hAnsi="Times" w:cs="Times New Roman"/>
                            <w:sz w:val="20"/>
                            <w:szCs w:val="20"/>
                          </w:rPr>
                        </w:pPr>
                        <w:r w:rsidRPr="00A2229E">
                          <w:rPr>
                            <w:rFonts w:ascii="Arial" w:eastAsia="Times New Roman" w:hAnsi="Arial" w:cs="Arial"/>
                            <w:b/>
                            <w:bCs/>
                            <w:color w:val="333333"/>
                            <w:sz w:val="23"/>
                            <w:szCs w:val="23"/>
                            <w:shd w:val="clear" w:color="auto" w:fill="FFFFFF"/>
                          </w:rPr>
                          <w:t>CHÍNH PHỦ</w:t>
                        </w:r>
                      </w:p>
                      <w:p w:rsidR="00A2229E" w:rsidRDefault="00A2229E" w:rsidP="00A2229E">
                        <w:pPr>
                          <w:spacing w:line="259" w:lineRule="atLeast"/>
                          <w:ind w:firstLine="29"/>
                          <w:jc w:val="center"/>
                          <w:rPr>
                            <w:rFonts w:ascii="Arial" w:hAnsi="Arial" w:cs="Arial"/>
                            <w:b/>
                            <w:bCs/>
                            <w:color w:val="333333"/>
                            <w:sz w:val="20"/>
                            <w:szCs w:val="20"/>
                          </w:rPr>
                        </w:pPr>
                      </w:p>
                      <w:p w:rsidR="00A2229E" w:rsidRDefault="00A2229E" w:rsidP="00A2229E">
                        <w:pPr>
                          <w:spacing w:line="259" w:lineRule="atLeast"/>
                          <w:ind w:firstLine="680"/>
                          <w:jc w:val="center"/>
                          <w:rPr>
                            <w:rFonts w:ascii="Arial" w:hAnsi="Arial" w:cs="Arial"/>
                            <w:b/>
                            <w:bCs/>
                            <w:color w:val="333333"/>
                            <w:sz w:val="20"/>
                            <w:szCs w:val="20"/>
                          </w:rPr>
                        </w:pPr>
                      </w:p>
                      <w:p w:rsidR="00A2229E" w:rsidRPr="00A2229E" w:rsidRDefault="00A2229E" w:rsidP="00A2229E">
                        <w:pPr>
                          <w:spacing w:line="259" w:lineRule="atLeast"/>
                          <w:jc w:val="center"/>
                          <w:rPr>
                            <w:rFonts w:ascii="Arial" w:hAnsi="Arial" w:cs="Arial"/>
                            <w:color w:val="333333"/>
                            <w:sz w:val="26"/>
                            <w:szCs w:val="26"/>
                          </w:rPr>
                        </w:pPr>
                      </w:p>
                    </w:tc>
                    <w:tc>
                      <w:tcPr>
                        <w:tcW w:w="8551" w:type="dxa"/>
                        <w:gridSpan w:val="2"/>
                        <w:shd w:val="clear" w:color="auto" w:fill="FFFFFF"/>
                      </w:tcPr>
                      <w:p w:rsidR="00A2229E" w:rsidRPr="00A2229E" w:rsidRDefault="00A2229E" w:rsidP="00A2229E">
                        <w:pPr>
                          <w:spacing w:line="259" w:lineRule="atLeast"/>
                          <w:rPr>
                            <w:rFonts w:ascii="Arial" w:hAnsi="Arial" w:cs="Arial"/>
                            <w:color w:val="333333"/>
                            <w:sz w:val="26"/>
                            <w:szCs w:val="26"/>
                          </w:rPr>
                        </w:pPr>
                        <w:r w:rsidRPr="00A2229E">
                          <w:rPr>
                            <w:rFonts w:ascii="Arial" w:hAnsi="Arial" w:cs="Arial"/>
                            <w:b/>
                            <w:bCs/>
                            <w:color w:val="333333"/>
                            <w:sz w:val="20"/>
                            <w:szCs w:val="20"/>
                          </w:rPr>
                          <w:t>CỘNG HÒA XÃ HỘI CHỦ NGHĨA VIỆT NAM</w:t>
                        </w:r>
                      </w:p>
                      <w:p w:rsidR="00A2229E" w:rsidRPr="00A2229E" w:rsidRDefault="00A2229E" w:rsidP="00A2229E">
                        <w:pPr>
                          <w:spacing w:line="259" w:lineRule="atLeast"/>
                          <w:rPr>
                            <w:rFonts w:ascii="Arial" w:hAnsi="Arial" w:cs="Arial"/>
                            <w:color w:val="333333"/>
                            <w:sz w:val="26"/>
                            <w:szCs w:val="26"/>
                          </w:rPr>
                        </w:pPr>
                        <w:r>
                          <w:rPr>
                            <w:rFonts w:ascii="Arial" w:hAnsi="Arial" w:cs="Arial"/>
                            <w:b/>
                            <w:bCs/>
                            <w:color w:val="333333"/>
                            <w:sz w:val="20"/>
                            <w:szCs w:val="20"/>
                          </w:rPr>
                          <w:t xml:space="preserve">              </w:t>
                        </w:r>
                        <w:r w:rsidRPr="00A2229E">
                          <w:rPr>
                            <w:rFonts w:ascii="Arial" w:hAnsi="Arial" w:cs="Arial"/>
                            <w:b/>
                            <w:bCs/>
                            <w:color w:val="333333"/>
                            <w:sz w:val="20"/>
                            <w:szCs w:val="20"/>
                          </w:rPr>
                          <w:t>Độc lập - Tự do - Hạnh phúc</w:t>
                        </w:r>
                      </w:p>
                      <w:p w:rsidR="00A2229E" w:rsidRPr="00A2229E" w:rsidRDefault="00A2229E" w:rsidP="00A2229E">
                        <w:pPr>
                          <w:spacing w:line="259" w:lineRule="atLeast"/>
                          <w:jc w:val="center"/>
                          <w:rPr>
                            <w:rFonts w:ascii="Arial" w:hAnsi="Arial" w:cs="Arial"/>
                            <w:color w:val="333333"/>
                            <w:sz w:val="26"/>
                            <w:szCs w:val="26"/>
                          </w:rPr>
                        </w:pPr>
                        <w:r w:rsidRPr="00A2229E">
                          <w:rPr>
                            <w:rFonts w:ascii="Arial" w:hAnsi="Arial" w:cs="Arial"/>
                            <w:color w:val="333333"/>
                            <w:sz w:val="26"/>
                            <w:szCs w:val="26"/>
                          </w:rPr>
                          <w:t> </w:t>
                        </w:r>
                      </w:p>
                    </w:tc>
                  </w:tr>
                  <w:tr w:rsidR="00A2229E" w:rsidRPr="00A2229E" w:rsidTr="00A2229E">
                    <w:trPr>
                      <w:trHeight w:val="284"/>
                    </w:trPr>
                    <w:tc>
                      <w:tcPr>
                        <w:tcW w:w="4580" w:type="dxa"/>
                        <w:gridSpan w:val="2"/>
                        <w:shd w:val="clear" w:color="auto" w:fill="FFFFFF"/>
                        <w:hideMark/>
                      </w:tcPr>
                      <w:p w:rsidR="00A2229E" w:rsidRPr="00A2229E" w:rsidRDefault="00A2229E" w:rsidP="00A2229E">
                        <w:pPr>
                          <w:spacing w:line="259" w:lineRule="atLeast"/>
                          <w:ind w:firstLine="1283"/>
                          <w:rPr>
                            <w:rFonts w:ascii="Arial" w:hAnsi="Arial" w:cs="Arial"/>
                            <w:color w:val="333333"/>
                            <w:sz w:val="26"/>
                            <w:szCs w:val="26"/>
                          </w:rPr>
                        </w:pPr>
                        <w:bookmarkStart w:id="0" w:name="_GoBack"/>
                        <w:bookmarkEnd w:id="0"/>
                        <w:r w:rsidRPr="00A2229E">
                          <w:rPr>
                            <w:rFonts w:ascii="Arial" w:hAnsi="Arial" w:cs="Arial"/>
                            <w:color w:val="333333"/>
                            <w:sz w:val="20"/>
                            <w:szCs w:val="20"/>
                          </w:rPr>
                          <w:t>Số: /2018/NĐ-CP</w:t>
                        </w:r>
                      </w:p>
                    </w:tc>
                    <w:tc>
                      <w:tcPr>
                        <w:tcW w:w="7831" w:type="dxa"/>
                        <w:shd w:val="clear" w:color="auto" w:fill="FFFFFF"/>
                      </w:tcPr>
                      <w:p w:rsidR="00A2229E" w:rsidRPr="00A2229E" w:rsidRDefault="00A2229E" w:rsidP="00A2229E">
                        <w:pPr>
                          <w:rPr>
                            <w:rFonts w:ascii="Times" w:eastAsia="Times New Roman" w:hAnsi="Times" w:cs="Times New Roman"/>
                            <w:sz w:val="20"/>
                            <w:szCs w:val="20"/>
                          </w:rPr>
                        </w:pPr>
                        <w:r w:rsidRPr="00A2229E">
                          <w:rPr>
                            <w:rFonts w:ascii="Arial" w:eastAsia="Times New Roman" w:hAnsi="Arial" w:cs="Arial"/>
                            <w:i/>
                            <w:iCs/>
                            <w:color w:val="333333"/>
                            <w:sz w:val="20"/>
                            <w:szCs w:val="20"/>
                            <w:shd w:val="clear" w:color="auto" w:fill="FFFFFF"/>
                          </w:rPr>
                          <w:t>Hà Nội, ngày tháng năm 2018</w:t>
                        </w:r>
                      </w:p>
                      <w:p w:rsidR="00A2229E" w:rsidRPr="00A2229E" w:rsidRDefault="00A2229E" w:rsidP="00A2229E">
                        <w:pPr>
                          <w:spacing w:line="259" w:lineRule="atLeast"/>
                          <w:ind w:firstLine="680"/>
                          <w:rPr>
                            <w:rFonts w:ascii="Arial" w:hAnsi="Arial" w:cs="Arial"/>
                            <w:color w:val="333333"/>
                            <w:sz w:val="26"/>
                            <w:szCs w:val="26"/>
                          </w:rPr>
                        </w:pPr>
                      </w:p>
                    </w:tc>
                    <w:tc>
                      <w:tcPr>
                        <w:tcW w:w="0" w:type="auto"/>
                        <w:shd w:val="clear" w:color="auto" w:fill="FFFFFF"/>
                        <w:hideMark/>
                      </w:tcPr>
                      <w:p w:rsidR="00A2229E" w:rsidRPr="00A2229E" w:rsidRDefault="00A2229E" w:rsidP="00A2229E">
                        <w:pPr>
                          <w:spacing w:line="259" w:lineRule="atLeast"/>
                          <w:ind w:firstLine="680"/>
                          <w:jc w:val="center"/>
                          <w:rPr>
                            <w:rFonts w:ascii="Arial" w:hAnsi="Arial" w:cs="Arial"/>
                            <w:color w:val="333333"/>
                            <w:sz w:val="26"/>
                            <w:szCs w:val="26"/>
                          </w:rPr>
                        </w:pPr>
                        <w:r w:rsidRPr="00A2229E">
                          <w:rPr>
                            <w:rFonts w:ascii="Arial" w:hAnsi="Arial" w:cs="Arial"/>
                            <w:i/>
                            <w:iCs/>
                            <w:color w:val="333333"/>
                            <w:sz w:val="20"/>
                            <w:szCs w:val="20"/>
                          </w:rPr>
                          <w:t>Hà Nội, ngày tháng năm 2018</w:t>
                        </w:r>
                      </w:p>
                    </w:tc>
                  </w:tr>
                </w:tbl>
                <w:p w:rsidR="00A2229E" w:rsidRPr="00A2229E" w:rsidRDefault="00A2229E" w:rsidP="00A2229E">
                  <w:pPr>
                    <w:spacing w:line="225" w:lineRule="atLeast"/>
                    <w:ind w:firstLine="680"/>
                    <w:jc w:val="center"/>
                    <w:rPr>
                      <w:rFonts w:ascii="Arial" w:hAnsi="Arial" w:cs="Arial"/>
                      <w:sz w:val="26"/>
                      <w:szCs w:val="26"/>
                    </w:rPr>
                  </w:pPr>
                  <w:r w:rsidRPr="00A2229E">
                    <w:rPr>
                      <w:rFonts w:ascii="Arial" w:hAnsi="Arial" w:cs="Arial"/>
                      <w:sz w:val="26"/>
                      <w:szCs w:val="26"/>
                    </w:rPr>
                    <w:t> </w:t>
                  </w:r>
                </w:p>
                <w:p w:rsidR="00A2229E" w:rsidRPr="00A2229E" w:rsidRDefault="00A2229E" w:rsidP="00A2229E">
                  <w:pPr>
                    <w:spacing w:line="225" w:lineRule="atLeast"/>
                    <w:ind w:firstLine="680"/>
                    <w:jc w:val="center"/>
                    <w:rPr>
                      <w:rFonts w:ascii="Arial" w:hAnsi="Arial" w:cs="Arial"/>
                      <w:sz w:val="26"/>
                      <w:szCs w:val="26"/>
                    </w:rPr>
                  </w:pPr>
                  <w:r w:rsidRPr="00A2229E">
                    <w:rPr>
                      <w:rFonts w:ascii="Arial" w:hAnsi="Arial" w:cs="Arial"/>
                      <w:b/>
                      <w:bCs/>
                      <w:sz w:val="20"/>
                      <w:szCs w:val="20"/>
                    </w:rPr>
                    <w:t>NGHỊ ĐỊNH</w:t>
                  </w:r>
                </w:p>
                <w:p w:rsidR="00A2229E" w:rsidRPr="00A2229E" w:rsidRDefault="00A2229E" w:rsidP="00A2229E">
                  <w:pPr>
                    <w:spacing w:line="225" w:lineRule="atLeast"/>
                    <w:ind w:firstLine="680"/>
                    <w:jc w:val="center"/>
                    <w:rPr>
                      <w:rFonts w:ascii="Arial" w:hAnsi="Arial" w:cs="Arial"/>
                      <w:sz w:val="26"/>
                      <w:szCs w:val="26"/>
                    </w:rPr>
                  </w:pPr>
                  <w:r w:rsidRPr="00A2229E">
                    <w:rPr>
                      <w:rFonts w:ascii="Arial" w:hAnsi="Arial" w:cs="Arial"/>
                      <w:b/>
                      <w:bCs/>
                      <w:sz w:val="20"/>
                      <w:szCs w:val="20"/>
                    </w:rPr>
                    <w:t>Sửa đổi, bổ sung một số Nghị định quy định về điều kiện đầu tư, kinh doanh thuộc phạm vi quản lý nhà nước của Bộ Tài chính</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sz w:val="26"/>
                      <w:szCs w:val="26"/>
                    </w:rPr>
                    <w:t> </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Căn cứ Luật Tổ chức Chính phủ ngày 19 tháng 6 năm 2015;</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Căn cứ Luật Chứng khoán ngày 29 tháng 6 năm 2006 và Luật sửa đổi, bổ sung một số điều của Luật Chứng khoán ngày 24 tháng 11 năm 2010;</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Căn cứ Luật kinh doanh bảo hiểm ngày 09 tháng 12 năm 2000 và Luật sửa đổi, bổ sung một số điều của Luật kinh doanh bảo hiểm ngày 24 tháng 11 năm 2010;</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Căn cứ Luật Giá ngày 20 tháng 6 năm 2012;</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Căn cứ Luật Kế toán ngày 20 tháng 11 năm 2015;</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Căn cứ Luật Kiểm toán độc lập ngày 29 tháng 3 năm 2011;</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Căn cứ Luật Đầu tư ngày 26 tháng 11 năm 2014;</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Theo đề nghị của Bộ trưởng Bộ Tài chính;</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i/>
                      <w:iCs/>
                      <w:sz w:val="20"/>
                      <w:szCs w:val="20"/>
                    </w:rPr>
                    <w:t>Chính phủ ban hành Nghị định sửa đổi, bổ sung một số Nghị định quy định về điều kiện đầu tư, kinh doanh thuộc phạm vi quản lý nhà nước của Bộ Tài chính.</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sz w:val="26"/>
                      <w:szCs w:val="26"/>
                    </w:rPr>
                    <w:t> </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Chương I</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LĨNH VỰC KẾ TOÁN, KIỂM TOÁN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Điều 1. Sửa đổi, bãi bỏ một số điều của Nghị định số 84/2016/NĐ-CP ngày 01/7/2016 về tiêu chuẩn, điều kiện đối với kiểm toán viên hành nghề, tổ chức kiểm toán được chấp thuận kiểm toán cho đơn vị có lợi ích công chúng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Sửa đổi một số điều của Nghị định số 84/2016/NĐ-CP ngày 01/7/2016 về tiêu chuẩn, điều kiện đối với kiểm toán viên hành nghề, tổ chức kiểm toán được chấp thuận kiểm toán cho đơn vị có lợi ích công chúng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Điểm đ khoản 1 Điều 5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color w:val="000000"/>
                      <w:sz w:val="20"/>
                      <w:szCs w:val="20"/>
                      <w:shd w:val="clear" w:color="auto" w:fill="FFFFFF"/>
                    </w:rPr>
                    <w:t>“đ) Đã phát hành báo cáo kiểm toán về báo cáo tài chính cho tối thiểu 200 đơn vị được kiểm toán tính từ ngày 01 tháng 10 năm trước đến 30 tháng 9 năm nộp hồ sơ đăng ký”.</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Điểm b, c khoản 2 Điều 5 được sửa đổi như sau:</w:t>
                  </w:r>
                </w:p>
                <w:p w:rsidR="00A2229E" w:rsidRPr="00A2229E" w:rsidRDefault="00A2229E" w:rsidP="00A2229E">
                  <w:pPr>
                    <w:spacing w:line="338" w:lineRule="atLeast"/>
                    <w:jc w:val="both"/>
                    <w:rPr>
                      <w:rFonts w:ascii="Arial" w:hAnsi="Arial" w:cs="Arial"/>
                      <w:sz w:val="26"/>
                      <w:szCs w:val="26"/>
                    </w:rPr>
                  </w:pPr>
                  <w:r w:rsidRPr="00A2229E">
                    <w:rPr>
                      <w:rFonts w:ascii="Arial" w:hAnsi="Arial" w:cs="Arial"/>
                      <w:color w:val="000000"/>
                      <w:sz w:val="20"/>
                      <w:szCs w:val="20"/>
                      <w:shd w:val="clear" w:color="auto" w:fill="FFFFFF"/>
                    </w:rPr>
                    <w:t>   “b) Có thời gian hoạt động kiểm toán tại Việt Nam tối thiểu là 24 tháng tính từ ngày được cơ quan có thẩm quyền xác nhận danh sách đăng ký hành nghề kiểm toán lần đầu hoặc từ ngày được cấp Giấy chứng nhận đủ Điều kiện kinh doanh dịch vụ kiểm toán lần đầu đến ngày nộp hồ sơ đăng ký thực hiện kiểm toán;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color w:val="000000"/>
                      <w:sz w:val="20"/>
                      <w:szCs w:val="20"/>
                      <w:shd w:val="clear" w:color="auto" w:fill="FFFFFF"/>
                    </w:rPr>
                    <w:t xml:space="preserve">c) Đã phát hành báo cáo kiểm toán về báo cáo tài chính cho tối thiểu 250 đơn vị được kiểm toán tính từ ngày 01 tháng 10 năm trước đến 30 tháng 9 năm nộp hồ sơ đăng </w:t>
                  </w:r>
                  <w:r w:rsidRPr="00A2229E">
                    <w:rPr>
                      <w:rFonts w:ascii="Arial" w:hAnsi="Arial" w:cs="Arial"/>
                      <w:color w:val="000000"/>
                      <w:sz w:val="20"/>
                      <w:szCs w:val="20"/>
                      <w:shd w:val="clear" w:color="auto" w:fill="FFFFFF"/>
                    </w:rPr>
                    <w:lastRenderedPageBreak/>
                    <w:t>ký”.</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2. Bãi bỏ một số điều của Nghị định số 84/2016/NĐ-CP ngày 01/7/2016 về tiêu chuẩn, điều kiện đối với kiểm toán viên hành nghề, tổ chức kiểm toán được chấp thuận kiểm toán cho đơn vị có lợi ích công chúng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Bãi bỏ các điểm a, e, g, h, i, khoản 1 Điều 5.</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Bãi bỏ các điểm g khoản 4 Điều 9, và khoản 5 Điều 9.</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Điều 2. Bãi bỏ một số điều tại Nghị định số 174/2016/NĐ-CP ngày 30 tháng 12 năm 2016 quy định chi tiết một số điều của Luật kế toán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Bãi bỏ các điểm b, d, đ khoản 1 Điều 30.</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2. Bãi bỏ các điểm b, d khoản 1 Điều 34.</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Điều 3. Sửa đổi, bãi bỏ một số điều của Nghị định số 17/2012/NĐ-CP ngày 13 tháng 3 năm 2012 quy định chi tiết và hướng dẫn thi hành một số điều của Luật kiểm toán độc lập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Khoản 2, Điều 6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“2. Thành viên là tổ chức phải cử một người làm đại diện cho tổ chức vào Hội đồng thành viên.”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2. Bãi bỏ điểm b, đ, g khoản 1 Điều 11.</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sz w:val="26"/>
                      <w:szCs w:val="26"/>
                    </w:rPr>
                    <w:t> </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Chương II</w:t>
                  </w:r>
                </w:p>
                <w:p w:rsidR="00A2229E" w:rsidRPr="00A2229E" w:rsidRDefault="00A2229E" w:rsidP="00A2229E">
                  <w:pPr>
                    <w:spacing w:line="338" w:lineRule="atLeast"/>
                    <w:ind w:firstLine="680"/>
                    <w:jc w:val="center"/>
                    <w:rPr>
                      <w:rFonts w:ascii="Arial" w:hAnsi="Arial" w:cs="Arial"/>
                      <w:sz w:val="26"/>
                      <w:szCs w:val="26"/>
                    </w:rPr>
                  </w:pPr>
                  <w:bookmarkStart w:id="1" w:name="chuong_1_name"/>
                  <w:bookmarkEnd w:id="1"/>
                  <w:r w:rsidRPr="00A2229E">
                    <w:rPr>
                      <w:rFonts w:ascii="Arial" w:hAnsi="Arial" w:cs="Arial"/>
                      <w:b/>
                      <w:bCs/>
                      <w:sz w:val="20"/>
                      <w:szCs w:val="20"/>
                    </w:rPr>
                    <w:t>LĨNH VỰC TÀI CHÍNH NGÂN HÀNG</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Điều 4. Sửa đổi một số điều của Nghị định số 104/2007/NĐ-CP ngày 14 tháng 6 năm 2007 của Chính phủ về kinh doanh dịch vụ đòi nợ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1. Điều 13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“Điều 13. Điều kiện về vốn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Mức vốn điều lệ tối thiểu đối với ngành nghề kinh doanh dịch vụ đòi nợ là 2.000.000.000 (hai tỷ) đồng”.</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Điều 14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“Điều 14. Điều kiện về tiêu chuẩn đối với người quản lý, giám đốc chi nhánh của doanh nghiệp kinh doanh dịch vụ đòi nợ</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xml:space="preserve">   1. Có trình độ học vấn từ đại học trở lên thuộc một trong các ngành: kinh tế, quản lý, pháp luật, </w:t>
                  </w:r>
                  <w:proofErr w:type="gramStart"/>
                  <w:r w:rsidRPr="00A2229E">
                    <w:rPr>
                      <w:rFonts w:ascii="Arial" w:hAnsi="Arial" w:cs="Arial"/>
                      <w:sz w:val="20"/>
                      <w:szCs w:val="20"/>
                    </w:rPr>
                    <w:t>an</w:t>
                  </w:r>
                  <w:proofErr w:type="gramEnd"/>
                  <w:r w:rsidRPr="00A2229E">
                    <w:rPr>
                      <w:rFonts w:ascii="Arial" w:hAnsi="Arial" w:cs="Arial"/>
                      <w:sz w:val="20"/>
                      <w:szCs w:val="20"/>
                    </w:rPr>
                    <w:t xml:space="preserve"> ninh.</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2. Chưa từng bị kết án.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3. Không giữ chức danh quản lý doanh nghiệp kinh doanh dịch vụ đòi nợ đã bị thu hồi Giấy chứng nhận đăng ký kinh doanh dịch vụ đòi nợ”.</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3. Điều 15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“Điều 15. Điều kiện về tiêu chuẩn đối với người lao động trong hoạt động dịch vụ đòi nợ</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Người lao động được tuyển dụng theo hợp đồng lao động không xác định thời hạn hoặc hợp đồng lao động có xác định thời hạn từ sáu tháng trở lên.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xml:space="preserve">2. Có trình độ học vấn từ trung cấp trở lên thuộc một trong các ngành: kinh tế, quản lý, pháp luật, </w:t>
                  </w:r>
                  <w:proofErr w:type="gramStart"/>
                  <w:r w:rsidRPr="00A2229E">
                    <w:rPr>
                      <w:rFonts w:ascii="Arial" w:hAnsi="Arial" w:cs="Arial"/>
                      <w:sz w:val="20"/>
                      <w:szCs w:val="20"/>
                    </w:rPr>
                    <w:t>an</w:t>
                  </w:r>
                  <w:proofErr w:type="gramEnd"/>
                  <w:r w:rsidRPr="00A2229E">
                    <w:rPr>
                      <w:rFonts w:ascii="Arial" w:hAnsi="Arial" w:cs="Arial"/>
                      <w:sz w:val="20"/>
                      <w:szCs w:val="20"/>
                    </w:rPr>
                    <w:t xml:space="preserve"> ninh.</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3. Không thuộc một trong các trường hợp sau đây:</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Đã bị khởi tố hình sự mà các cơ quan tố tụng của Việt Nam hoặc của nước ngoài đang tiến hành điều tra, truy tố, xét xử.</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Đã từng bị kết án, đang trong thời gian được tạm hoãn chấp hành hình phạt tù; đang chấp hành hình phạt cải tạo không giam giữ; đang bị quản chế, cấm cư trú, cấm đảm nhiệm chức vụ, cấm kinh doanh ngành, nghề đầu tư kinh doanh có điều kiện về an ninh, trật tự theo quyết định của Tòa án.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c) Đang bị áp dụng biện pháp giáo dục tại xã, phường, thị trấn; có quyết định áp dụng biện pháp xử lý hành chính trong thời gian chờ thi hành quyết định; đang nghiện ma túy; đang được tạm hoãn, tạm đình chỉ chấp hành quyết định đưa vào cơ sở giáo dục bắt buộc hoặc đưa vào cơ sở cai nghiện bắt buộc; đã bị áp dụng các biện pháp xử lý hành chính nhưng chưa đủ thời hạn để được coi là chưa bị áp dụng biện pháp xử lý hành chính.</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d) Đã từng bị cơ quan chức năng xử phạt vi phạm hành chính về các hành vi: Chống người thi hành công vụ, gây rối trật tự công cộng, cố ý gây thương tích, cho vay lãi nặng, đánh bạc, tổ chức đánh bạc hoặc gá bạc, làm nhục người khác, trộm cắp tài sản, lừa đảo chiếm đoạt tài sản, chiếm giữ trái phép tài sản.</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Điều 5. Sửa đổi, bãi bỏ một số điều của Nghị định số 30/2007/NĐ-CP ngày 01 tháng 3 năm 2007 của Chính phủ về kinh doanh xổ số</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1. Điểm a khoản 2 Điều 12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“a) Là công dân Việt Nam thường trú tại Việt Nam; nếu là tổ chức phải là tổ chức kinh tế được thành lập và hoạt động hợp pháp tại Việt Nam;</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Bãi bỏ khoản 2 Điều 23.</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Điều 6. Bãi bỏ khoản 9 Điều 1 Nghị định số 78/2012/NĐ-CP ngày 05 tháng 10 năm 2012 của Chính phủ sửa đổi, bổ sung một số điều của Nghị định số 30/2007/NĐ-CP ngày 01 tháng 3 năm 2007 của Chính phủ về kinh doanh xổ số.</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Điều 7. Sửa đổi, bãi bỏ một số điều của Nghị định số 86/2013/NĐ-CP ngày 29 tháng 7 năm 2013 của Chính phủ về kinh doanh trò chơi điện tử có thưởng dành cho người nước ngoài</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Sửa đổi một số điều của Nghị định số 86/2013/NĐ-CP ngày 29 tháng 7 năm 2013 của Chính phủ về kinh doanh trò chơi điện tử có thưởng dành cho người nước ngoài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w:t>
                  </w:r>
                  <w:r w:rsidRPr="00A2229E">
                    <w:rPr>
                      <w:rFonts w:ascii="Arial" w:hAnsi="Arial" w:cs="Arial"/>
                      <w:sz w:val="20"/>
                      <w:szCs w:val="20"/>
                    </w:rPr>
                    <w:t>a) Điểm b khoản 2 Điều 5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“b. Có các thiết bị điện tử và hệ thống camera để theo dõi, giám sát thường xuyên toàn bộ mọi hoạt động trong Điểm kinh doanh (24/24h). Các hình ảnh phải được lưu trữ đầy đủ trong thời hạn tối thiểu 15 ngày, kể từ ngày ghi hình tùy từng vị trí trong Điểm kinh doanh. Trong các trường hợp cần thiết, thời gian lưu trữ có thể kéo dài hơn theo yêu cầu của cơ quan quản lý nhà nước có thẩm quyền”.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b) Điểm c khoản 3 Điều 19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“c. Có người quản lý, điều hành có trình độ đào tạo tối thiểu từ đại học trở lên; có tối thiểu 03 năm kinh nghiệm trong việc quản lý hoạt động kinh doanh trò chơi điện tử có thưởng”.</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Bãi bỏ điểm d khoản 3 Điều 19.</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w:t>
                  </w:r>
                  <w:r w:rsidRPr="00A2229E">
                    <w:rPr>
                      <w:rFonts w:ascii="Arial" w:hAnsi="Arial" w:cs="Arial"/>
                      <w:b/>
                      <w:bCs/>
                      <w:sz w:val="20"/>
                      <w:szCs w:val="20"/>
                    </w:rPr>
                    <w:t>Điều 8. Sửa đổi, bãi bỏ một số điều của Nghị định số 88/2014/NĐ-CP ngày 26 tháng 09 năm 2014 của Chính phủ quy định về dịch vụ xếp hạng tín nhiệm</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Sửa đổi khoản 7 Điều 14 Nghị định số 88/2014/NĐ-CP ngày 26 tháng 09 năm 2014 của Chính phủ quy định về dịch vụ xếp hạng tín nhiệm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“7. Có các quy trình nghiệp vụ đáp ứng quy định tại Điều 31 Nghị định này”.</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2. Bãi bỏ một số điều của Nghị định số 88/2014/NĐ-CP ngày 26 tháng 09 năm 2014 của Chính phủ quy định về dịch vụ xếp hạng tín nhiệm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Bãi bỏ Khoản 1, điểm b khoản 8, khoản 10 Điều 14;</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Bãi bỏ Khoản 1, 2 Điều 19;</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c) Bãi bỏ Khoản 1 Điều 20;</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d) Bãi bỏ Khoản 1 Điều 21.</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Điều 9. Sửa đổi, bãi bỏ một số điều của Nghị định số 03/2017/NĐ-CP ngày 16 tháng 01 năm 2017 của Chính phủ về kinh doanh casino</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w:t>
                  </w:r>
                  <w:r w:rsidRPr="00A2229E">
                    <w:rPr>
                      <w:rFonts w:ascii="Arial" w:hAnsi="Arial" w:cs="Arial"/>
                      <w:sz w:val="20"/>
                      <w:szCs w:val="20"/>
                    </w:rPr>
                    <w:t>1. Điểm d khoản 1 Điều 24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“d) Có người quản lý, điều hành Điểm kinh doanh casino có trình độ đào tạo tối thiểu từ đại học trở lên, có tối thiểu 01 năm kinh nghiệm trong việc quản lý hoạt động kinh doanh casino”.</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Bãi bỏ khoản 3 Điều 24.</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w:t>
                  </w:r>
                  <w:r w:rsidRPr="00A2229E">
                    <w:rPr>
                      <w:rFonts w:ascii="Arial" w:hAnsi="Arial" w:cs="Arial"/>
                      <w:b/>
                      <w:bCs/>
                      <w:sz w:val="20"/>
                      <w:szCs w:val="20"/>
                    </w:rPr>
                    <w:t>Điều 10.</w:t>
                  </w:r>
                  <w:r w:rsidRPr="00A2229E">
                    <w:rPr>
                      <w:rFonts w:ascii="Arial" w:hAnsi="Arial" w:cs="Arial"/>
                      <w:sz w:val="20"/>
                      <w:szCs w:val="20"/>
                    </w:rPr>
                    <w:t> </w:t>
                  </w:r>
                  <w:r w:rsidRPr="00A2229E">
                    <w:rPr>
                      <w:rFonts w:ascii="Arial" w:hAnsi="Arial" w:cs="Arial"/>
                      <w:b/>
                      <w:bCs/>
                      <w:sz w:val="20"/>
                      <w:szCs w:val="20"/>
                    </w:rPr>
                    <w:t>Sửa đổi, bãi bỏ một số điều của Nghị định số 06/2017/NĐ-CP ngày 24 tháng 01 năm 2017 của Chính phủ về kinh doanh đặt cược đua ngựa, đua chó và bóng đá quốc tế</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1. Sửa đổi một số điều của Nghị định số 06/2017/NĐ-CP ngày 24 tháng 01 năm 2017 của Chính phủ về kinh doanh đặt cược đua ngựa, đua chó và bóng đá quốc tế</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Điểm d và Điểm e khoản 1 Điều 30 được sửa đổi như sau:</w:t>
                  </w:r>
                </w:p>
                <w:p w:rsidR="00A2229E" w:rsidRPr="00A2229E" w:rsidRDefault="00A2229E" w:rsidP="00A2229E">
                  <w:pPr>
                    <w:pBdr>
                      <w:top w:val="single" w:sz="6" w:space="0" w:color="FFFFFF"/>
                      <w:left w:val="single" w:sz="6" w:space="0" w:color="FFFFFF"/>
                      <w:bottom w:val="single" w:sz="6" w:space="0" w:color="FFFFFF"/>
                      <w:right w:val="single" w:sz="6" w:space="0" w:color="FFFFFF"/>
                    </w:pBdr>
                    <w:shd w:val="clear" w:color="auto" w:fill="FFFFFF"/>
                    <w:spacing w:line="338" w:lineRule="atLeast"/>
                    <w:ind w:firstLine="680"/>
                    <w:jc w:val="both"/>
                    <w:rPr>
                      <w:rFonts w:ascii="Arial" w:hAnsi="Arial" w:cs="Arial"/>
                    </w:rPr>
                  </w:pPr>
                  <w:r w:rsidRPr="00A2229E">
                    <w:rPr>
                      <w:rFonts w:ascii="Arial" w:hAnsi="Arial" w:cs="Arial"/>
                      <w:sz w:val="20"/>
                      <w:szCs w:val="20"/>
                    </w:rPr>
                    <w:t>   “d) Phương án đầu tư hệ thống công nghệ, thiết bị kỹ thuật, phần mềm kinh doanh bảo đảm vận hành chính xác, an toàn, ổn định;</w:t>
                  </w:r>
                </w:p>
                <w:p w:rsidR="00A2229E" w:rsidRPr="00A2229E" w:rsidRDefault="00A2229E" w:rsidP="00A2229E">
                  <w:pPr>
                    <w:pBdr>
                      <w:top w:val="single" w:sz="6" w:space="0" w:color="FFFFFF"/>
                      <w:left w:val="single" w:sz="6" w:space="0" w:color="FFFFFF"/>
                      <w:bottom w:val="single" w:sz="6" w:space="0" w:color="FFFFFF"/>
                      <w:right w:val="single" w:sz="6" w:space="0" w:color="FFFFFF"/>
                    </w:pBdr>
                    <w:shd w:val="clear" w:color="auto" w:fill="FFFFFF"/>
                    <w:spacing w:line="338" w:lineRule="atLeast"/>
                    <w:ind w:firstLine="680"/>
                    <w:jc w:val="both"/>
                    <w:rPr>
                      <w:rFonts w:ascii="Arial" w:hAnsi="Arial" w:cs="Arial"/>
                    </w:rPr>
                  </w:pPr>
                  <w:r w:rsidRPr="00A2229E">
                    <w:rPr>
                      <w:rFonts w:ascii="Arial" w:hAnsi="Arial" w:cs="Arial"/>
                      <w:sz w:val="20"/>
                      <w:szCs w:val="20"/>
                    </w:rPr>
                    <w:t>   e) Cam kết về việc hỗ trợ cộng đồng”.</w:t>
                  </w:r>
                </w:p>
                <w:p w:rsidR="00A2229E" w:rsidRPr="00A2229E" w:rsidRDefault="00A2229E" w:rsidP="00A2229E">
                  <w:pPr>
                    <w:pBdr>
                      <w:top w:val="single" w:sz="6" w:space="0" w:color="FFFFFF"/>
                      <w:left w:val="single" w:sz="6" w:space="0" w:color="FFFFFF"/>
                      <w:bottom w:val="single" w:sz="6" w:space="0" w:color="FFFFFF"/>
                      <w:right w:val="single" w:sz="6" w:space="0" w:color="FFFFFF"/>
                    </w:pBdr>
                    <w:shd w:val="clear" w:color="auto" w:fill="FFFFFF"/>
                    <w:spacing w:line="338" w:lineRule="atLeast"/>
                    <w:ind w:firstLine="680"/>
                    <w:jc w:val="both"/>
                    <w:rPr>
                      <w:rFonts w:ascii="Arial" w:hAnsi="Arial" w:cs="Arial"/>
                    </w:rPr>
                  </w:pPr>
                  <w:r w:rsidRPr="00A2229E">
                    <w:rPr>
                      <w:rFonts w:ascii="Arial" w:hAnsi="Arial" w:cs="Arial"/>
                      <w:sz w:val="20"/>
                      <w:szCs w:val="20"/>
                    </w:rPr>
                    <w:t>   b) Điểm b và Điểm đ khoản 2 Điều 38 được sửa đổi như sau:</w:t>
                  </w:r>
                </w:p>
                <w:p w:rsidR="00A2229E" w:rsidRPr="00A2229E" w:rsidRDefault="00A2229E" w:rsidP="00A2229E">
                  <w:pPr>
                    <w:pBdr>
                      <w:top w:val="single" w:sz="6" w:space="0" w:color="FFFFFF"/>
                      <w:left w:val="single" w:sz="6" w:space="0" w:color="FFFFFF"/>
                      <w:bottom w:val="single" w:sz="6" w:space="0" w:color="FFFFFF"/>
                      <w:right w:val="single" w:sz="6" w:space="0" w:color="FFFFFF"/>
                    </w:pBdr>
                    <w:shd w:val="clear" w:color="auto" w:fill="FFFFFF"/>
                    <w:spacing w:line="338" w:lineRule="atLeast"/>
                    <w:ind w:firstLine="680"/>
                    <w:jc w:val="both"/>
                    <w:rPr>
                      <w:rFonts w:ascii="Arial" w:hAnsi="Arial" w:cs="Arial"/>
                    </w:rPr>
                  </w:pPr>
                  <w:r w:rsidRPr="00A2229E">
                    <w:rPr>
                      <w:rFonts w:ascii="Arial" w:hAnsi="Arial" w:cs="Arial"/>
                      <w:sz w:val="20"/>
                      <w:szCs w:val="20"/>
                    </w:rPr>
                    <w:t>   “b) Phương án đầu tư hệ thống công nghệ, thiết bị kỹ thuật, phần mềm kinh doanh bảo đảm vận hành chính xác, an toàn, ổn định;</w:t>
                  </w:r>
                </w:p>
                <w:p w:rsidR="00A2229E" w:rsidRPr="00A2229E" w:rsidRDefault="00A2229E" w:rsidP="00A2229E">
                  <w:pPr>
                    <w:pBdr>
                      <w:top w:val="single" w:sz="6" w:space="0" w:color="FFFFFF"/>
                      <w:left w:val="single" w:sz="6" w:space="0" w:color="FFFFFF"/>
                      <w:bottom w:val="single" w:sz="6" w:space="0" w:color="FFFFFF"/>
                      <w:right w:val="single" w:sz="6" w:space="0" w:color="FFFFFF"/>
                    </w:pBdr>
                    <w:shd w:val="clear" w:color="auto" w:fill="FFFFFF"/>
                    <w:spacing w:line="338" w:lineRule="atLeast"/>
                    <w:ind w:firstLine="680"/>
                    <w:jc w:val="both"/>
                    <w:rPr>
                      <w:rFonts w:ascii="Arial" w:hAnsi="Arial" w:cs="Arial"/>
                    </w:rPr>
                  </w:pPr>
                  <w:r w:rsidRPr="00A2229E">
                    <w:rPr>
                      <w:rFonts w:ascii="Arial" w:hAnsi="Arial" w:cs="Arial"/>
                      <w:sz w:val="20"/>
                      <w:szCs w:val="20"/>
                    </w:rPr>
                    <w:t>   đ) Cam kết về việc hỗ trợ cộng đồng”.</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Bãi bỏ một số điều của Nghị định số 06/2017/NĐ-CP ngày 24 tháng 01 năm 2017 của Chính phủ về kinh doanh đặt cược đua ngựa, đua chó và bóng đá quốc tế</w:t>
                  </w:r>
                </w:p>
                <w:p w:rsidR="00A2229E" w:rsidRPr="00A2229E" w:rsidRDefault="00A2229E" w:rsidP="00A2229E">
                  <w:pPr>
                    <w:pBdr>
                      <w:top w:val="single" w:sz="6" w:space="0" w:color="FFFFFF"/>
                      <w:left w:val="single" w:sz="6" w:space="0" w:color="FFFFFF"/>
                      <w:bottom w:val="single" w:sz="6" w:space="0" w:color="FFFFFF"/>
                      <w:right w:val="single" w:sz="6" w:space="0" w:color="FFFFFF"/>
                    </w:pBdr>
                    <w:shd w:val="clear" w:color="auto" w:fill="FFFFFF"/>
                    <w:spacing w:line="338" w:lineRule="atLeast"/>
                    <w:ind w:firstLine="680"/>
                    <w:rPr>
                      <w:rFonts w:ascii="Arial" w:hAnsi="Arial" w:cs="Arial"/>
                    </w:rPr>
                  </w:pPr>
                  <w:r w:rsidRPr="00A2229E">
                    <w:rPr>
                      <w:rFonts w:ascii="Arial" w:hAnsi="Arial" w:cs="Arial"/>
                      <w:sz w:val="20"/>
                      <w:szCs w:val="20"/>
                    </w:rPr>
                    <w:t>a) Bãi bỏ điểm đ khoản 1 Điều 30.</w:t>
                  </w:r>
                </w:p>
                <w:p w:rsidR="00A2229E" w:rsidRPr="00A2229E" w:rsidRDefault="00A2229E" w:rsidP="00A2229E">
                  <w:pPr>
                    <w:pBdr>
                      <w:top w:val="single" w:sz="6" w:space="0" w:color="FFFFFF"/>
                      <w:left w:val="single" w:sz="6" w:space="0" w:color="FFFFFF"/>
                      <w:bottom w:val="single" w:sz="6" w:space="0" w:color="FFFFFF"/>
                      <w:right w:val="single" w:sz="6" w:space="0" w:color="FFFFFF"/>
                    </w:pBdr>
                    <w:shd w:val="clear" w:color="auto" w:fill="FFFFFF"/>
                    <w:spacing w:line="338" w:lineRule="atLeast"/>
                    <w:ind w:firstLine="680"/>
                    <w:rPr>
                      <w:rFonts w:ascii="Arial" w:hAnsi="Arial" w:cs="Arial"/>
                    </w:rPr>
                  </w:pPr>
                  <w:r w:rsidRPr="00A2229E">
                    <w:rPr>
                      <w:rFonts w:ascii="Arial" w:hAnsi="Arial" w:cs="Arial"/>
                      <w:sz w:val="20"/>
                      <w:szCs w:val="20"/>
                    </w:rPr>
                    <w:t>   b) Bãi bỏ các điểm d khoản 2 Điều 38.</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w:t>
                  </w:r>
                  <w:r w:rsidRPr="00A2229E">
                    <w:rPr>
                      <w:rFonts w:ascii="Arial" w:hAnsi="Arial" w:cs="Arial"/>
                      <w:b/>
                      <w:bCs/>
                      <w:sz w:val="20"/>
                      <w:szCs w:val="20"/>
                    </w:rPr>
                    <w:t>Điều 11.</w:t>
                  </w:r>
                  <w:r w:rsidRPr="00A2229E">
                    <w:rPr>
                      <w:rFonts w:ascii="Arial" w:hAnsi="Arial" w:cs="Arial"/>
                      <w:sz w:val="20"/>
                      <w:szCs w:val="20"/>
                    </w:rPr>
                    <w:t> </w:t>
                  </w:r>
                  <w:r w:rsidRPr="00A2229E">
                    <w:rPr>
                      <w:rFonts w:ascii="Arial" w:hAnsi="Arial" w:cs="Arial"/>
                      <w:b/>
                      <w:bCs/>
                      <w:sz w:val="20"/>
                      <w:szCs w:val="20"/>
                    </w:rPr>
                    <w:t>Sửa đổi, bãi bỏ một số điều của Nghị định số 88/2016/NĐ-CP ngày 01 tháng 07 năm 2016 của Chính phủ về chương trình hưu trí bổ sung tự nguyện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Sửa đổi, bãi bỏ một số điều của Nghị định số 88/2016/NĐ-CP ngày 01 tháng 07 năm 2016 của Chính phủ về chương trình hưu trí bổ sung tự nguyện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Điểm e khoản 4 Điều 16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“e) Được cung cấp các dịch vụ khác cho quỹ hưu trí đang ký hợp đồng giám sát nhưng phải tách biệt về tổ chức nhân sự giữa các bộ phận thực hiện nghiệp vụ;</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Khoản 2 Điều 34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Không phải là tổ chức nằm trong diện đang được tái cơ cấu theo quyết định của cơ quan nhà nước có thẩm quyền”.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Bãi bỏ điểm b khoản 5 Điều 34.</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Chương III</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LĨNH VỰC KINH DOANH BẢO HIỂM</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Điều 12. Sửa đổi, bãi bỏ một số điều của Nghị định số 73/2016/NĐ-CP ngày 1/7/2016 quy định chi tiết thi hành Luật kinh doanh bảo hiểm và Luật sửa đổi, bổ sung một số điều của Luật Kinh doanh bảo hiểm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1. Sửa đổi một số điều của Nghị định số 73/2016/NĐ-CP ngày 1/7/2016 quy định chi tiết thi hành Luật kinh doanh bảo hiểm và Luật sửa đổi, bổ sung một số điều của Luật Kinh doanh bảo hiểm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Điểm c Khoản 1 Điều 6 được sửa đổi như sau:</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w:t>
                  </w:r>
                  <w:proofErr w:type="gramStart"/>
                  <w:r w:rsidRPr="00A2229E">
                    <w:rPr>
                      <w:rFonts w:ascii="Arial" w:hAnsi="Arial" w:cs="Arial"/>
                      <w:sz w:val="20"/>
                      <w:szCs w:val="20"/>
                    </w:rPr>
                    <w:t>c.Tổ</w:t>
                  </w:r>
                  <w:proofErr w:type="gramEnd"/>
                  <w:r w:rsidRPr="00A2229E">
                    <w:rPr>
                      <w:rFonts w:ascii="Arial" w:hAnsi="Arial" w:cs="Arial"/>
                      <w:sz w:val="20"/>
                      <w:szCs w:val="20"/>
                    </w:rPr>
                    <w:t xml:space="preserve"> chức tham gia góp vốn từ 10% vốn điều lệ trở lên phải hoạt động kinh doanh có lãi trong 03 năm liền kề trước năm nộp hồ sơ đề nghị cấp Giấy phép”.</w:t>
                  </w:r>
                </w:p>
                <w:p w:rsidR="00A2229E" w:rsidRPr="00A2229E" w:rsidRDefault="00A2229E" w:rsidP="00A2229E">
                  <w:pPr>
                    <w:spacing w:line="338" w:lineRule="atLeast"/>
                    <w:jc w:val="both"/>
                    <w:rPr>
                      <w:rFonts w:ascii="Arial" w:hAnsi="Arial" w:cs="Arial"/>
                      <w:sz w:val="26"/>
                      <w:szCs w:val="26"/>
                    </w:rPr>
                  </w:pPr>
                  <w:r w:rsidRPr="00A2229E">
                    <w:rPr>
                      <w:rFonts w:ascii="Arial" w:hAnsi="Arial" w:cs="Arial"/>
                      <w:sz w:val="20"/>
                      <w:szCs w:val="20"/>
                    </w:rPr>
                    <w:t>b) Gạch đầu dòng thứ 2 điểm a khoản 1 Điều 7 được sửa đổi như sau:</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 Có ít nhất </w:t>
                  </w:r>
                  <w:r w:rsidRPr="00A2229E">
                    <w:rPr>
                      <w:rFonts w:ascii="Arial" w:hAnsi="Arial" w:cs="Arial"/>
                      <w:b/>
                      <w:bCs/>
                      <w:sz w:val="20"/>
                      <w:szCs w:val="20"/>
                    </w:rPr>
                    <w:t>7</w:t>
                  </w:r>
                  <w:r w:rsidRPr="00A2229E">
                    <w:rPr>
                      <w:rFonts w:ascii="Arial" w:hAnsi="Arial" w:cs="Arial"/>
                      <w:sz w:val="20"/>
                      <w:szCs w:val="20"/>
                    </w:rPr>
                    <w:t> năm kinh nghiệm hoạt động trong lĩnh vực dự kiến tiến hành tại Việt Nam;</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c) Gạch đầu dòng thứ 4 điểm a khoản 1 Điều 7 được sửa đổi như sau:</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 Không vi phạm nghiêm trọng các quy định pháp luật về hoạt động kinh doanh bảo hiểm của nước nơi doanh nghiệp đóng trụ sở chính trong thời hạn 03 năm liền kề trước năm nộp hồ sơ đề nghị cấp Giấy phép”.</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d) Điểm a khoản 2 Điều 7 được sửa đổi như sau:</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“a. Có tối thiểu 02 cổ đông là tổ chức đáp ứng các điều kiện quy định tại khoản 1 Điều 7 Nghị định này và 02 cổ đông này phải cùng nhau sở hữu tối thiểu 20% số cổ phần của công ty cổ phần bảo hiểm dự kiến được thành lập;</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đ) Điểm đ khoản 2 Điều 8 được sửa đổi, bổ sung như sau:</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“đ) Có văn bản cam kết chịu trách nhiệm về mọi nghĩa vụ và cam kết của chi nhánh tại Việt Nam;”</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e) Điểm b khoản 2 Điều 9 được sửa đổi, bổ sung như sau:</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“b. Có ít nhất 7 năm kinh nghiệm hoạt động trong lĩnh vực dự kiến tiến hành tại Việt Nam”.</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g) Điểm c khoản 2 Điều 9 được sửa đổi như sau:</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“c. Không vi phạm nghiêm trọng các quy định pháp luật về hoạt động kinh doanh bảo hiểm của nước nơi doanh nghiệp đóng trụ sở chính trong thời hạn 03 năm liền kề trước năm nộp hồ sơ đề nghị cấp Giấy phép.”</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2. Bãi bỏ một số điều của Nghị định 73/2016/NĐ-CP ngày 1/7/2016 quy định chi tiết thi hành Luật kinh doanh bảo hiểm và Luật sửa đổi, bổ sung một số điều của Luật kinh doanh bảo hiểm như sau:</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a) Bãi bỏ điểm a khoản 1 và khoản 2 Điều 6;</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b) Bãi bỏ gạch đầu dòng thứ nhất điểm b khoản 1 và điểm b khoản 2 Điều 7;</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c) Bãi bỏ điểm c khoản 2 Điều 8;</w:t>
                  </w:r>
                </w:p>
                <w:p w:rsidR="00A2229E" w:rsidRPr="00A2229E" w:rsidRDefault="00A2229E" w:rsidP="00A2229E">
                  <w:pPr>
                    <w:spacing w:line="338" w:lineRule="atLeast"/>
                    <w:ind w:firstLine="720"/>
                    <w:jc w:val="both"/>
                    <w:rPr>
                      <w:rFonts w:ascii="Arial" w:hAnsi="Arial" w:cs="Arial"/>
                      <w:sz w:val="26"/>
                      <w:szCs w:val="26"/>
                    </w:rPr>
                  </w:pPr>
                  <w:r w:rsidRPr="00A2229E">
                    <w:rPr>
                      <w:rFonts w:ascii="Arial" w:hAnsi="Arial" w:cs="Arial"/>
                      <w:sz w:val="20"/>
                      <w:szCs w:val="20"/>
                    </w:rPr>
                    <w:t>d) Bãi bỏ điểm a khoản 1; điểm c khoản 1; điểm a, điểm c khoản 2; điểm b khoản 3; điểm a và điểm b khoản 4 Điều 86.</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sz w:val="26"/>
                      <w:szCs w:val="26"/>
                    </w:rPr>
                    <w:t> </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Chương IV</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   LĨNH VỰC GIÁ</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w:t>
                  </w:r>
                  <w:r w:rsidRPr="00A2229E">
                    <w:rPr>
                      <w:rFonts w:ascii="Arial" w:hAnsi="Arial" w:cs="Arial"/>
                      <w:b/>
                      <w:bCs/>
                      <w:sz w:val="20"/>
                      <w:szCs w:val="20"/>
                    </w:rPr>
                    <w:t>Điều 13. Sửa đổi Khoản 1 Điều 18 Nghị định số 89/2013/NĐ-CP của Chính Phủ ngày 6/8/2013 quy định chi tiết thi hành một số điều của Luật Giá về thẩm định giá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“1.Tổng số vốn góp của cổ đông, thành viên góp vốn là tổ chức tối đa không quá 35% vốn điều lệ của công ty cổ phần thẩm định giá, công ty TNHH thẩm định giá hai thành viên trở lên”.</w:t>
                  </w:r>
                  <w:r w:rsidRPr="00A2229E">
                    <w:rPr>
                      <w:rFonts w:ascii="Arial" w:hAnsi="Arial" w:cs="Arial"/>
                      <w:b/>
                      <w:bCs/>
                      <w:sz w:val="20"/>
                      <w:szCs w:val="20"/>
                    </w:rPr>
                    <w:t>   </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6"/>
                      <w:szCs w:val="26"/>
                    </w:rPr>
                    <w:t> </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Chương V</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   LĨNH VỰC CHỨNG KHOÁN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w:t>
                  </w:r>
                  <w:r w:rsidRPr="00A2229E">
                    <w:rPr>
                      <w:rFonts w:ascii="Arial" w:hAnsi="Arial" w:cs="Arial"/>
                      <w:b/>
                      <w:bCs/>
                      <w:sz w:val="20"/>
                      <w:szCs w:val="20"/>
                    </w:rPr>
                    <w:t>Điều 14. Sửa đổi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Điểm b, khoản 1 Điều 71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“Tự doanh chứng khoán: 50 tỷ đồng Việt Nam;”</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2. Khoản 5 Điều 71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“5. Cá nhân tham gia góp vốn thành lập tổ chức kinh doanh chứng khoán không thuộc các trường hợp không được quyền thành lập và quản lý doanh nghiệp tại Việt Nam theo quy định pháp luật về doanh nghiệp;</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3. Điểm a khoản 1 Điều 74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Chịu sự giám sát thường xuyên bởi cơ quan quản lý, giám sát chuyên ngành trong lĩnh vực tài chính, ngân hàng, chứng khoán tại nước nơi tổ chức đó thành lập và hoạt động;”</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4. Khoản 2 Điều 74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Tổ chức kinh doanh chứng khoán nước ngoài thực hiện các nghiệp vụ môi giới chứng khoán được thành lập văn phòng đại diện công ty chứng khoán tại Việt Nam nếu đáp ứng các điều kiện theo quy định tại điểm a, b Khoản 1 Điều này.</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b/>
                      <w:bCs/>
                      <w:sz w:val="20"/>
                      <w:szCs w:val="20"/>
                    </w:rPr>
                    <w:t>   Điều 15. Sửa đổi, bãi bỏ một số điều của Nghị định số 86/2016/NĐ-CP ngày 01 tháng 7 năm 2016 của Chính phủ quy định điều kiện đầu tư, kinh doanh chứng khoán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1. Sửa đổi một số điều của Nghị định số 86/2016/NĐ-CP ngày 01 tháng 7 năm 2016 của Chính phủ quy định điều kiện đầu tư, kinh doanh chứng khoán như sau:</w:t>
                  </w:r>
                </w:p>
                <w:p w:rsidR="00A2229E" w:rsidRPr="00A2229E" w:rsidRDefault="00A2229E" w:rsidP="00A2229E">
                  <w:pPr>
                    <w:spacing w:line="338" w:lineRule="atLeast"/>
                    <w:jc w:val="both"/>
                    <w:rPr>
                      <w:rFonts w:ascii="Arial" w:hAnsi="Arial" w:cs="Arial"/>
                      <w:sz w:val="26"/>
                      <w:szCs w:val="26"/>
                    </w:rPr>
                  </w:pPr>
                  <w:r w:rsidRPr="00A2229E">
                    <w:rPr>
                      <w:rFonts w:ascii="Arial" w:hAnsi="Arial" w:cs="Arial"/>
                      <w:b/>
                      <w:bCs/>
                      <w:sz w:val="20"/>
                      <w:szCs w:val="20"/>
                    </w:rPr>
                    <w:t>   </w:t>
                  </w:r>
                  <w:r w:rsidRPr="00A2229E">
                    <w:rPr>
                      <w:rFonts w:ascii="Arial" w:hAnsi="Arial" w:cs="Arial"/>
                      <w:sz w:val="20"/>
                      <w:szCs w:val="20"/>
                    </w:rPr>
                    <w:t>a) Điểm a, điểm b, điểm d khoản 3 Điều 5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“a) Không thuộc trường hợp đang bị truy cứu trách nhiệm hình sự hoặc chấp hành hình phạt tù hoặc bị toà án cấm hành nghề kinh doanh theo quy định pháp luật;</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b) Có ít nhất 02 năm kinh nghiệm làm việc tại các bộ phận nghiệp vụ trong lĩnh vực tài chính, ngân hàng, chứng khoán hoặc tại bộ phận tài chính, kế toán, đầu tư trong doanh nghiệp khác và có kinh nghiệm quản lý điều hành tối thiểu 02 năm;</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d) Không bị xử phạt theo pháp luật chứng khoán và thị trường chứng khoán trong vòng 06 tháng gần nhất tính đến thời điểm nộp hồ sơ;</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Điểm b khoản 1 Điều 8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Không đang trong tình trạng cảnh báo, kiểm soát, kiểm soát đặc biệt, đình chỉ hoạt động, tạm ngừng hoạt động, hợp nhất, sáp nhập, giải thể, phá sản;</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c) Điểm a, điểm d khoản 4 Điều 8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Được cấp phép các nghiệp vụ môi giới, tự doanh, bảo lãnh phát hành chứng khoán và được Hội đồng quản trị hoặc Hội đồng thành viên hoặc chủ sở hữu công ty thông qua hoạt động cung cấp dịch vụ giao dịch trong ngày;</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d) Tỷ lệ vốn khả dụng đạt tối thiểu 220% liên tục trong 06 tháng gần nhất tính đến thời điểm đăng ký cung cấp dịch vụ giao dịch trong ngày.</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d) Điểm b khoản 3 Điều 11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Có ít nhất 04 năm kinh nghiệm tại các bộ phận nghiệp vụ của các tổ chức trong lĩnh vực tài chính, ngân hàng, bảo hiểm hoặc tại bộ phận tài chính, kế toán, đầu tư trong các doanh nghiệp khác;</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rPr>
                      <w:rFonts w:ascii="Arial" w:hAnsi="Arial" w:cs="Arial"/>
                      <w:sz w:val="26"/>
                      <w:szCs w:val="26"/>
                    </w:rPr>
                  </w:pPr>
                  <w:r w:rsidRPr="00A2229E">
                    <w:rPr>
                      <w:rFonts w:ascii="Arial" w:hAnsi="Arial" w:cs="Arial"/>
                      <w:sz w:val="20"/>
                      <w:szCs w:val="20"/>
                    </w:rPr>
                    <w:t>đ) Khoản 4 Điều 11 được sửa đổi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“4. Điều kiện về cổ đông, thành viên góp vốn:</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Cơ cấu cổ đông, điều kiện thành viên góp vốn đáp ứng các quy định tại khoản 5, 6, 8 và 10 Điều 71 Nghị định 58/2012/NĐ-CP, quy định đối với nhà đầu tư nước ngoài tại Khoản 21 và 24 Điều 1 Nghị định 60/2015/NĐ-CP. Trường hợp công ty quản lý quỹ được tổ chức dưới loại hình công ty trách nhiệm hữu hạn một thành viên, chủ sở hữu phải là ngân hàng thương mại, doanh nghiệp bảo hiểm, công ty chứng khoán hoặc tổ chức nước ngoài đáp ứng quy định tại Điều 4 Nghị định này.</w:t>
                  </w:r>
                  <w:proofErr w:type="gramStart"/>
                  <w:r w:rsidRPr="00A2229E">
                    <w:rPr>
                      <w:rFonts w:ascii="Arial" w:hAnsi="Arial" w:cs="Arial"/>
                      <w:sz w:val="20"/>
                      <w:szCs w:val="20"/>
                    </w:rPr>
                    <w:t>”.</w:t>
                  </w:r>
                  <w:proofErr w:type="gramEnd"/>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2. Bãi bỏ một số điều của Nghị định số 86/2016/NĐ-CP ngày 01 tháng 7 năm 2016 của Chính phủ quy định điều kiện đầu tư, kinh doanh chứng khoán như sau:</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a) Bãi bỏ điểm đ khoản 3, điểm a khoản 4 Điều 5;</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b) Bãi bỏ điểm d khoản 1 Điều 8;</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c) Bãi bỏ điểm a khoản 1 Điều 10;</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d) Bãi bỏ điểm d khoản 3 Điều 11;</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đ) Bãi bỏ khoản 1 Điều 12;</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e) Bãi bỏ điểm c khoản 1, điểm a, b khoản 2 Điều 13;</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g) Bãi bỏ điểm a, b khoản 3 Điều 14;</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h) Bãi bỏ khoản 4 Điều 17;</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i) Bãi bỏ khoản 3, 4 Điều 18;</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k) Bãi bỏ Điều 19.</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6"/>
                      <w:szCs w:val="26"/>
                    </w:rPr>
                    <w:t> </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w:t>
                  </w:r>
                  <w:r w:rsidRPr="00A2229E">
                    <w:rPr>
                      <w:rFonts w:ascii="Arial" w:hAnsi="Arial" w:cs="Arial"/>
                      <w:b/>
                      <w:bCs/>
                      <w:sz w:val="20"/>
                      <w:szCs w:val="20"/>
                    </w:rPr>
                    <w:t>Chương VI</w:t>
                  </w:r>
                </w:p>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b/>
                      <w:bCs/>
                      <w:sz w:val="20"/>
                      <w:szCs w:val="20"/>
                    </w:rPr>
                    <w:t>ĐIỀU KHOẢN THI HÀNH</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w:t>
                  </w:r>
                  <w:r w:rsidRPr="00A2229E">
                    <w:rPr>
                      <w:rFonts w:ascii="Arial" w:hAnsi="Arial" w:cs="Arial"/>
                      <w:b/>
                      <w:bCs/>
                      <w:sz w:val="20"/>
                      <w:szCs w:val="20"/>
                    </w:rPr>
                    <w:t>Điều 16. Hiệu lực thi hành</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1. Nghị định này có hiệu lực thi hành kể từ ngày ký ban hành.</w:t>
                  </w:r>
                </w:p>
                <w:p w:rsidR="00A2229E" w:rsidRPr="00A2229E" w:rsidRDefault="00A2229E" w:rsidP="00A2229E">
                  <w:pPr>
                    <w:spacing w:line="338" w:lineRule="atLeast"/>
                    <w:ind w:firstLine="680"/>
                    <w:jc w:val="both"/>
                    <w:rPr>
                      <w:rFonts w:ascii="Arial" w:hAnsi="Arial" w:cs="Arial"/>
                      <w:sz w:val="26"/>
                      <w:szCs w:val="26"/>
                    </w:rPr>
                  </w:pPr>
                  <w:r w:rsidRPr="00A2229E">
                    <w:rPr>
                      <w:rFonts w:ascii="Arial" w:hAnsi="Arial" w:cs="Arial"/>
                      <w:sz w:val="20"/>
                      <w:szCs w:val="20"/>
                    </w:rPr>
                    <w:t>   2. Các Bộ trưởng, Thủ trưởng cơ quan ngang bộ, Thủ trưởng cơ quan thuộc Chính phủ, Chủ tịch Ủy ban nhân dân tỉnh, thành phố trực thuộc trung ương chịu trách nhiệm hướng dẫn và thi hành Nghị định này</w:t>
                  </w:r>
                  <w:proofErr w:type="gramStart"/>
                  <w:r w:rsidRPr="00A2229E">
                    <w:rPr>
                      <w:rFonts w:ascii="Arial" w:hAnsi="Arial" w:cs="Arial"/>
                      <w:sz w:val="20"/>
                      <w:szCs w:val="20"/>
                    </w:rPr>
                    <w:t>./</w:t>
                  </w:r>
                  <w:proofErr w:type="gramEnd"/>
                  <w:r w:rsidRPr="00A2229E">
                    <w:rPr>
                      <w:rFonts w:ascii="Arial" w:hAnsi="Arial" w:cs="Arial"/>
                      <w:sz w:val="20"/>
                      <w:szCs w:val="20"/>
                    </w:rPr>
                    <w:t>.</w:t>
                  </w:r>
                </w:p>
                <w:tbl>
                  <w:tblPr>
                    <w:tblW w:w="20595" w:type="dxa"/>
                    <w:tblCellSpacing w:w="15" w:type="dxa"/>
                    <w:tblCellMar>
                      <w:top w:w="15" w:type="dxa"/>
                      <w:left w:w="15" w:type="dxa"/>
                      <w:bottom w:w="15" w:type="dxa"/>
                      <w:right w:w="15" w:type="dxa"/>
                    </w:tblCellMar>
                    <w:tblLook w:val="04A0" w:firstRow="1" w:lastRow="0" w:firstColumn="1" w:lastColumn="0" w:noHBand="0" w:noVBand="1"/>
                  </w:tblPr>
                  <w:tblGrid>
                    <w:gridCol w:w="16975"/>
                    <w:gridCol w:w="3620"/>
                  </w:tblGrid>
                  <w:tr w:rsidR="00A2229E" w:rsidRPr="00A2229E" w:rsidTr="00A2229E">
                    <w:trPr>
                      <w:trHeight w:val="284"/>
                      <w:tblCellSpacing w:w="15" w:type="dxa"/>
                    </w:trPr>
                    <w:tc>
                      <w:tcPr>
                        <w:tcW w:w="0" w:type="auto"/>
                        <w:shd w:val="clear" w:color="auto" w:fill="FFFFFF"/>
                        <w:hideMark/>
                      </w:tcPr>
                      <w:p w:rsidR="00A2229E" w:rsidRPr="00A2229E" w:rsidRDefault="00A2229E" w:rsidP="00A2229E">
                        <w:pPr>
                          <w:spacing w:line="225" w:lineRule="atLeast"/>
                          <w:ind w:firstLine="680"/>
                          <w:rPr>
                            <w:rFonts w:ascii="Arial" w:hAnsi="Arial" w:cs="Arial"/>
                            <w:sz w:val="26"/>
                            <w:szCs w:val="26"/>
                          </w:rPr>
                        </w:pPr>
                        <w:r w:rsidRPr="00A2229E">
                          <w:rPr>
                            <w:rFonts w:ascii="Arial" w:hAnsi="Arial" w:cs="Arial"/>
                            <w:b/>
                            <w:bCs/>
                            <w:i/>
                            <w:iCs/>
                            <w:color w:val="000000"/>
                            <w:sz w:val="20"/>
                            <w:szCs w:val="20"/>
                          </w:rPr>
                          <w:t>Nơi nhận:</w:t>
                        </w:r>
                        <w:r w:rsidRPr="00A2229E">
                          <w:rPr>
                            <w:rFonts w:ascii="Arial" w:hAnsi="Arial" w:cs="Arial"/>
                            <w:color w:val="000000"/>
                            <w:sz w:val="20"/>
                            <w:szCs w:val="20"/>
                          </w:rPr>
                          <w:br w:type="textWrapping" w:clear="all"/>
                          <w:t>- Ban Bí thư Trung ương Đảng;</w:t>
                        </w:r>
                        <w:r w:rsidRPr="00A2229E">
                          <w:rPr>
                            <w:rFonts w:ascii="Arial" w:hAnsi="Arial" w:cs="Arial"/>
                            <w:color w:val="000000"/>
                            <w:sz w:val="20"/>
                            <w:szCs w:val="20"/>
                          </w:rPr>
                          <w:br w:type="textWrapping" w:clear="all"/>
                          <w:t>- Thủ tướng, các Phó Thủ tướng Chính phủ;</w:t>
                        </w:r>
                        <w:r w:rsidRPr="00A2229E">
                          <w:rPr>
                            <w:rFonts w:ascii="Arial" w:hAnsi="Arial" w:cs="Arial"/>
                            <w:color w:val="000000"/>
                            <w:sz w:val="20"/>
                            <w:szCs w:val="20"/>
                          </w:rPr>
                          <w:br w:type="textWrapping" w:clear="all"/>
                          <w:t>- Các bộ, cơ quan ngang bộ, cơ quan thuộc Chính phủ;</w:t>
                        </w:r>
                        <w:r w:rsidRPr="00A2229E">
                          <w:rPr>
                            <w:rFonts w:ascii="Arial" w:hAnsi="Arial" w:cs="Arial"/>
                            <w:color w:val="000000"/>
                            <w:sz w:val="20"/>
                            <w:szCs w:val="20"/>
                          </w:rPr>
                          <w:br w:type="textWrapping" w:clear="all"/>
                          <w:t>- HĐND, UBND các tỉnh, thành phố trực thuộc trung ương;</w:t>
                        </w:r>
                        <w:r w:rsidRPr="00A2229E">
                          <w:rPr>
                            <w:rFonts w:ascii="Arial" w:hAnsi="Arial" w:cs="Arial"/>
                            <w:color w:val="000000"/>
                            <w:sz w:val="20"/>
                            <w:szCs w:val="20"/>
                          </w:rPr>
                          <w:br w:type="textWrapping" w:clear="all"/>
                          <w:t>- Văn phòng Trung ương và các Ban của Đảng;</w:t>
                        </w:r>
                        <w:r w:rsidRPr="00A2229E">
                          <w:rPr>
                            <w:rFonts w:ascii="Arial" w:hAnsi="Arial" w:cs="Arial"/>
                            <w:color w:val="000000"/>
                            <w:sz w:val="20"/>
                            <w:szCs w:val="20"/>
                          </w:rPr>
                          <w:br w:type="textWrapping" w:clear="all"/>
                          <w:t>- Văn phòng Tổng Bí thư;</w:t>
                        </w:r>
                        <w:r w:rsidRPr="00A2229E">
                          <w:rPr>
                            <w:rFonts w:ascii="Arial" w:hAnsi="Arial" w:cs="Arial"/>
                            <w:color w:val="000000"/>
                            <w:sz w:val="20"/>
                            <w:szCs w:val="20"/>
                          </w:rPr>
                          <w:br w:type="textWrapping" w:clear="all"/>
                          <w:t>- Văn phòng Chủ tịch nước;</w:t>
                        </w:r>
                        <w:r w:rsidRPr="00A2229E">
                          <w:rPr>
                            <w:rFonts w:ascii="Arial" w:hAnsi="Arial" w:cs="Arial"/>
                            <w:color w:val="000000"/>
                            <w:sz w:val="20"/>
                            <w:szCs w:val="20"/>
                          </w:rPr>
                          <w:br w:type="textWrapping" w:clear="all"/>
                          <w:t>- Hội đồng dân tộc và các Ủy ban của Quốc hội;</w:t>
                        </w:r>
                        <w:r w:rsidRPr="00A2229E">
                          <w:rPr>
                            <w:rFonts w:ascii="Arial" w:hAnsi="Arial" w:cs="Arial"/>
                            <w:color w:val="000000"/>
                            <w:sz w:val="20"/>
                            <w:szCs w:val="20"/>
                          </w:rPr>
                          <w:br w:type="textWrapping" w:clear="all"/>
                          <w:t>- Văn phòng Quốc hội;</w:t>
                        </w:r>
                        <w:r w:rsidRPr="00A2229E">
                          <w:rPr>
                            <w:rFonts w:ascii="Arial" w:hAnsi="Arial" w:cs="Arial"/>
                            <w:color w:val="000000"/>
                            <w:sz w:val="20"/>
                            <w:szCs w:val="20"/>
                          </w:rPr>
                          <w:br w:type="textWrapping" w:clear="all"/>
                          <w:t>- Tòa án nhân dân tối cao;</w:t>
                        </w:r>
                        <w:r w:rsidRPr="00A2229E">
                          <w:rPr>
                            <w:rFonts w:ascii="Arial" w:hAnsi="Arial" w:cs="Arial"/>
                            <w:color w:val="000000"/>
                            <w:sz w:val="20"/>
                            <w:szCs w:val="20"/>
                          </w:rPr>
                          <w:br w:type="textWrapping" w:clear="all"/>
                          <w:t>- Viện kiểm sát nhân dân tối cao;</w:t>
                        </w:r>
                        <w:r w:rsidRPr="00A2229E">
                          <w:rPr>
                            <w:rFonts w:ascii="Arial" w:hAnsi="Arial" w:cs="Arial"/>
                            <w:color w:val="000000"/>
                            <w:sz w:val="20"/>
                            <w:szCs w:val="20"/>
                          </w:rPr>
                          <w:br w:type="textWrapping" w:clear="all"/>
                          <w:t>- Kiểm toán nhà nước;</w:t>
                        </w:r>
                        <w:r w:rsidRPr="00A2229E">
                          <w:rPr>
                            <w:rFonts w:ascii="Arial" w:hAnsi="Arial" w:cs="Arial"/>
                            <w:color w:val="000000"/>
                            <w:sz w:val="20"/>
                            <w:szCs w:val="20"/>
                          </w:rPr>
                          <w:br w:type="textWrapping" w:clear="all"/>
                          <w:t>- Ủy ban Giám sát tài chính Quốc gia;</w:t>
                        </w:r>
                        <w:r w:rsidRPr="00A2229E">
                          <w:rPr>
                            <w:rFonts w:ascii="Arial" w:hAnsi="Arial" w:cs="Arial"/>
                            <w:color w:val="000000"/>
                            <w:sz w:val="20"/>
                            <w:szCs w:val="20"/>
                          </w:rPr>
                          <w:br w:type="textWrapping" w:clear="all"/>
                          <w:t>- Ngân hàng Chính sách xã hội;</w:t>
                        </w:r>
                        <w:r w:rsidRPr="00A2229E">
                          <w:rPr>
                            <w:rFonts w:ascii="Arial" w:hAnsi="Arial" w:cs="Arial"/>
                            <w:color w:val="000000"/>
                            <w:sz w:val="20"/>
                            <w:szCs w:val="20"/>
                          </w:rPr>
                          <w:br w:type="textWrapping" w:clear="all"/>
                          <w:t>- Ngân hàng Phát triển Việt Nam;</w:t>
                        </w:r>
                        <w:r w:rsidRPr="00A2229E">
                          <w:rPr>
                            <w:rFonts w:ascii="Arial" w:hAnsi="Arial" w:cs="Arial"/>
                            <w:color w:val="000000"/>
                            <w:sz w:val="20"/>
                            <w:szCs w:val="20"/>
                          </w:rPr>
                          <w:br w:type="textWrapping" w:clear="all"/>
                          <w:t>- Ủy ban trung ương Mặt trận Tổ quốc Việt Nam;</w:t>
                        </w:r>
                        <w:r w:rsidRPr="00A2229E">
                          <w:rPr>
                            <w:rFonts w:ascii="Arial" w:hAnsi="Arial" w:cs="Arial"/>
                            <w:color w:val="000000"/>
                            <w:sz w:val="20"/>
                            <w:szCs w:val="20"/>
                          </w:rPr>
                          <w:br w:type="textWrapping" w:clear="all"/>
                          <w:t>- Cơ quan trung ương của các đoàn thể;</w:t>
                        </w:r>
                        <w:r w:rsidRPr="00A2229E">
                          <w:rPr>
                            <w:rFonts w:ascii="Arial" w:hAnsi="Arial" w:cs="Arial"/>
                            <w:color w:val="000000"/>
                            <w:sz w:val="20"/>
                            <w:szCs w:val="20"/>
                          </w:rPr>
                          <w:br w:type="textWrapping" w:clear="all"/>
                          <w:t>- VPCP: BTCN, các PCN, Trợ lý TTg, TGĐ Cổng TTĐT, các Vụ, Cục, đơn vị trực thuộc, Công báo;</w:t>
                        </w:r>
                        <w:r w:rsidRPr="00A2229E">
                          <w:rPr>
                            <w:rFonts w:ascii="Arial" w:hAnsi="Arial" w:cs="Arial"/>
                            <w:color w:val="000000"/>
                            <w:sz w:val="20"/>
                            <w:szCs w:val="20"/>
                          </w:rPr>
                          <w:br w:type="textWrapping" w:clear="all"/>
                          <w:t>- Lưu: VT, CN (2b).</w:t>
                        </w:r>
                      </w:p>
                    </w:tc>
                    <w:tc>
                      <w:tcPr>
                        <w:tcW w:w="0" w:type="auto"/>
                        <w:shd w:val="clear" w:color="auto" w:fill="FFFFFF"/>
                        <w:hideMark/>
                      </w:tcPr>
                      <w:p w:rsidR="00A2229E" w:rsidRPr="00A2229E" w:rsidRDefault="00A2229E" w:rsidP="00A2229E">
                        <w:pPr>
                          <w:spacing w:line="225" w:lineRule="atLeast"/>
                          <w:ind w:firstLine="680"/>
                          <w:jc w:val="center"/>
                          <w:rPr>
                            <w:rFonts w:ascii="Arial" w:hAnsi="Arial" w:cs="Arial"/>
                            <w:sz w:val="26"/>
                            <w:szCs w:val="26"/>
                          </w:rPr>
                        </w:pPr>
                        <w:r w:rsidRPr="00A2229E">
                          <w:rPr>
                            <w:rFonts w:ascii="Arial" w:hAnsi="Arial" w:cs="Arial"/>
                            <w:sz w:val="26"/>
                            <w:szCs w:val="26"/>
                          </w:rPr>
                          <w:t> </w:t>
                        </w:r>
                      </w:p>
                      <w:p w:rsidR="00A2229E" w:rsidRPr="00A2229E" w:rsidRDefault="00A2229E" w:rsidP="00A2229E">
                        <w:pPr>
                          <w:spacing w:line="225" w:lineRule="atLeast"/>
                          <w:ind w:firstLine="680"/>
                          <w:jc w:val="center"/>
                          <w:rPr>
                            <w:rFonts w:ascii="Arial" w:hAnsi="Arial" w:cs="Arial"/>
                            <w:sz w:val="26"/>
                            <w:szCs w:val="26"/>
                          </w:rPr>
                        </w:pPr>
                        <w:r w:rsidRPr="00A2229E">
                          <w:rPr>
                            <w:rFonts w:ascii="Arial" w:hAnsi="Arial" w:cs="Arial"/>
                            <w:b/>
                            <w:bCs/>
                            <w:color w:val="000000"/>
                            <w:sz w:val="20"/>
                            <w:szCs w:val="20"/>
                          </w:rPr>
                          <w:t>TM. CHÍNH PHỦ</w:t>
                        </w:r>
                        <w:r w:rsidRPr="00A2229E">
                          <w:rPr>
                            <w:rFonts w:ascii="Arial" w:hAnsi="Arial" w:cs="Arial"/>
                            <w:b/>
                            <w:bCs/>
                            <w:color w:val="000000"/>
                            <w:sz w:val="20"/>
                            <w:szCs w:val="20"/>
                          </w:rPr>
                          <w:br w:type="textWrapping" w:clear="all"/>
                          <w:t>THỦ TƯỚNG</w:t>
                        </w:r>
                        <w:r w:rsidRPr="00A2229E">
                          <w:rPr>
                            <w:rFonts w:ascii="Arial" w:hAnsi="Arial" w:cs="Arial"/>
                            <w:b/>
                            <w:bCs/>
                            <w:color w:val="000000"/>
                            <w:sz w:val="20"/>
                            <w:szCs w:val="20"/>
                          </w:rPr>
                          <w:br w:type="textWrapping" w:clear="all"/>
                        </w:r>
                        <w:r w:rsidRPr="00A2229E">
                          <w:rPr>
                            <w:rFonts w:ascii="Arial" w:hAnsi="Arial" w:cs="Arial"/>
                            <w:b/>
                            <w:bCs/>
                            <w:color w:val="000000"/>
                            <w:sz w:val="20"/>
                            <w:szCs w:val="20"/>
                          </w:rPr>
                          <w:br w:type="textWrapping" w:clear="all"/>
                        </w:r>
                        <w:r w:rsidRPr="00A2229E">
                          <w:rPr>
                            <w:rFonts w:ascii="Arial" w:hAnsi="Arial" w:cs="Arial"/>
                            <w:b/>
                            <w:bCs/>
                            <w:color w:val="000000"/>
                            <w:sz w:val="20"/>
                            <w:szCs w:val="20"/>
                          </w:rPr>
                          <w:br w:type="textWrapping" w:clear="all"/>
                        </w:r>
                      </w:p>
                      <w:p w:rsidR="00A2229E" w:rsidRPr="00A2229E" w:rsidRDefault="00A2229E" w:rsidP="00A2229E">
                        <w:pPr>
                          <w:spacing w:line="225" w:lineRule="atLeast"/>
                          <w:ind w:firstLine="680"/>
                          <w:jc w:val="center"/>
                          <w:rPr>
                            <w:rFonts w:ascii="Arial" w:hAnsi="Arial" w:cs="Arial"/>
                            <w:sz w:val="26"/>
                            <w:szCs w:val="26"/>
                          </w:rPr>
                        </w:pPr>
                        <w:r w:rsidRPr="00A2229E">
                          <w:rPr>
                            <w:rFonts w:ascii="Arial" w:hAnsi="Arial" w:cs="Arial"/>
                            <w:b/>
                            <w:bCs/>
                            <w:color w:val="000000"/>
                            <w:sz w:val="20"/>
                            <w:szCs w:val="20"/>
                          </w:rPr>
                          <w:br w:type="textWrapping" w:clear="all"/>
                        </w:r>
                        <w:r w:rsidRPr="00A2229E">
                          <w:rPr>
                            <w:rFonts w:ascii="Arial" w:hAnsi="Arial" w:cs="Arial"/>
                            <w:b/>
                            <w:bCs/>
                            <w:color w:val="000000"/>
                            <w:sz w:val="20"/>
                            <w:szCs w:val="20"/>
                          </w:rPr>
                          <w:br w:type="textWrapping" w:clear="all"/>
                          <w:t>Nguyễn Xuân Phúc</w:t>
                        </w:r>
                      </w:p>
                    </w:tc>
                  </w:tr>
                </w:tbl>
                <w:p w:rsidR="00A2229E" w:rsidRPr="00A2229E" w:rsidRDefault="00A2229E" w:rsidP="00A2229E">
                  <w:pPr>
                    <w:spacing w:line="338" w:lineRule="atLeast"/>
                    <w:ind w:firstLine="680"/>
                    <w:jc w:val="center"/>
                    <w:rPr>
                      <w:rFonts w:ascii="Arial" w:hAnsi="Arial" w:cs="Arial"/>
                      <w:sz w:val="26"/>
                      <w:szCs w:val="26"/>
                    </w:rPr>
                  </w:pPr>
                  <w:r w:rsidRPr="00A2229E">
                    <w:rPr>
                      <w:rFonts w:ascii="Arial" w:hAnsi="Arial" w:cs="Arial"/>
                      <w:sz w:val="26"/>
                      <w:szCs w:val="26"/>
                    </w:rPr>
                    <w:t> </w:t>
                  </w:r>
                </w:p>
                <w:p w:rsidR="00A2229E" w:rsidRPr="00A2229E" w:rsidRDefault="00A2229E" w:rsidP="00A2229E">
                  <w:pPr>
                    <w:spacing w:line="225" w:lineRule="atLeast"/>
                    <w:rPr>
                      <w:rFonts w:ascii="Arial" w:hAnsi="Arial" w:cs="Arial"/>
                      <w:sz w:val="26"/>
                      <w:szCs w:val="26"/>
                    </w:rPr>
                  </w:pPr>
                  <w:r w:rsidRPr="00A2229E">
                    <w:rPr>
                      <w:rFonts w:ascii="Arial" w:hAnsi="Arial" w:cs="Arial"/>
                      <w:sz w:val="26"/>
                      <w:szCs w:val="26"/>
                    </w:rPr>
                    <w:t> </w:t>
                  </w:r>
                </w:p>
                <w:p w:rsidR="00A2229E" w:rsidRPr="00A2229E" w:rsidRDefault="00A2229E" w:rsidP="00A2229E">
                  <w:pPr>
                    <w:spacing w:line="225" w:lineRule="atLeast"/>
                    <w:jc w:val="right"/>
                    <w:rPr>
                      <w:rFonts w:ascii="Arial" w:hAnsi="Arial" w:cs="Arial"/>
                      <w:sz w:val="26"/>
                      <w:szCs w:val="26"/>
                    </w:rPr>
                  </w:pPr>
                  <w:r w:rsidRPr="00A2229E">
                    <w:rPr>
                      <w:rFonts w:ascii="Arial" w:hAnsi="Arial" w:cs="Arial"/>
                      <w:sz w:val="26"/>
                      <w:szCs w:val="26"/>
                    </w:rPr>
                    <w:t> </w:t>
                  </w:r>
                </w:p>
              </w:tc>
            </w:tr>
            <w:tr w:rsidR="00A2229E" w:rsidRPr="00A2229E">
              <w:trPr>
                <w:tblCellSpacing w:w="0" w:type="dxa"/>
              </w:trPr>
              <w:tc>
                <w:tcPr>
                  <w:tcW w:w="0" w:type="auto"/>
                  <w:vAlign w:val="center"/>
                  <w:hideMark/>
                </w:tcPr>
                <w:p w:rsidR="00A2229E" w:rsidRPr="00A2229E" w:rsidRDefault="00A2229E" w:rsidP="00A2229E">
                  <w:pPr>
                    <w:rPr>
                      <w:rFonts w:ascii="Arial" w:eastAsia="Times New Roman" w:hAnsi="Arial" w:cs="Arial"/>
                      <w:sz w:val="20"/>
                      <w:szCs w:val="20"/>
                    </w:rPr>
                  </w:pPr>
                </w:p>
              </w:tc>
              <w:tc>
                <w:tcPr>
                  <w:tcW w:w="0" w:type="auto"/>
                  <w:tcMar>
                    <w:top w:w="30" w:type="dxa"/>
                    <w:left w:w="120" w:type="dxa"/>
                    <w:bottom w:w="0" w:type="dxa"/>
                    <w:right w:w="0" w:type="dxa"/>
                  </w:tcMar>
                  <w:hideMark/>
                </w:tcPr>
                <w:p w:rsidR="00A2229E" w:rsidRPr="00A2229E" w:rsidRDefault="00A2229E" w:rsidP="00A2229E">
                  <w:pPr>
                    <w:rPr>
                      <w:rFonts w:ascii="Tahoma" w:eastAsia="Times New Roman" w:hAnsi="Tahoma" w:cs="Arial"/>
                      <w:sz w:val="20"/>
                      <w:szCs w:val="20"/>
                    </w:rPr>
                  </w:pPr>
                </w:p>
              </w:tc>
            </w:tr>
            <w:tr w:rsidR="00A2229E" w:rsidRPr="00A2229E">
              <w:trPr>
                <w:tblCellSpacing w:w="0" w:type="dxa"/>
              </w:trPr>
              <w:tc>
                <w:tcPr>
                  <w:tcW w:w="0" w:type="auto"/>
                  <w:vAlign w:val="center"/>
                  <w:hideMark/>
                </w:tcPr>
                <w:p w:rsidR="00A2229E" w:rsidRPr="00A2229E" w:rsidRDefault="00A2229E" w:rsidP="00A2229E">
                  <w:pPr>
                    <w:rPr>
                      <w:rFonts w:ascii="Arial" w:eastAsia="Times New Roman" w:hAnsi="Arial" w:cs="Arial"/>
                      <w:sz w:val="20"/>
                      <w:szCs w:val="20"/>
                    </w:rPr>
                  </w:pPr>
                </w:p>
              </w:tc>
              <w:tc>
                <w:tcPr>
                  <w:tcW w:w="0" w:type="auto"/>
                  <w:tcMar>
                    <w:top w:w="30" w:type="dxa"/>
                    <w:left w:w="120" w:type="dxa"/>
                    <w:bottom w:w="0" w:type="dxa"/>
                    <w:right w:w="0" w:type="dxa"/>
                  </w:tcMar>
                  <w:hideMark/>
                </w:tcPr>
                <w:p w:rsidR="00A2229E" w:rsidRPr="00A2229E" w:rsidRDefault="00A2229E" w:rsidP="00A2229E">
                  <w:pPr>
                    <w:rPr>
                      <w:rFonts w:ascii="Tahoma" w:eastAsia="Times New Roman" w:hAnsi="Tahoma" w:cs="Arial"/>
                      <w:sz w:val="20"/>
                      <w:szCs w:val="20"/>
                    </w:rPr>
                  </w:pPr>
                </w:p>
              </w:tc>
            </w:tr>
          </w:tbl>
          <w:p w:rsidR="00A2229E" w:rsidRPr="00A2229E" w:rsidRDefault="00A2229E" w:rsidP="00A2229E">
            <w:pPr>
              <w:rPr>
                <w:rFonts w:ascii="Arial" w:eastAsia="Times New Roman" w:hAnsi="Arial" w:cs="Arial"/>
                <w:sz w:val="20"/>
                <w:szCs w:val="20"/>
              </w:rPr>
            </w:pPr>
          </w:p>
        </w:tc>
      </w:tr>
    </w:tbl>
    <w:p w:rsidR="00506202" w:rsidRDefault="00506202"/>
    <w:sectPr w:rsidR="00506202" w:rsidSect="00810F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9E"/>
    <w:rsid w:val="00506202"/>
    <w:rsid w:val="00810F32"/>
    <w:rsid w:val="00A2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D8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paragraph"/>
    <w:basedOn w:val="Normal"/>
    <w:rsid w:val="00A2229E"/>
    <w:pPr>
      <w:spacing w:before="100" w:beforeAutospacing="1" w:after="100" w:afterAutospacing="1"/>
    </w:pPr>
    <w:rPr>
      <w:rFonts w:ascii="Times" w:hAnsi="Times"/>
      <w:sz w:val="20"/>
      <w:szCs w:val="20"/>
    </w:rPr>
  </w:style>
  <w:style w:type="paragraph" w:customStyle="1" w:styleId="normalweb">
    <w:name w:val="normalweb"/>
    <w:basedOn w:val="Normal"/>
    <w:rsid w:val="00A2229E"/>
    <w:pPr>
      <w:spacing w:before="100" w:beforeAutospacing="1" w:after="100" w:afterAutospacing="1"/>
    </w:pPr>
    <w:rPr>
      <w:rFonts w:ascii="Times" w:hAnsi="Times"/>
      <w:sz w:val="20"/>
      <w:szCs w:val="20"/>
    </w:rPr>
  </w:style>
  <w:style w:type="paragraph" w:styleId="Footer">
    <w:name w:val="footer"/>
    <w:aliases w:val="footer"/>
    <w:basedOn w:val="Normal"/>
    <w:link w:val="FooterChar"/>
    <w:uiPriority w:val="99"/>
    <w:unhideWhenUsed/>
    <w:rsid w:val="00A2229E"/>
    <w:pPr>
      <w:spacing w:before="100" w:beforeAutospacing="1" w:after="100" w:afterAutospacing="1"/>
    </w:pPr>
    <w:rPr>
      <w:rFonts w:ascii="Times" w:hAnsi="Times"/>
      <w:sz w:val="20"/>
      <w:szCs w:val="20"/>
    </w:rPr>
  </w:style>
  <w:style w:type="character" w:customStyle="1" w:styleId="FooterChar">
    <w:name w:val="Footer Char"/>
    <w:basedOn w:val="DefaultParagraphFont"/>
    <w:link w:val="Footer"/>
    <w:uiPriority w:val="99"/>
    <w:rsid w:val="00A2229E"/>
    <w:rPr>
      <w:rFonts w:ascii="Times" w:hAnsi="Times"/>
      <w:sz w:val="20"/>
      <w:szCs w:val="20"/>
    </w:rPr>
  </w:style>
  <w:style w:type="character" w:customStyle="1" w:styleId="x281">
    <w:name w:val="x281"/>
    <w:basedOn w:val="DefaultParagraphFont"/>
    <w:rsid w:val="00A2229E"/>
  </w:style>
  <w:style w:type="character" w:customStyle="1" w:styleId="x28a">
    <w:name w:val="x28a"/>
    <w:basedOn w:val="DefaultParagraphFont"/>
    <w:rsid w:val="00A2229E"/>
  </w:style>
  <w:style w:type="character" w:customStyle="1" w:styleId="x28d">
    <w:name w:val="x28d"/>
    <w:basedOn w:val="DefaultParagraphFont"/>
    <w:rsid w:val="00A222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paragraph"/>
    <w:basedOn w:val="Normal"/>
    <w:rsid w:val="00A2229E"/>
    <w:pPr>
      <w:spacing w:before="100" w:beforeAutospacing="1" w:after="100" w:afterAutospacing="1"/>
    </w:pPr>
    <w:rPr>
      <w:rFonts w:ascii="Times" w:hAnsi="Times"/>
      <w:sz w:val="20"/>
      <w:szCs w:val="20"/>
    </w:rPr>
  </w:style>
  <w:style w:type="paragraph" w:customStyle="1" w:styleId="normalweb">
    <w:name w:val="normalweb"/>
    <w:basedOn w:val="Normal"/>
    <w:rsid w:val="00A2229E"/>
    <w:pPr>
      <w:spacing w:before="100" w:beforeAutospacing="1" w:after="100" w:afterAutospacing="1"/>
    </w:pPr>
    <w:rPr>
      <w:rFonts w:ascii="Times" w:hAnsi="Times"/>
      <w:sz w:val="20"/>
      <w:szCs w:val="20"/>
    </w:rPr>
  </w:style>
  <w:style w:type="paragraph" w:styleId="Footer">
    <w:name w:val="footer"/>
    <w:aliases w:val="footer"/>
    <w:basedOn w:val="Normal"/>
    <w:link w:val="FooterChar"/>
    <w:uiPriority w:val="99"/>
    <w:unhideWhenUsed/>
    <w:rsid w:val="00A2229E"/>
    <w:pPr>
      <w:spacing w:before="100" w:beforeAutospacing="1" w:after="100" w:afterAutospacing="1"/>
    </w:pPr>
    <w:rPr>
      <w:rFonts w:ascii="Times" w:hAnsi="Times"/>
      <w:sz w:val="20"/>
      <w:szCs w:val="20"/>
    </w:rPr>
  </w:style>
  <w:style w:type="character" w:customStyle="1" w:styleId="FooterChar">
    <w:name w:val="Footer Char"/>
    <w:basedOn w:val="DefaultParagraphFont"/>
    <w:link w:val="Footer"/>
    <w:uiPriority w:val="99"/>
    <w:rsid w:val="00A2229E"/>
    <w:rPr>
      <w:rFonts w:ascii="Times" w:hAnsi="Times"/>
      <w:sz w:val="20"/>
      <w:szCs w:val="20"/>
    </w:rPr>
  </w:style>
  <w:style w:type="character" w:customStyle="1" w:styleId="x281">
    <w:name w:val="x281"/>
    <w:basedOn w:val="DefaultParagraphFont"/>
    <w:rsid w:val="00A2229E"/>
  </w:style>
  <w:style w:type="character" w:customStyle="1" w:styleId="x28a">
    <w:name w:val="x28a"/>
    <w:basedOn w:val="DefaultParagraphFont"/>
    <w:rsid w:val="00A2229E"/>
  </w:style>
  <w:style w:type="character" w:customStyle="1" w:styleId="x28d">
    <w:name w:val="x28d"/>
    <w:basedOn w:val="DefaultParagraphFont"/>
    <w:rsid w:val="00A2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4401">
      <w:bodyDiv w:val="1"/>
      <w:marLeft w:val="0"/>
      <w:marRight w:val="0"/>
      <w:marTop w:val="0"/>
      <w:marBottom w:val="0"/>
      <w:divBdr>
        <w:top w:val="none" w:sz="0" w:space="0" w:color="auto"/>
        <w:left w:val="none" w:sz="0" w:space="0" w:color="auto"/>
        <w:bottom w:val="none" w:sz="0" w:space="0" w:color="auto"/>
        <w:right w:val="none" w:sz="0" w:space="0" w:color="auto"/>
      </w:divBdr>
    </w:div>
    <w:div w:id="587737751">
      <w:bodyDiv w:val="1"/>
      <w:marLeft w:val="0"/>
      <w:marRight w:val="0"/>
      <w:marTop w:val="0"/>
      <w:marBottom w:val="0"/>
      <w:divBdr>
        <w:top w:val="none" w:sz="0" w:space="0" w:color="auto"/>
        <w:left w:val="none" w:sz="0" w:space="0" w:color="auto"/>
        <w:bottom w:val="none" w:sz="0" w:space="0" w:color="auto"/>
        <w:right w:val="none" w:sz="0" w:space="0" w:color="auto"/>
      </w:divBdr>
    </w:div>
    <w:div w:id="622463364">
      <w:bodyDiv w:val="1"/>
      <w:marLeft w:val="0"/>
      <w:marRight w:val="0"/>
      <w:marTop w:val="0"/>
      <w:marBottom w:val="0"/>
      <w:divBdr>
        <w:top w:val="none" w:sz="0" w:space="0" w:color="auto"/>
        <w:left w:val="none" w:sz="0" w:space="0" w:color="auto"/>
        <w:bottom w:val="none" w:sz="0" w:space="0" w:color="auto"/>
        <w:right w:val="none" w:sz="0" w:space="0" w:color="auto"/>
      </w:divBdr>
      <w:divsChild>
        <w:div w:id="100077234">
          <w:marLeft w:val="0"/>
          <w:marRight w:val="0"/>
          <w:marTop w:val="0"/>
          <w:marBottom w:val="0"/>
          <w:divBdr>
            <w:top w:val="none" w:sz="0" w:space="0" w:color="auto"/>
            <w:left w:val="none" w:sz="0" w:space="0" w:color="auto"/>
            <w:bottom w:val="none" w:sz="0" w:space="0" w:color="auto"/>
            <w:right w:val="none" w:sz="0" w:space="0" w:color="auto"/>
          </w:divBdr>
          <w:divsChild>
            <w:div w:id="226036844">
              <w:marLeft w:val="0"/>
              <w:marRight w:val="0"/>
              <w:marTop w:val="0"/>
              <w:marBottom w:val="0"/>
              <w:divBdr>
                <w:top w:val="none" w:sz="0" w:space="0" w:color="auto"/>
                <w:left w:val="none" w:sz="0" w:space="0" w:color="auto"/>
                <w:bottom w:val="none" w:sz="0" w:space="0" w:color="auto"/>
                <w:right w:val="none" w:sz="0" w:space="0" w:color="auto"/>
              </w:divBdr>
              <w:divsChild>
                <w:div w:id="832527563">
                  <w:marLeft w:val="0"/>
                  <w:marRight w:val="0"/>
                  <w:marTop w:val="0"/>
                  <w:marBottom w:val="0"/>
                  <w:divBdr>
                    <w:top w:val="none" w:sz="0" w:space="0" w:color="auto"/>
                    <w:left w:val="none" w:sz="0" w:space="0" w:color="auto"/>
                    <w:bottom w:val="none" w:sz="0" w:space="0" w:color="auto"/>
                    <w:right w:val="none" w:sz="0" w:space="0" w:color="auto"/>
                  </w:divBdr>
                  <w:divsChild>
                    <w:div w:id="1229655843">
                      <w:marLeft w:val="0"/>
                      <w:marRight w:val="0"/>
                      <w:marTop w:val="0"/>
                      <w:marBottom w:val="0"/>
                      <w:divBdr>
                        <w:top w:val="none" w:sz="0" w:space="0" w:color="auto"/>
                        <w:left w:val="none" w:sz="0" w:space="0" w:color="auto"/>
                        <w:bottom w:val="none" w:sz="0" w:space="0" w:color="auto"/>
                        <w:right w:val="none" w:sz="0" w:space="0" w:color="auto"/>
                      </w:divBdr>
                      <w:divsChild>
                        <w:div w:id="14168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84773">
      <w:bodyDiv w:val="1"/>
      <w:marLeft w:val="0"/>
      <w:marRight w:val="0"/>
      <w:marTop w:val="0"/>
      <w:marBottom w:val="0"/>
      <w:divBdr>
        <w:top w:val="none" w:sz="0" w:space="0" w:color="auto"/>
        <w:left w:val="none" w:sz="0" w:space="0" w:color="auto"/>
        <w:bottom w:val="none" w:sz="0" w:space="0" w:color="auto"/>
        <w:right w:val="none" w:sz="0" w:space="0" w:color="auto"/>
      </w:divBdr>
      <w:divsChild>
        <w:div w:id="963928996">
          <w:marLeft w:val="0"/>
          <w:marRight w:val="0"/>
          <w:marTop w:val="0"/>
          <w:marBottom w:val="0"/>
          <w:divBdr>
            <w:top w:val="none" w:sz="0" w:space="0" w:color="auto"/>
            <w:left w:val="none" w:sz="0" w:space="0" w:color="auto"/>
            <w:bottom w:val="none" w:sz="0" w:space="0" w:color="auto"/>
            <w:right w:val="none" w:sz="0" w:space="0" w:color="auto"/>
          </w:divBdr>
          <w:divsChild>
            <w:div w:id="2005401669">
              <w:marLeft w:val="0"/>
              <w:marRight w:val="0"/>
              <w:marTop w:val="0"/>
              <w:marBottom w:val="0"/>
              <w:divBdr>
                <w:top w:val="none" w:sz="0" w:space="0" w:color="auto"/>
                <w:left w:val="none" w:sz="0" w:space="0" w:color="auto"/>
                <w:bottom w:val="none" w:sz="0" w:space="0" w:color="auto"/>
                <w:right w:val="none" w:sz="0" w:space="0" w:color="auto"/>
              </w:divBdr>
              <w:divsChild>
                <w:div w:id="1577544177">
                  <w:marLeft w:val="0"/>
                  <w:marRight w:val="0"/>
                  <w:marTop w:val="0"/>
                  <w:marBottom w:val="0"/>
                  <w:divBdr>
                    <w:top w:val="none" w:sz="0" w:space="0" w:color="auto"/>
                    <w:left w:val="none" w:sz="0" w:space="0" w:color="auto"/>
                    <w:bottom w:val="none" w:sz="0" w:space="0" w:color="auto"/>
                    <w:right w:val="none" w:sz="0" w:space="0" w:color="auto"/>
                  </w:divBdr>
                  <w:divsChild>
                    <w:div w:id="1204561338">
                      <w:marLeft w:val="0"/>
                      <w:marRight w:val="0"/>
                      <w:marTop w:val="0"/>
                      <w:marBottom w:val="0"/>
                      <w:divBdr>
                        <w:top w:val="none" w:sz="0" w:space="0" w:color="auto"/>
                        <w:left w:val="none" w:sz="0" w:space="0" w:color="auto"/>
                        <w:bottom w:val="none" w:sz="0" w:space="0" w:color="auto"/>
                        <w:right w:val="none" w:sz="0" w:space="0" w:color="auto"/>
                      </w:divBdr>
                      <w:divsChild>
                        <w:div w:id="376514011">
                          <w:marLeft w:val="0"/>
                          <w:marRight w:val="0"/>
                          <w:marTop w:val="0"/>
                          <w:marBottom w:val="0"/>
                          <w:divBdr>
                            <w:top w:val="none" w:sz="0" w:space="0" w:color="auto"/>
                            <w:left w:val="none" w:sz="0" w:space="0" w:color="auto"/>
                            <w:bottom w:val="none" w:sz="0" w:space="0" w:color="auto"/>
                            <w:right w:val="none" w:sz="0" w:space="0" w:color="auto"/>
                          </w:divBdr>
                          <w:divsChild>
                            <w:div w:id="1959141426">
                              <w:marLeft w:val="0"/>
                              <w:marRight w:val="0"/>
                              <w:marTop w:val="0"/>
                              <w:marBottom w:val="0"/>
                              <w:divBdr>
                                <w:top w:val="none" w:sz="0" w:space="0" w:color="auto"/>
                                <w:left w:val="none" w:sz="0" w:space="0" w:color="auto"/>
                                <w:bottom w:val="none" w:sz="0" w:space="0" w:color="auto"/>
                                <w:right w:val="none" w:sz="0" w:space="0" w:color="auto"/>
                              </w:divBdr>
                              <w:divsChild>
                                <w:div w:id="238246733">
                                  <w:marLeft w:val="0"/>
                                  <w:marRight w:val="0"/>
                                  <w:marTop w:val="0"/>
                                  <w:marBottom w:val="0"/>
                                  <w:divBdr>
                                    <w:top w:val="single" w:sz="6" w:space="0" w:color="FFFFFF"/>
                                    <w:left w:val="single" w:sz="6" w:space="0" w:color="FFFFFF"/>
                                    <w:bottom w:val="single" w:sz="6" w:space="0" w:color="FFFFFF"/>
                                    <w:right w:val="single" w:sz="6" w:space="0" w:color="FFFFFF"/>
                                  </w:divBdr>
                                </w:div>
                                <w:div w:id="963998177">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791478956">
                              <w:marLeft w:val="0"/>
                              <w:marRight w:val="0"/>
                              <w:marTop w:val="0"/>
                              <w:marBottom w:val="0"/>
                              <w:divBdr>
                                <w:top w:val="none" w:sz="0" w:space="0" w:color="auto"/>
                                <w:left w:val="none" w:sz="0" w:space="0" w:color="auto"/>
                                <w:bottom w:val="none" w:sz="0" w:space="0" w:color="auto"/>
                                <w:right w:val="none" w:sz="0" w:space="0" w:color="auto"/>
                              </w:divBdr>
                            </w:div>
                            <w:div w:id="248776378">
                              <w:marLeft w:val="0"/>
                              <w:marRight w:val="0"/>
                              <w:marTop w:val="0"/>
                              <w:marBottom w:val="0"/>
                              <w:divBdr>
                                <w:top w:val="single" w:sz="6" w:space="8" w:color="B3B3B3"/>
                                <w:left w:val="none" w:sz="0" w:space="0" w:color="auto"/>
                                <w:bottom w:val="none" w:sz="0" w:space="0" w:color="auto"/>
                                <w:right w:val="none" w:sz="0" w:space="0" w:color="auto"/>
                              </w:divBdr>
                            </w:div>
                          </w:divsChild>
                        </w:div>
                      </w:divsChild>
                    </w:div>
                  </w:divsChild>
                </w:div>
              </w:divsChild>
            </w:div>
          </w:divsChild>
        </w:div>
        <w:div w:id="414863167">
          <w:marLeft w:val="0"/>
          <w:marRight w:val="0"/>
          <w:marTop w:val="0"/>
          <w:marBottom w:val="0"/>
          <w:divBdr>
            <w:top w:val="none" w:sz="0" w:space="0" w:color="auto"/>
            <w:left w:val="none" w:sz="0" w:space="0" w:color="auto"/>
            <w:bottom w:val="none" w:sz="0" w:space="0" w:color="auto"/>
            <w:right w:val="none" w:sz="0" w:space="0" w:color="auto"/>
          </w:divBdr>
          <w:divsChild>
            <w:div w:id="1219897457">
              <w:marLeft w:val="0"/>
              <w:marRight w:val="0"/>
              <w:marTop w:val="0"/>
              <w:marBottom w:val="0"/>
              <w:divBdr>
                <w:top w:val="none" w:sz="0" w:space="0" w:color="auto"/>
                <w:left w:val="none" w:sz="0" w:space="0" w:color="auto"/>
                <w:bottom w:val="none" w:sz="0" w:space="0" w:color="auto"/>
                <w:right w:val="none" w:sz="0" w:space="0" w:color="auto"/>
              </w:divBdr>
              <w:divsChild>
                <w:div w:id="1775711134">
                  <w:marLeft w:val="0"/>
                  <w:marRight w:val="0"/>
                  <w:marTop w:val="0"/>
                  <w:marBottom w:val="0"/>
                  <w:divBdr>
                    <w:top w:val="none" w:sz="0" w:space="0" w:color="auto"/>
                    <w:left w:val="none" w:sz="0" w:space="0" w:color="auto"/>
                    <w:bottom w:val="none" w:sz="0" w:space="0" w:color="auto"/>
                    <w:right w:val="none" w:sz="0" w:space="0" w:color="auto"/>
                  </w:divBdr>
                  <w:divsChild>
                    <w:div w:id="1525245976">
                      <w:marLeft w:val="0"/>
                      <w:marRight w:val="0"/>
                      <w:marTop w:val="0"/>
                      <w:marBottom w:val="0"/>
                      <w:divBdr>
                        <w:top w:val="none" w:sz="0" w:space="0" w:color="auto"/>
                        <w:left w:val="none" w:sz="0" w:space="0" w:color="auto"/>
                        <w:bottom w:val="none" w:sz="0" w:space="0" w:color="auto"/>
                        <w:right w:val="none" w:sz="0" w:space="0" w:color="auto"/>
                      </w:divBdr>
                      <w:divsChild>
                        <w:div w:id="1154420359">
                          <w:marLeft w:val="0"/>
                          <w:marRight w:val="0"/>
                          <w:marTop w:val="0"/>
                          <w:marBottom w:val="150"/>
                          <w:divBdr>
                            <w:top w:val="none" w:sz="0" w:space="0" w:color="auto"/>
                            <w:left w:val="none" w:sz="0" w:space="0" w:color="auto"/>
                            <w:bottom w:val="dotted" w:sz="12" w:space="0" w:color="4F6C8A"/>
                            <w:right w:val="none" w:sz="0" w:space="0" w:color="auto"/>
                          </w:divBdr>
                          <w:divsChild>
                            <w:div w:id="8181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02732">
                      <w:marLeft w:val="0"/>
                      <w:marRight w:val="0"/>
                      <w:marTop w:val="0"/>
                      <w:marBottom w:val="0"/>
                      <w:divBdr>
                        <w:top w:val="none" w:sz="0" w:space="0" w:color="auto"/>
                        <w:left w:val="none" w:sz="0" w:space="0" w:color="auto"/>
                        <w:bottom w:val="none" w:sz="0" w:space="0" w:color="auto"/>
                        <w:right w:val="none" w:sz="0" w:space="0" w:color="auto"/>
                      </w:divBdr>
                      <w:divsChild>
                        <w:div w:id="15878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6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3683</Words>
  <Characters>14071</Characters>
  <Application>Microsoft Macintosh Word</Application>
  <DocSecurity>0</DocSecurity>
  <Lines>611</Lines>
  <Paragraphs>295</Paragraphs>
  <ScaleCrop>false</ScaleCrop>
  <Company>a</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1</cp:revision>
  <dcterms:created xsi:type="dcterms:W3CDTF">2018-06-21T07:51:00Z</dcterms:created>
  <dcterms:modified xsi:type="dcterms:W3CDTF">2018-06-21T07:56:00Z</dcterms:modified>
</cp:coreProperties>
</file>