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4ED" w:rsidRDefault="007254ED" w:rsidP="007254ED">
      <w:pPr>
        <w:tabs>
          <w:tab w:val="left" w:pos="5325"/>
        </w:tabs>
        <w:spacing w:after="0" w:line="240" w:lineRule="auto"/>
        <w:jc w:val="center"/>
        <w:rPr>
          <w:rFonts w:ascii="Times New Roman" w:hAnsi="Times New Roman"/>
          <w:b/>
          <w:sz w:val="28"/>
          <w:szCs w:val="28"/>
        </w:rPr>
      </w:pPr>
      <w:r>
        <w:rPr>
          <w:rFonts w:ascii="Times New Roman" w:hAnsi="Times New Roman"/>
          <w:b/>
          <w:sz w:val="28"/>
          <w:szCs w:val="28"/>
        </w:rPr>
        <w:t>Phụ lục 7</w:t>
      </w:r>
    </w:p>
    <w:p w:rsidR="007254ED" w:rsidRDefault="007254ED" w:rsidP="007254ED">
      <w:pPr>
        <w:tabs>
          <w:tab w:val="left" w:pos="5325"/>
        </w:tabs>
        <w:spacing w:after="0" w:line="240" w:lineRule="auto"/>
        <w:jc w:val="center"/>
        <w:rPr>
          <w:rFonts w:ascii="Times New Roman" w:hAnsi="Times New Roman"/>
          <w:b/>
          <w:sz w:val="28"/>
          <w:szCs w:val="28"/>
        </w:rPr>
      </w:pPr>
      <w:r>
        <w:rPr>
          <w:rFonts w:ascii="Times New Roman" w:hAnsi="Times New Roman"/>
          <w:b/>
          <w:sz w:val="28"/>
          <w:szCs w:val="28"/>
        </w:rPr>
        <w:t>DANH MỤC QUY CHUẨN KỸ THUẬT QUỐC GIA, TIÊU CHUẨN QUỐC GIA</w:t>
      </w:r>
    </w:p>
    <w:p w:rsidR="007254ED" w:rsidRDefault="007254ED" w:rsidP="007254ED">
      <w:pPr>
        <w:tabs>
          <w:tab w:val="left" w:pos="5325"/>
        </w:tabs>
        <w:spacing w:after="0" w:line="240" w:lineRule="auto"/>
        <w:jc w:val="center"/>
        <w:rPr>
          <w:rFonts w:ascii="Times New Roman" w:hAnsi="Times New Roman"/>
          <w:b/>
          <w:sz w:val="28"/>
          <w:szCs w:val="28"/>
        </w:rPr>
      </w:pPr>
      <w:r>
        <w:rPr>
          <w:rFonts w:ascii="Times New Roman" w:hAnsi="Times New Roman"/>
          <w:b/>
          <w:sz w:val="28"/>
          <w:szCs w:val="28"/>
        </w:rPr>
        <w:t>ĐỐI VỚI HÀNG HÓA THUỘC DIỆN KIỂM TRA CHUYÊN NGÀNH</w:t>
      </w:r>
    </w:p>
    <w:p w:rsidR="007254ED" w:rsidRDefault="007254ED" w:rsidP="007254ED">
      <w:pPr>
        <w:tabs>
          <w:tab w:val="left" w:pos="5325"/>
        </w:tabs>
        <w:spacing w:after="0" w:line="240" w:lineRule="auto"/>
        <w:jc w:val="center"/>
        <w:rPr>
          <w:rFonts w:ascii="Times New Roman" w:hAnsi="Times New Roman"/>
          <w:b/>
          <w:sz w:val="28"/>
          <w:szCs w:val="28"/>
        </w:rPr>
      </w:pPr>
    </w:p>
    <w:tbl>
      <w:tblPr>
        <w:tblW w:w="15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968"/>
        <w:gridCol w:w="7740"/>
        <w:gridCol w:w="4050"/>
        <w:gridCol w:w="1805"/>
      </w:tblGrid>
      <w:tr w:rsidR="007254ED" w:rsidRPr="00BC637D" w:rsidTr="00FD2BCE">
        <w:tc>
          <w:tcPr>
            <w:tcW w:w="675" w:type="dxa"/>
            <w:shd w:val="clear" w:color="auto" w:fill="auto"/>
            <w:vAlign w:val="center"/>
          </w:tcPr>
          <w:p w:rsidR="007254ED" w:rsidRPr="00BC637D" w:rsidRDefault="007254ED" w:rsidP="00FD2BCE">
            <w:pPr>
              <w:spacing w:after="0" w:line="240" w:lineRule="auto"/>
              <w:jc w:val="center"/>
              <w:rPr>
                <w:rFonts w:ascii="Times New Roman" w:hAnsi="Times New Roman"/>
                <w:b/>
                <w:sz w:val="24"/>
                <w:szCs w:val="24"/>
              </w:rPr>
            </w:pPr>
            <w:r w:rsidRPr="00BC637D">
              <w:rPr>
                <w:rFonts w:ascii="Times New Roman" w:hAnsi="Times New Roman"/>
                <w:b/>
                <w:sz w:val="24"/>
                <w:szCs w:val="24"/>
              </w:rPr>
              <w:t>STT</w:t>
            </w:r>
          </w:p>
        </w:tc>
        <w:tc>
          <w:tcPr>
            <w:tcW w:w="968" w:type="dxa"/>
            <w:shd w:val="clear" w:color="auto" w:fill="auto"/>
            <w:vAlign w:val="center"/>
          </w:tcPr>
          <w:p w:rsidR="007254ED" w:rsidRPr="00BC637D" w:rsidRDefault="007254ED" w:rsidP="00FD2BCE">
            <w:pPr>
              <w:spacing w:after="0" w:line="240" w:lineRule="auto"/>
              <w:jc w:val="center"/>
              <w:rPr>
                <w:rFonts w:ascii="Times New Roman" w:hAnsi="Times New Roman"/>
                <w:b/>
                <w:sz w:val="24"/>
                <w:szCs w:val="24"/>
              </w:rPr>
            </w:pPr>
            <w:r w:rsidRPr="00BC637D">
              <w:rPr>
                <w:rFonts w:ascii="Times New Roman" w:hAnsi="Times New Roman"/>
                <w:b/>
                <w:sz w:val="24"/>
                <w:szCs w:val="24"/>
              </w:rPr>
              <w:t>Tên sản phẩm/hàng hóa</w:t>
            </w:r>
          </w:p>
        </w:tc>
        <w:tc>
          <w:tcPr>
            <w:tcW w:w="7740" w:type="dxa"/>
            <w:shd w:val="clear" w:color="auto" w:fill="auto"/>
            <w:vAlign w:val="center"/>
          </w:tcPr>
          <w:p w:rsidR="007254ED" w:rsidRPr="00BC637D" w:rsidRDefault="007254ED" w:rsidP="00FD2BCE">
            <w:pPr>
              <w:spacing w:after="0" w:line="240" w:lineRule="auto"/>
              <w:jc w:val="center"/>
              <w:rPr>
                <w:rFonts w:ascii="Times New Roman" w:hAnsi="Times New Roman"/>
                <w:b/>
                <w:color w:val="000000"/>
                <w:sz w:val="24"/>
                <w:szCs w:val="24"/>
              </w:rPr>
            </w:pPr>
            <w:r w:rsidRPr="00BC637D">
              <w:rPr>
                <w:rFonts w:ascii="Times New Roman" w:hAnsi="Times New Roman"/>
                <w:b/>
                <w:color w:val="000000"/>
                <w:sz w:val="24"/>
                <w:szCs w:val="24"/>
              </w:rPr>
              <w:t>Tên Tiêu chuẩn quốc gia/Quy chuẩn kỹ thuật quốc gia</w:t>
            </w:r>
          </w:p>
        </w:tc>
        <w:tc>
          <w:tcPr>
            <w:tcW w:w="4050" w:type="dxa"/>
            <w:shd w:val="clear" w:color="auto" w:fill="auto"/>
            <w:vAlign w:val="center"/>
          </w:tcPr>
          <w:p w:rsidR="007254ED" w:rsidRPr="00BC637D" w:rsidRDefault="007254ED" w:rsidP="00FD2BCE">
            <w:pPr>
              <w:spacing w:after="0" w:line="240" w:lineRule="auto"/>
              <w:jc w:val="center"/>
              <w:rPr>
                <w:rFonts w:ascii="Times New Roman" w:hAnsi="Times New Roman"/>
                <w:b/>
                <w:color w:val="000000"/>
                <w:sz w:val="24"/>
                <w:szCs w:val="24"/>
              </w:rPr>
            </w:pPr>
            <w:r w:rsidRPr="00BC637D">
              <w:rPr>
                <w:rFonts w:ascii="Times New Roman" w:hAnsi="Times New Roman"/>
                <w:b/>
                <w:color w:val="000000"/>
                <w:sz w:val="24"/>
                <w:szCs w:val="24"/>
              </w:rPr>
              <w:t>Số hiệu/QĐ công bố, ban hành</w:t>
            </w:r>
          </w:p>
        </w:tc>
        <w:tc>
          <w:tcPr>
            <w:tcW w:w="1805" w:type="dxa"/>
            <w:vAlign w:val="center"/>
          </w:tcPr>
          <w:p w:rsidR="007254ED" w:rsidRDefault="007254ED" w:rsidP="00FD2BCE">
            <w:pPr>
              <w:spacing w:after="0" w:line="240" w:lineRule="auto"/>
              <w:jc w:val="center"/>
              <w:rPr>
                <w:rFonts w:ascii="Times New Roman" w:hAnsi="Times New Roman"/>
                <w:b/>
                <w:color w:val="000000"/>
                <w:sz w:val="24"/>
                <w:szCs w:val="24"/>
              </w:rPr>
            </w:pPr>
            <w:r w:rsidRPr="00BC637D">
              <w:rPr>
                <w:rFonts w:ascii="Times New Roman" w:hAnsi="Times New Roman"/>
                <w:b/>
                <w:color w:val="000000"/>
                <w:sz w:val="24"/>
                <w:szCs w:val="24"/>
              </w:rPr>
              <w:t xml:space="preserve">Văn bản </w:t>
            </w:r>
          </w:p>
          <w:p w:rsidR="007254ED" w:rsidRDefault="007254ED" w:rsidP="00FD2BCE">
            <w:pPr>
              <w:spacing w:after="0" w:line="240" w:lineRule="auto"/>
              <w:jc w:val="center"/>
              <w:rPr>
                <w:rFonts w:ascii="Times New Roman" w:hAnsi="Times New Roman"/>
                <w:b/>
                <w:color w:val="000000"/>
                <w:sz w:val="24"/>
                <w:szCs w:val="24"/>
              </w:rPr>
            </w:pPr>
            <w:r w:rsidRPr="00BC637D">
              <w:rPr>
                <w:rFonts w:ascii="Times New Roman" w:hAnsi="Times New Roman"/>
                <w:b/>
                <w:color w:val="000000"/>
                <w:sz w:val="24"/>
                <w:szCs w:val="24"/>
              </w:rPr>
              <w:t xml:space="preserve">hướng dẫn </w:t>
            </w:r>
          </w:p>
          <w:p w:rsidR="007254ED" w:rsidRPr="00BC637D" w:rsidRDefault="007254ED" w:rsidP="00FD2BCE">
            <w:pPr>
              <w:spacing w:after="0" w:line="240" w:lineRule="auto"/>
              <w:jc w:val="center"/>
              <w:rPr>
                <w:rFonts w:ascii="Times New Roman" w:hAnsi="Times New Roman"/>
                <w:b/>
                <w:color w:val="000000"/>
                <w:sz w:val="24"/>
                <w:szCs w:val="24"/>
              </w:rPr>
            </w:pPr>
            <w:r w:rsidRPr="00BC637D">
              <w:rPr>
                <w:rFonts w:ascii="Times New Roman" w:hAnsi="Times New Roman"/>
                <w:b/>
                <w:color w:val="000000"/>
                <w:sz w:val="24"/>
                <w:szCs w:val="24"/>
              </w:rPr>
              <w:t>quản lý</w:t>
            </w:r>
          </w:p>
          <w:p w:rsidR="007254ED" w:rsidRPr="00BC637D" w:rsidRDefault="007254ED" w:rsidP="00FD2BCE">
            <w:pPr>
              <w:spacing w:after="0" w:line="240" w:lineRule="auto"/>
              <w:jc w:val="center"/>
              <w:rPr>
                <w:rFonts w:ascii="Times New Roman" w:hAnsi="Times New Roman"/>
                <w:b/>
                <w:i/>
                <w:color w:val="000000"/>
                <w:sz w:val="24"/>
                <w:szCs w:val="24"/>
              </w:rPr>
            </w:pPr>
            <w:r w:rsidRPr="00BC637D">
              <w:rPr>
                <w:rFonts w:ascii="Times New Roman" w:hAnsi="Times New Roman"/>
                <w:b/>
                <w:i/>
                <w:color w:val="000000"/>
                <w:sz w:val="24"/>
                <w:szCs w:val="24"/>
              </w:rPr>
              <w:t>(</w:t>
            </w:r>
            <w:r w:rsidRPr="00BC637D">
              <w:rPr>
                <w:rFonts w:ascii="Times New Roman" w:hAnsi="Times New Roman"/>
                <w:i/>
                <w:color w:val="000000"/>
                <w:sz w:val="24"/>
                <w:szCs w:val="24"/>
              </w:rPr>
              <w:t>trường hợp chưa có TCVN,QCVN</w:t>
            </w:r>
            <w:r w:rsidRPr="00BC637D">
              <w:rPr>
                <w:rFonts w:ascii="Times New Roman" w:hAnsi="Times New Roman"/>
                <w:b/>
                <w:i/>
                <w:color w:val="000000"/>
                <w:sz w:val="24"/>
                <w:szCs w:val="24"/>
              </w:rPr>
              <w:t>)</w:t>
            </w: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I</w:t>
            </w:r>
          </w:p>
        </w:tc>
        <w:tc>
          <w:tcPr>
            <w:tcW w:w="12758" w:type="dxa"/>
            <w:gridSpan w:val="3"/>
            <w:shd w:val="clear" w:color="auto" w:fill="auto"/>
          </w:tcPr>
          <w:p w:rsidR="007254ED" w:rsidRPr="00BC637D" w:rsidRDefault="007254ED" w:rsidP="00FD2BCE">
            <w:pPr>
              <w:spacing w:after="0" w:line="240" w:lineRule="auto"/>
              <w:jc w:val="both"/>
              <w:rPr>
                <w:rFonts w:ascii="Times New Roman" w:hAnsi="Times New Roman"/>
                <w:b/>
                <w:color w:val="000000"/>
                <w:sz w:val="24"/>
                <w:szCs w:val="24"/>
              </w:rPr>
            </w:pPr>
            <w:r w:rsidRPr="00BC637D">
              <w:rPr>
                <w:rFonts w:ascii="Times New Roman" w:hAnsi="Times New Roman"/>
                <w:b/>
                <w:sz w:val="24"/>
                <w:szCs w:val="24"/>
              </w:rPr>
              <w:t>Thuốc bảo vệ thực vật</w:t>
            </w:r>
          </w:p>
        </w:tc>
        <w:tc>
          <w:tcPr>
            <w:tcW w:w="1805" w:type="dxa"/>
            <w:vMerge w:val="restart"/>
          </w:tcPr>
          <w:p w:rsidR="007254ED" w:rsidRPr="00BC637D" w:rsidRDefault="007254ED" w:rsidP="00FD2BCE">
            <w:pPr>
              <w:spacing w:after="0" w:line="240" w:lineRule="auto"/>
              <w:rPr>
                <w:rFonts w:ascii="Times New Roman" w:hAnsi="Times New Roman"/>
                <w:color w:val="000000"/>
                <w:sz w:val="24"/>
                <w:szCs w:val="24"/>
              </w:rPr>
            </w:pPr>
            <w:r w:rsidRPr="00BC637D">
              <w:rPr>
                <w:rFonts w:ascii="Times New Roman" w:hAnsi="Times New Roman"/>
                <w:b/>
                <w:sz w:val="24"/>
                <w:szCs w:val="24"/>
                <w:lang w:val="pt-BR"/>
              </w:rPr>
              <w:t xml:space="preserve">Thông tư số 21/2015/TT-BNNPTNT ngày </w:t>
            </w:r>
            <w:smartTag w:uri="urn:schemas-microsoft-com:office:smarttags" w:element="date">
              <w:smartTagPr>
                <w:attr w:name="Year" w:val="2015"/>
                <w:attr w:name="Day" w:val="6"/>
                <w:attr w:name="Month" w:val="08"/>
                <w:attr w:name="ls" w:val="trans"/>
              </w:smartTagPr>
              <w:r w:rsidRPr="00BC637D">
                <w:rPr>
                  <w:rFonts w:ascii="Times New Roman" w:hAnsi="Times New Roman"/>
                  <w:b/>
                  <w:sz w:val="24"/>
                  <w:szCs w:val="24"/>
                  <w:lang w:val="pt-BR"/>
                </w:rPr>
                <w:t>08/6/2015</w:t>
              </w:r>
            </w:smartTag>
            <w:r w:rsidRPr="00BC637D">
              <w:rPr>
                <w:rFonts w:ascii="Times New Roman" w:hAnsi="Times New Roman"/>
                <w:b/>
                <w:sz w:val="24"/>
                <w:szCs w:val="24"/>
                <w:lang w:val="pt-BR"/>
              </w:rPr>
              <w:t xml:space="preserve"> của Bộ NN&amp;PTNT</w:t>
            </w: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có chứa hoạt chất Cypermethrin - Phương pháp xác định  hàm lượng và hoạt chất.</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8143: 2009 QĐ số 1804/QĐ-BKHCN ngày 31/8/2009</w:t>
            </w:r>
          </w:p>
        </w:tc>
        <w:tc>
          <w:tcPr>
            <w:tcW w:w="1805" w:type="dxa"/>
            <w:vMerge/>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có chứa hoạt chất Cholothaonil - Phương pháp xác định hàm lượng và hoạt chất</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8145: 2009 QĐ số 1804/QĐ-BKHCN ngày 31/8/2009</w:t>
            </w:r>
          </w:p>
        </w:tc>
        <w:tc>
          <w:tcPr>
            <w:tcW w:w="1805" w:type="dxa"/>
            <w:vMerge/>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Pretilaclor -Phương pháp xác định hàm lượng và hoạt chất</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8144: 2009 QĐ số 1804/QĐ-BKHCN ngày 31/8/2009</w:t>
            </w:r>
          </w:p>
        </w:tc>
        <w:tc>
          <w:tcPr>
            <w:tcW w:w="1805" w:type="dxa"/>
            <w:vMerge/>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Thuốc trừ sâu chứa hoạt chất Cartap – </w:t>
            </w:r>
            <w:r w:rsidRPr="00D207F1">
              <w:rPr>
                <w:rFonts w:ascii="Times New Roman" w:hAnsi="Times New Roman"/>
                <w:sz w:val="24"/>
                <w:szCs w:val="24"/>
              </w:rPr>
              <w:br/>
              <w:t>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8380: 2010 QĐ số 1236/QĐ – BKHCN ngày 02/7/2010</w:t>
            </w:r>
          </w:p>
        </w:tc>
        <w:tc>
          <w:tcPr>
            <w:tcW w:w="1805" w:type="dxa"/>
            <w:vMerge/>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sâu chứa hoạt chất Dimethoete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8382: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6</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bệnh chứa hoạt chất Hexaconazole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8381: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7</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sâu chứa hoạt chất Methomyl – Yêu câu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8388: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8</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bệnh chứa hoạt chất Flusilazole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8386: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9</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sâu chứa hoạt chất Azadirachtin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8383: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10</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cỏ chứa hoạt chất Propisochlor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8385: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trừ bệnh chứa hoạt chất Metominostrobin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8384: 2010 QĐ số 1236/QĐ - 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rPr>
          <w:trHeight w:val="473"/>
        </w:trPr>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Thuốc trừ cỏ chứa hoạt chất Isoxaflutole  – Yêu cầu kỹ thuật và phương pháp </w:t>
            </w:r>
            <w:r w:rsidRPr="00D207F1">
              <w:rPr>
                <w:rFonts w:ascii="Times New Roman" w:hAnsi="Times New Roman"/>
                <w:sz w:val="24"/>
                <w:szCs w:val="24"/>
              </w:rPr>
              <w:lastRenderedPageBreak/>
              <w:t>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lastRenderedPageBreak/>
              <w:t xml:space="preserve">TCVN 8387: 2010 QĐ số 1236/QĐ - </w:t>
            </w:r>
            <w:r w:rsidRPr="00BC637D">
              <w:rPr>
                <w:rFonts w:ascii="Times New Roman" w:hAnsi="Times New Roman"/>
                <w:color w:val="000000"/>
                <w:sz w:val="24"/>
                <w:szCs w:val="24"/>
              </w:rPr>
              <w:lastRenderedPageBreak/>
              <w:t>BKHCN ngày 02/7/2010</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13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fenobucarb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8983: 2011 QĐ số QĐ – BKHCN ngày  /2011</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14</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sulfur -</w:t>
            </w:r>
            <w:r w:rsidRPr="00D207F1">
              <w:rPr>
                <w:rFonts w:ascii="Times New Roman" w:hAnsi="Times New Roman"/>
                <w:sz w:val="24"/>
                <w:szCs w:val="24"/>
              </w:rPr>
              <w:br/>
              <w:t>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8984: 2011 QĐ số /QĐ– BKHCN ngày /2011</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15</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Abamectin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9475: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16</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Paraquat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9476: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17</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Buprofezin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9477: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18</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Zineb –</w:t>
            </w:r>
            <w:r w:rsidRPr="00D207F1">
              <w:rPr>
                <w:rFonts w:ascii="Times New Roman" w:hAnsi="Times New Roman"/>
                <w:sz w:val="24"/>
                <w:szCs w:val="24"/>
              </w:rPr>
              <w:br/>
              <w:t>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9478: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19</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Propagite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9479: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20</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copper hydroxide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10157:2013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copper oxychloride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10158:2013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copper sulphate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10159:2013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coprous oxide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10160:2013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24</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Bảo vệ thực vật chứa hoạt chất oxolinic acid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10164:2013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25</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isoprothiolane -Yêu cầu kỹ thuật và phương pháp thử Thuốc</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8749: 2014 QĐ số 951  /QĐ – BKHCN ngày 06/5 /2014</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26</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deltamethrin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8750: 2014 QĐ số 951/QĐ – BKHCN ngày 06/5 /2014</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27</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thiophanate methyl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8751: 2014 QĐ số /QĐ – BKHCN ngày 06/5  /2014</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28</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alpha-cypermethrin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8752: 2014 QĐ số 951/QĐ – BKHCN ngày 06/5   /2014</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29</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Thuốc BVTV chứa hoạtchất Propineb - Yêu cầu kỹ thuật và phương pháp thử </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 xml:space="preserve">TCVN 9480: 2012 QĐ số 3777/QĐ – </w:t>
            </w:r>
            <w:r w:rsidRPr="00BC637D">
              <w:rPr>
                <w:rFonts w:ascii="Times New Roman" w:hAnsi="Times New Roman"/>
                <w:color w:val="000000"/>
                <w:sz w:val="24"/>
                <w:szCs w:val="24"/>
              </w:rPr>
              <w:lastRenderedPageBreak/>
              <w:t>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30</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bottom"/>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Pencycuron – Yêu cầu kỹ thuật và phương pháp thử</w:t>
            </w:r>
          </w:p>
        </w:tc>
        <w:tc>
          <w:tcPr>
            <w:tcW w:w="4050" w:type="dxa"/>
            <w:shd w:val="clear" w:color="auto" w:fill="auto"/>
            <w:vAlign w:val="bottom"/>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9481: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Tebuconazole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9481: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Diazinon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9483: 2012 QĐ số 3777/QĐ – BKHCN ngày 20/12/2012</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có chứa họat chất Atrazine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10161:2013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34</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có chứa họat chất Propanil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10162:2013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35</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có chứa họat chất Phenthoate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10163:2013 QĐ số 3985/QĐ – BKHCN ngày 19/12/2013</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36</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Thuốc BVTV chứa hoạt chất  Fipronil- – Yêu cầu kỹ thuật và phương pháp thử. </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10988:2016/QĐ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37</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bảo vệ thực vật chứa hoạt chất Fenvalerate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10983: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38</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bảo vệ thực vật chứa hoạt chất Etofenprox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10984: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39</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bảo vệ thực vật chứa hoạt chất Fosetyl Aluminum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10985: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40</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Nguyên liệu và thành phẩm  thuốc bảo vệ thực vật.</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8050: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bảo vệ thực vật chứa hoạt chất  Profenofos–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10987: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bảo vệ thực vật chứa hoạt chất  Azoxystrobin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10986: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Bensulfuron-Methyl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 xml:space="preserve">TCVN 10979: 2016/QĐ Số 3892QĐ-BKHCN ngày07/12/2016 </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44</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Iprodione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10980: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45</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Quinclorax -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10981: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46</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Metsulfuron-Methyl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10982: 2016/QĐ Số 3892QĐ-BKHCN ngày 07/12/2016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47</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Cyromazine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11731: 2016 QĐ số  4212/QĐ – BKHCN ngày 30/12   /2016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48</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 Thuốc BVTV chứa hoạt chất  Propinnazole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11733: 2016 QĐ số  4212/QĐ – BKHCN ngày 30/12 /2016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49</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Imidacloprid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11730: 2016 QĐ số  4212/QĐ – BKHCN ngày 30/12 /2016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50</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Mefenacet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11729: 2016 QĐ số  4212/QĐ – BKHCN ngày 30 /12 /2016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Thuốc BVTV chứa hoạt chất  cymoxanil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11732: 2016 QĐ số  4212/QĐ – BKHCN ngày 30/12/2016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 Thuốc BVTV chứa hoạt chất Butachlor – Yêu cầu kỹ thuật và phương pháp thử.</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11735: QĐ số  4212/QĐ – BKHCN ngày 30/12 /2016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vAlign w:val="center"/>
          </w:tcPr>
          <w:p w:rsidR="007254ED" w:rsidRPr="00D207F1" w:rsidRDefault="007254ED" w:rsidP="00FD2BCE">
            <w:pPr>
              <w:spacing w:after="0" w:line="240" w:lineRule="auto"/>
              <w:rPr>
                <w:rFonts w:ascii="Times New Roman" w:hAnsi="Times New Roman"/>
                <w:sz w:val="24"/>
                <w:szCs w:val="24"/>
              </w:rPr>
            </w:pPr>
            <w:r w:rsidRPr="00D207F1">
              <w:rPr>
                <w:rFonts w:ascii="Times New Roman" w:hAnsi="Times New Roman"/>
                <w:sz w:val="24"/>
                <w:szCs w:val="24"/>
              </w:rPr>
              <w:t xml:space="preserve">Thuốc BVTV chứa hoạt chất  Lufenuron - Yêu cầu kỹ thuật và phương pháp thử </w:t>
            </w:r>
          </w:p>
        </w:tc>
        <w:tc>
          <w:tcPr>
            <w:tcW w:w="4050" w:type="dxa"/>
            <w:shd w:val="clear" w:color="auto" w:fill="auto"/>
            <w:vAlign w:val="center"/>
          </w:tcPr>
          <w:p w:rsidR="007254ED" w:rsidRPr="00BC637D" w:rsidRDefault="007254ED" w:rsidP="00FD2BCE">
            <w:pPr>
              <w:spacing w:after="0" w:line="240" w:lineRule="auto"/>
              <w:jc w:val="both"/>
              <w:rPr>
                <w:rFonts w:ascii="Times New Roman" w:hAnsi="Times New Roman"/>
                <w:color w:val="000000"/>
                <w:sz w:val="24"/>
                <w:szCs w:val="24"/>
              </w:rPr>
            </w:pPr>
            <w:r w:rsidRPr="00BC637D">
              <w:rPr>
                <w:rFonts w:ascii="Times New Roman" w:hAnsi="Times New Roman"/>
                <w:color w:val="000000"/>
                <w:sz w:val="24"/>
                <w:szCs w:val="24"/>
              </w:rPr>
              <w:t>TCVN 11734: QĐ số  4212/QĐ – BKHCN ngày 30/12 /2016</w:t>
            </w:r>
          </w:p>
        </w:tc>
        <w:tc>
          <w:tcPr>
            <w:tcW w:w="1805" w:type="dxa"/>
          </w:tcPr>
          <w:p w:rsidR="007254ED" w:rsidRPr="00BC637D" w:rsidRDefault="007254ED" w:rsidP="00FD2BCE">
            <w:pPr>
              <w:spacing w:after="0" w:line="240" w:lineRule="auto"/>
              <w:rPr>
                <w:rFonts w:ascii="Times New Roman" w:hAnsi="Times New Roman"/>
                <w:color w:val="000000"/>
                <w:sz w:val="24"/>
                <w:szCs w:val="24"/>
              </w:rPr>
            </w:pPr>
          </w:p>
        </w:tc>
      </w:tr>
      <w:tr w:rsidR="007254ED" w:rsidRPr="00BC637D" w:rsidTr="00FD2BCE">
        <w:tc>
          <w:tcPr>
            <w:tcW w:w="675" w:type="dxa"/>
            <w:shd w:val="clear" w:color="auto" w:fill="auto"/>
          </w:tcPr>
          <w:p w:rsidR="007254ED" w:rsidRPr="00E56CC3" w:rsidRDefault="007254ED" w:rsidP="00FD2BCE">
            <w:pPr>
              <w:spacing w:after="0" w:line="240" w:lineRule="auto"/>
              <w:jc w:val="center"/>
              <w:rPr>
                <w:rFonts w:ascii="Times New Roman" w:hAnsi="Times New Roman"/>
                <w:b/>
                <w:sz w:val="24"/>
                <w:szCs w:val="24"/>
              </w:rPr>
            </w:pPr>
            <w:r w:rsidRPr="00E56CC3">
              <w:rPr>
                <w:rFonts w:ascii="Times New Roman" w:hAnsi="Times New Roman"/>
                <w:b/>
                <w:sz w:val="24"/>
                <w:szCs w:val="24"/>
              </w:rPr>
              <w:t>II</w:t>
            </w:r>
          </w:p>
        </w:tc>
        <w:tc>
          <w:tcPr>
            <w:tcW w:w="12758" w:type="dxa"/>
            <w:gridSpan w:val="3"/>
            <w:shd w:val="clear" w:color="auto" w:fill="auto"/>
          </w:tcPr>
          <w:p w:rsidR="007254ED" w:rsidRPr="00E56CC3" w:rsidRDefault="007254ED" w:rsidP="00FD2BCE">
            <w:pPr>
              <w:spacing w:after="0" w:line="240" w:lineRule="auto"/>
              <w:jc w:val="both"/>
              <w:rPr>
                <w:rFonts w:ascii="Times New Roman" w:hAnsi="Times New Roman"/>
                <w:b/>
                <w:sz w:val="24"/>
                <w:szCs w:val="24"/>
              </w:rPr>
            </w:pPr>
            <w:r w:rsidRPr="00E56CC3">
              <w:rPr>
                <w:rFonts w:ascii="Times New Roman" w:hAnsi="Times New Roman"/>
                <w:b/>
                <w:sz w:val="24"/>
                <w:szCs w:val="24"/>
              </w:rPr>
              <w:t>Phân bón</w:t>
            </w:r>
          </w:p>
        </w:tc>
        <w:tc>
          <w:tcPr>
            <w:tcW w:w="1805" w:type="dxa"/>
            <w:vMerge w:val="restart"/>
          </w:tcPr>
          <w:p w:rsidR="007254ED" w:rsidRPr="00BC637D" w:rsidRDefault="007254ED" w:rsidP="00FD2BCE">
            <w:pPr>
              <w:spacing w:after="0" w:line="240" w:lineRule="auto"/>
              <w:rPr>
                <w:rFonts w:ascii="Times New Roman" w:hAnsi="Times New Roman"/>
                <w:b/>
                <w:sz w:val="24"/>
                <w:szCs w:val="24"/>
                <w:lang w:val="pt-BR"/>
              </w:rPr>
            </w:pPr>
            <w:r w:rsidRPr="00BC637D">
              <w:rPr>
                <w:rFonts w:ascii="Times New Roman" w:hAnsi="Times New Roman"/>
                <w:b/>
                <w:sz w:val="24"/>
                <w:szCs w:val="24"/>
                <w:lang w:val="pt-BR"/>
              </w:rPr>
              <w:t xml:space="preserve">Nghị định số 108/2017/NĐ-CP </w:t>
            </w:r>
            <w:r w:rsidRPr="00BC637D">
              <w:rPr>
                <w:rFonts w:ascii="Times New Roman" w:hAnsi="Times New Roman"/>
                <w:b/>
                <w:iCs/>
                <w:sz w:val="24"/>
                <w:szCs w:val="24"/>
              </w:rPr>
              <w:t>ngày 20/9/2017 về quản lý phân bón</w:t>
            </w: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lân canxi magie (phân lân nung chảy)</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1078:1999</w:t>
            </w:r>
          </w:p>
        </w:tc>
        <w:tc>
          <w:tcPr>
            <w:tcW w:w="1805" w:type="dxa"/>
            <w:vMerge/>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urê. Yêu cầu kỹ thuật</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2619:2014</w:t>
            </w:r>
          </w:p>
        </w:tc>
        <w:tc>
          <w:tcPr>
            <w:tcW w:w="1805" w:type="dxa"/>
            <w:vMerge/>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urê. Phương pháp thử</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2620:2014</w:t>
            </w:r>
          </w:p>
        </w:tc>
        <w:tc>
          <w:tcPr>
            <w:tcW w:w="1805" w:type="dxa"/>
            <w:vMerge/>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Supe phosphat đơn</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4440:2004</w:t>
            </w:r>
          </w:p>
        </w:tc>
        <w:tc>
          <w:tcPr>
            <w:tcW w:w="1805" w:type="dxa"/>
            <w:vMerge/>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Vi sinh vật trong thực phẩm và thức ăn chăn nuôi. Phương pháp phát hiện Salmonella SPP. trên đĩa thạch. Sửa đổi 1: Phụ lục D: Phát hiện Salmonella SPP. trong phân động vật và trong mẫu môi trường từ giai đoạn sản xuất ban đầu</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4829:2005/SĐ 1:2008</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6</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khoáng - Phương pháp xác định độ bền khoáng của các hạt</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4852-1989</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7</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khoáng. Phương pháp xác định thành phần cỡ hạt</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4853-89</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8</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hỗn hợp NPK. Phương pháp thử</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5815:2001</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9</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vi sinh vật cố định nitơ</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6166:2002</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10</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vi sinh vật phân giải hợp chất photpho khó tan</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6167:1996</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11</w:t>
            </w:r>
          </w:p>
        </w:tc>
        <w:tc>
          <w:tcPr>
            <w:tcW w:w="968" w:type="dxa"/>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Chế phẩm vi sinh vật phân giải xenlulo</w:t>
            </w:r>
          </w:p>
        </w:tc>
        <w:tc>
          <w:tcPr>
            <w:tcW w:w="4050" w:type="dxa"/>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6168:2002</w:t>
            </w:r>
          </w:p>
        </w:tc>
        <w:tc>
          <w:tcPr>
            <w:tcW w:w="1805" w:type="dxa"/>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12</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Vi sinh vật trong thực phẩm và thức ăn chăn nuôi. Phương pháp phát hiện và định lượng Escherichia coli giả định. Kỹ thuật đếm số có xác suất lớn nhất</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6846:2007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13</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hữu cơ vi sinh vật</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7185:2002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14</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nitơ tổng số.</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8557:2010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15</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clorua hòa tan trong nước</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8558:2010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16</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phốt pho hữu hiệu</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8559:2010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17</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kali hữu hiệu</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8560:2010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17</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axit humic và axit fulvic</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8561:2010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18</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kali tổng số</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8562:2010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19</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phốt pho tổng số</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8563:2010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20</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vi sinh vật. Phương pháp xác định hoạt tính cố định nitơ của vi khuẩn nốt sần cây họ đậu</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21</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vi sinh vật. Phương pháp xác định hoạt tính phân giải phốt phát của vi sinh vật</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8565:2010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22</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vi sinh vật. Phương pháp đánh giá hoạt tính đối kháng nấm gây bệnh vùng rễ cây trồng cạn</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8566:2010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23</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Diamoni phosphat (DAP)</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8856:2012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24</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molipden và sắt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9283:2012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25</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canxi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9284:2012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26</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magie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9285:2012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27</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đồng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9286:2012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28</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coban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9287:2012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29</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mangan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9288:2012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30</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kẽm tổng số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9289:2012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31</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chì tổng số bằng phương pháp phổ hấp thụ nguyên tử ngọn lửa và nhiệt điện (không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9290:2012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32</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cadimi tổng số bằng phương pháp phổ hấp thụ nguyên tử nhiệt điện (không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9291:2012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33</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axit tự do</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9292:2012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34</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biuret trong phân urê</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9293:2012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35</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các bon hữu cơ tổng số bằng phương pháp Walkley-Black</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9294:2012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36</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nitơ hữu hiệu</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9295:2012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37</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lưu huỳnh tổng số. Phương pháp khối lượng</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9296:2012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38</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Phương pháp xác định độ ẩm</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9297:2012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39</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crom tổng số.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10674:2015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40</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niken tổng số.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10675:2015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41</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thủy ngân tổng số bằng phương pháp phổ hấp thụ nguyên tử. Kỹ thuật hóa hơi lạnh</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10676:2015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42</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magie hòa tan trong nước.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10677:2015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43</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rắn. Xác định hàm lượng phospho hòa tan trong nước. Phương pháp quang phổ</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10678:2015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44</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bo hòa tan trong axit.Phương pháp quang phổ</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10679:2015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45</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bo hòa tan trong nước. Phương pháp quang phổ</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10680:2015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46</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rắn. Phương pháp hàm lượng sulfat hòa tan trong axit vô cơ. Phương pháp khối lượng</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10681:2015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47</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Phân bón. Xác định hàm lượng nitrat. Phương pháp Kjeldahl</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10682:2015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48</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Vi sinh vật - Xác định khả năng hòa tan kali</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t>TCVN 10785:2015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49</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hAnsi="Times New Roman"/>
                <w:sz w:val="24"/>
                <w:szCs w:val="24"/>
              </w:rPr>
            </w:pPr>
            <w:r w:rsidRPr="00D207F1">
              <w:rPr>
                <w:rFonts w:ascii="Times New Roman" w:hAnsi="Times New Roman"/>
                <w:sz w:val="24"/>
                <w:szCs w:val="24"/>
              </w:rPr>
              <w:t xml:space="preserve">Phân bón vi sinh vật - Xác định hoạt tính cố định nitơ của azotobacter - </w:t>
            </w:r>
            <w:r w:rsidRPr="00D207F1">
              <w:rPr>
                <w:rFonts w:ascii="Times New Roman" w:hAnsi="Times New Roman"/>
                <w:sz w:val="24"/>
                <w:szCs w:val="24"/>
              </w:rPr>
              <w:lastRenderedPageBreak/>
              <w:t>Phương pháp định lượng khí etylen</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hAnsi="Times New Roman"/>
                <w:sz w:val="24"/>
                <w:szCs w:val="24"/>
              </w:rPr>
            </w:pPr>
            <w:r w:rsidRPr="00BC637D">
              <w:rPr>
                <w:rFonts w:ascii="Times New Roman" w:hAnsi="Times New Roman"/>
                <w:sz w:val="24"/>
                <w:szCs w:val="24"/>
              </w:rPr>
              <w:lastRenderedPageBreak/>
              <w:t>TCVN 10786:2015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lastRenderedPageBreak/>
              <w:t>50</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Xác định hàm lượng đồng ở dạng chelat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11400:2016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51</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Xác định hàm lượng mangan ở dạng chelat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11401:2016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52</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Xác định hàm lượng kẽm ở dạng chelat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11402:2016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53</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Xác định hàm lượng Asen tổng số bằng phương pháp phổ hấp thụ nguyên tử.</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11403:2016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54</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Xác định hàm lượng cacbonát bằng phương pháp thể tích</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11404:2016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55</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rắn - Xác định hàm lượng canxi hòa tan trong axit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11405:2016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56</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Xác định hàm lượng sắt ở dạng chelat bằng phương pháp phổ hấp thụ nguyên tử ngọn lửa</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11406:2016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57</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rắn - Xác định hàm lượng silic hữu hiệu bằng phương pháp phổ hấp thụ phân tử.</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11407:2016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sz w:val="24"/>
                <w:szCs w:val="24"/>
              </w:rPr>
            </w:pPr>
            <w:r w:rsidRPr="00BC637D">
              <w:rPr>
                <w:rFonts w:ascii="Times New Roman" w:hAnsi="Times New Roman"/>
                <w:sz w:val="24"/>
                <w:szCs w:val="24"/>
              </w:rPr>
              <w:t>58</w:t>
            </w: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rPr>
                <w:rFonts w:ascii="Times New Roman" w:eastAsia="Times New Roman" w:hAnsi="Times New Roman"/>
                <w:sz w:val="24"/>
                <w:szCs w:val="24"/>
              </w:rPr>
            </w:pPr>
            <w:r w:rsidRPr="00D207F1">
              <w:rPr>
                <w:rFonts w:ascii="Times New Roman" w:eastAsia="Times New Roman" w:hAnsi="Times New Roman"/>
                <w:sz w:val="24"/>
                <w:szCs w:val="24"/>
              </w:rPr>
              <w:t>Phân bón rắn - Xác định hàm lượng phospho không hòa tan trong axit bằng phương pháp khối lượng</w:t>
            </w:r>
          </w:p>
        </w:tc>
        <w:tc>
          <w:tcPr>
            <w:tcW w:w="4050"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TCVN 11408:2016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jc w:val="center"/>
              <w:rPr>
                <w:rFonts w:ascii="Times New Roman" w:hAnsi="Times New Roman"/>
                <w:b/>
                <w:sz w:val="24"/>
                <w:szCs w:val="24"/>
              </w:rPr>
            </w:pPr>
            <w:r w:rsidRPr="00BC637D">
              <w:rPr>
                <w:rFonts w:ascii="Times New Roman" w:hAnsi="Times New Roman"/>
                <w:b/>
                <w:sz w:val="24"/>
                <w:szCs w:val="24"/>
              </w:rPr>
              <w:t>III</w:t>
            </w:r>
          </w:p>
        </w:tc>
        <w:tc>
          <w:tcPr>
            <w:tcW w:w="12758" w:type="dxa"/>
            <w:gridSpan w:val="3"/>
            <w:tcBorders>
              <w:top w:val="single" w:sz="4" w:space="0" w:color="auto"/>
              <w:left w:val="single" w:sz="4" w:space="0" w:color="auto"/>
              <w:bottom w:val="single" w:sz="4" w:space="0" w:color="auto"/>
              <w:right w:val="single" w:sz="4" w:space="0" w:color="auto"/>
            </w:tcBorders>
            <w:shd w:val="clear" w:color="auto" w:fill="auto"/>
          </w:tcPr>
          <w:p w:rsidR="007254ED" w:rsidRPr="00967D9B" w:rsidRDefault="007254ED" w:rsidP="00FD2BCE">
            <w:pPr>
              <w:jc w:val="both"/>
              <w:rPr>
                <w:rFonts w:ascii="Times New Roman" w:eastAsia="Times New Roman" w:hAnsi="Times New Roman"/>
                <w:b/>
                <w:sz w:val="24"/>
                <w:szCs w:val="24"/>
              </w:rPr>
            </w:pPr>
            <w:r w:rsidRPr="00967D9B">
              <w:rPr>
                <w:rFonts w:ascii="Times New Roman" w:eastAsia="Times New Roman" w:hAnsi="Times New Roman"/>
                <w:b/>
                <w:sz w:val="24"/>
                <w:szCs w:val="24"/>
              </w:rPr>
              <w:t>Kiểm dịch thực vật</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vAlign w:val="bottom"/>
          </w:tcPr>
          <w:p w:rsidR="007254ED" w:rsidRPr="00D207F1" w:rsidRDefault="007254ED" w:rsidP="00FD2BCE">
            <w:pPr>
              <w:widowControl w:val="0"/>
              <w:spacing w:before="60" w:after="0" w:line="240" w:lineRule="auto"/>
              <w:rPr>
                <w:rFonts w:ascii="Times New Roman" w:hAnsi="Times New Roman"/>
                <w:sz w:val="24"/>
                <w:szCs w:val="24"/>
              </w:rPr>
            </w:pPr>
            <w:r w:rsidRPr="00D207F1">
              <w:rPr>
                <w:rFonts w:ascii="Times New Roman" w:hAnsi="Times New Roman"/>
                <w:sz w:val="24"/>
                <w:szCs w:val="24"/>
              </w:rPr>
              <w:t>(ISPM 15) QCVN 01-2: 2009/BNNPTNT - Quy chuẩn Kỹ thuật quốc gia về Xử lý vật liệu đóng gói bằng gỗ trong thương mại quốc tế</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bottom"/>
          </w:tcPr>
          <w:p w:rsidR="007254ED" w:rsidRPr="00BC637D" w:rsidRDefault="007254ED" w:rsidP="00FD2BCE">
            <w:pPr>
              <w:spacing w:after="0" w:line="240" w:lineRule="auto"/>
              <w:jc w:val="both"/>
              <w:rPr>
                <w:rFonts w:ascii="Times New Roman" w:eastAsia="Times New Roman" w:hAnsi="Times New Roman"/>
                <w:color w:val="000000"/>
                <w:sz w:val="24"/>
                <w:szCs w:val="24"/>
              </w:rPr>
            </w:pPr>
            <w:r w:rsidRPr="00BC637D">
              <w:rPr>
                <w:rFonts w:ascii="Times New Roman" w:hAnsi="Times New Roman"/>
                <w:sz w:val="24"/>
                <w:szCs w:val="24"/>
              </w:rPr>
              <w:t xml:space="preserve">QCVN 01-2: 2009/BNNPTNT; Thông tư số </w:t>
            </w:r>
            <w:r w:rsidRPr="00BC637D">
              <w:rPr>
                <w:rFonts w:ascii="Times New Roman" w:hAnsi="Times New Roman"/>
                <w:bCs/>
                <w:sz w:val="24"/>
                <w:szCs w:val="24"/>
              </w:rPr>
              <w:t xml:space="preserve">55/2009/TT-BNNPTNT ngày </w:t>
            </w:r>
            <w:r w:rsidRPr="00BC637D">
              <w:rPr>
                <w:rFonts w:ascii="Times New Roman" w:hAnsi="Times New Roman"/>
                <w:sz w:val="24"/>
                <w:szCs w:val="24"/>
              </w:rPr>
              <w:t>28/8/2009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 xml:space="preserve">QCVN 01-16 : 2010/BNNPTNT - Quy chuẩn Kỹ thuật quốc gia về Quy trình kiểm dịch côn trùng có ích nhập khẩu trong khu cách ly kiểm dịch thực vật </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01-16: 2010/BNNPTNT; </w:t>
            </w:r>
            <w:r w:rsidRPr="00BC637D">
              <w:rPr>
                <w:rFonts w:ascii="Times New Roman" w:hAnsi="Times New Roman"/>
                <w:sz w:val="24"/>
                <w:szCs w:val="24"/>
              </w:rPr>
              <w:t xml:space="preserve">Thông tư số 26/2010/TT-BNNPTN ngày </w:t>
            </w:r>
            <w:r w:rsidRPr="00BC637D">
              <w:rPr>
                <w:rFonts w:ascii="Times New Roman" w:hAnsi="Times New Roman"/>
                <w:sz w:val="24"/>
                <w:szCs w:val="24"/>
              </w:rPr>
              <w:lastRenderedPageBreak/>
              <w:t>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01-17: 2010/BNNPTNT - Quy chuẩn Kỹ thuật quốc gia về Quy trình điều tra theo dõi sinh vật gây hại trên giống cây có múi nhập khẩu trong khu cách ly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01-17: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01-18: 2010/BNNPTNT - Quy chuẩn Kỹ thuật quốc gia về Qui trình giám định rệp sáp vảy ốc đen (Diaspidiotus perniciosus (comstock))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01-18: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01-19: 2010/BNNPTNT - Quy chuẩn Kỹ thuật quốc gia về Qui trình kỹ thuật xông hơi khử trùng</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01-19: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19) QCVN 01-20: 2010/BNNPTNT - Quy chuẩn Kỹ thuật quốc gia về Quy trình xây dựng danh mục dịch hại thuộc diện điều chỉnh</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01-20: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01-21: 2010/BNNPTNT - Quy chuẩn Kỹ thuật quốc gia về Phương pháp kiểm tra củ, quả xuất nhập khẩu và quá cảnh</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01-21: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bCs/>
                <w:iCs/>
                <w:sz w:val="24"/>
                <w:szCs w:val="24"/>
              </w:rPr>
            </w:pPr>
            <w:r w:rsidRPr="00D207F1">
              <w:rPr>
                <w:rFonts w:ascii="Times New Roman" w:hAnsi="Times New Roman"/>
                <w:sz w:val="24"/>
                <w:szCs w:val="24"/>
              </w:rPr>
              <w:t xml:space="preserve">QCVN 01-22: 2010/BNNPTNT - </w:t>
            </w:r>
            <w:r w:rsidRPr="00D207F1">
              <w:rPr>
                <w:rFonts w:ascii="Times New Roman" w:hAnsi="Times New Roman"/>
                <w:bCs/>
                <w:iCs/>
                <w:sz w:val="24"/>
                <w:szCs w:val="24"/>
              </w:rPr>
              <w:t>Quy chuẩn kỹ thuật quốc gia về Phương pháp kiểm tra cây xuất nhập khẩu và quá cảnh</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01-22: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01-23: 2010/BNNPTNT - Quy chuẩn Kỹ thuật quốc gia về Phương pháp kiểm tra các loại hạt xuất nhập khẩu và quá cảnh</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01-23: 2010/BNNPTNT; </w:t>
            </w:r>
            <w:r w:rsidRPr="00BC637D">
              <w:rPr>
                <w:rFonts w:ascii="Times New Roman" w:hAnsi="Times New Roman"/>
                <w:sz w:val="24"/>
                <w:szCs w:val="24"/>
              </w:rPr>
              <w:t>Thông tư số 26/2010/TT-BNNPTN ngày 27/04/2010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01-32: 2010/BNNPTNT- Quy chuẩn kỹ thuật quốc gia về quy trình kiểm dịch nấm có ích nhập khẩu trong khu cách ly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01-32: 2010/BNNPTNT; </w:t>
            </w:r>
            <w:r w:rsidRPr="00BC637D">
              <w:rPr>
                <w:rFonts w:ascii="Times New Roman" w:hAnsi="Times New Roman"/>
                <w:sz w:val="24"/>
                <w:szCs w:val="24"/>
              </w:rPr>
              <w:t xml:space="preserve">Thông tư số </w:t>
            </w:r>
            <w:r w:rsidRPr="00BC637D">
              <w:rPr>
                <w:rFonts w:ascii="Times New Roman" w:hAnsi="Times New Roman"/>
                <w:bCs/>
                <w:sz w:val="24"/>
                <w:szCs w:val="24"/>
              </w:rPr>
              <w:t xml:space="preserve">71/2010/TT-BNNPTNT </w:t>
            </w:r>
            <w:r w:rsidRPr="00BC637D">
              <w:rPr>
                <w:rFonts w:ascii="Times New Roman" w:hAnsi="Times New Roman"/>
                <w:sz w:val="24"/>
                <w:szCs w:val="24"/>
                <w:lang w:val="pt-BR"/>
              </w:rPr>
              <w:t xml:space="preserve">ngày  </w:t>
            </w:r>
            <w:r w:rsidRPr="00BC637D">
              <w:rPr>
                <w:rFonts w:ascii="Times New Roman" w:hAnsi="Times New Roman"/>
                <w:sz w:val="24"/>
                <w:szCs w:val="24"/>
              </w:rPr>
              <w:t>10/12/2010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01-33: 2010/BNNPTNT - Quy chuẩn kỹ thuật quốc gia về quy trình giám định bệnh cây hương lúa (Balansia orysea-sativa Hashioka)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01-33 : 2010/BNNPTNT ; </w:t>
            </w:r>
            <w:r w:rsidRPr="00BC637D">
              <w:rPr>
                <w:rFonts w:ascii="Times New Roman" w:hAnsi="Times New Roman"/>
                <w:sz w:val="24"/>
                <w:szCs w:val="24"/>
              </w:rPr>
              <w:t xml:space="preserve">Thông tư số </w:t>
            </w:r>
            <w:r w:rsidRPr="00BC637D">
              <w:rPr>
                <w:rFonts w:ascii="Times New Roman" w:hAnsi="Times New Roman"/>
                <w:bCs/>
                <w:sz w:val="24"/>
                <w:szCs w:val="24"/>
              </w:rPr>
              <w:t xml:space="preserve">71/2010/TT-BNNPTNT </w:t>
            </w:r>
            <w:r w:rsidRPr="00BC637D">
              <w:rPr>
                <w:rFonts w:ascii="Times New Roman" w:hAnsi="Times New Roman"/>
                <w:sz w:val="24"/>
                <w:szCs w:val="24"/>
                <w:lang w:val="pt-BR"/>
              </w:rPr>
              <w:t xml:space="preserve">ngày  </w:t>
            </w:r>
            <w:r w:rsidRPr="00BC637D">
              <w:rPr>
                <w:rFonts w:ascii="Times New Roman" w:hAnsi="Times New Roman"/>
                <w:sz w:val="24"/>
                <w:szCs w:val="24"/>
              </w:rPr>
              <w:t>10/12/2010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01-34: 2010/BNNPTNT - Quy chuẩn kỹ thuật quốc gia về quy trình giám định tuyến trùng Ditylenchus dipsaci (Kuhn, 1957) Filipjev, 1936 và Ditylenchus dipsaci  Thorne, 1945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01-34: 2010/BNNPTNT; </w:t>
            </w:r>
            <w:r w:rsidRPr="00BC637D">
              <w:rPr>
                <w:rFonts w:ascii="Times New Roman" w:hAnsi="Times New Roman"/>
                <w:sz w:val="24"/>
                <w:szCs w:val="24"/>
              </w:rPr>
              <w:t xml:space="preserve">Thông tư số </w:t>
            </w:r>
            <w:r w:rsidRPr="00BC637D">
              <w:rPr>
                <w:rFonts w:ascii="Times New Roman" w:hAnsi="Times New Roman"/>
                <w:bCs/>
                <w:sz w:val="24"/>
                <w:szCs w:val="24"/>
              </w:rPr>
              <w:t xml:space="preserve">71/2010/TT-BNNPTNT </w:t>
            </w:r>
            <w:r w:rsidRPr="00BC637D">
              <w:rPr>
                <w:rFonts w:ascii="Times New Roman" w:hAnsi="Times New Roman"/>
                <w:sz w:val="24"/>
                <w:szCs w:val="24"/>
                <w:lang w:val="pt-BR"/>
              </w:rPr>
              <w:t xml:space="preserve">ngày  </w:t>
            </w:r>
            <w:r w:rsidRPr="00BC637D">
              <w:rPr>
                <w:rFonts w:ascii="Times New Roman" w:hAnsi="Times New Roman"/>
                <w:sz w:val="24"/>
                <w:szCs w:val="24"/>
              </w:rPr>
              <w:t>10/12/2010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 xml:space="preserve">QCVN 01-35: 2010/BNNPTNT - Quy chuẩn kỹ thuật quốc gia về quy trình </w:t>
            </w:r>
            <w:r w:rsidRPr="00D207F1">
              <w:rPr>
                <w:rFonts w:ascii="Times New Roman" w:hAnsi="Times New Roman"/>
                <w:sz w:val="24"/>
                <w:szCs w:val="24"/>
              </w:rPr>
              <w:lastRenderedPageBreak/>
              <w:t>giám định tuyến trùng bào nang Globodera pallida (Stone, 1973) Behrens, 1975 và Globodera rostochiensis (Wollenweber, 1023) Behrens, 1975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lastRenderedPageBreak/>
              <w:t xml:space="preserve">QCVN 01-35: 2010/BNNPTNT; </w:t>
            </w:r>
            <w:r w:rsidRPr="00BC637D">
              <w:rPr>
                <w:rFonts w:ascii="Times New Roman" w:hAnsi="Times New Roman"/>
                <w:sz w:val="24"/>
                <w:szCs w:val="24"/>
              </w:rPr>
              <w:t xml:space="preserve">Thông </w:t>
            </w:r>
            <w:r w:rsidRPr="00BC637D">
              <w:rPr>
                <w:rFonts w:ascii="Times New Roman" w:hAnsi="Times New Roman"/>
                <w:sz w:val="24"/>
                <w:szCs w:val="24"/>
              </w:rPr>
              <w:lastRenderedPageBreak/>
              <w:t xml:space="preserve">tư số </w:t>
            </w:r>
            <w:r w:rsidRPr="00BC637D">
              <w:rPr>
                <w:rFonts w:ascii="Times New Roman" w:hAnsi="Times New Roman"/>
                <w:bCs/>
                <w:sz w:val="24"/>
                <w:szCs w:val="24"/>
              </w:rPr>
              <w:t xml:space="preserve">71/2010/TT-BNNPTNT </w:t>
            </w:r>
            <w:r w:rsidRPr="00BC637D">
              <w:rPr>
                <w:rFonts w:ascii="Times New Roman" w:hAnsi="Times New Roman"/>
                <w:sz w:val="24"/>
                <w:szCs w:val="24"/>
                <w:lang w:val="pt-BR"/>
              </w:rPr>
              <w:t xml:space="preserve">ngày  </w:t>
            </w:r>
            <w:r w:rsidRPr="00BC637D">
              <w:rPr>
                <w:rFonts w:ascii="Times New Roman" w:hAnsi="Times New Roman"/>
                <w:sz w:val="24"/>
                <w:szCs w:val="24"/>
              </w:rPr>
              <w:t>10/12/2010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QCVN 01-36: 2010/BNNPTNT - Quy chuẩn kỹ thuật quốc gia về quy trình phân tích nguy cơ dịch hại là cỏ dại từ nước ngoài vào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lang w:val="pt-BR"/>
              </w:rPr>
              <w:t xml:space="preserve">QCVN 01-36: 2010/BNNPTNT; </w:t>
            </w:r>
            <w:r w:rsidRPr="00BC637D">
              <w:rPr>
                <w:rFonts w:ascii="Times New Roman" w:hAnsi="Times New Roman"/>
                <w:sz w:val="24"/>
                <w:szCs w:val="24"/>
              </w:rPr>
              <w:t xml:space="preserve">Thông tư số </w:t>
            </w:r>
            <w:r w:rsidRPr="00BC637D">
              <w:rPr>
                <w:rFonts w:ascii="Times New Roman" w:hAnsi="Times New Roman"/>
                <w:bCs/>
                <w:sz w:val="24"/>
                <w:szCs w:val="24"/>
              </w:rPr>
              <w:t xml:space="preserve">71/2010/TT-BNNPTNT </w:t>
            </w:r>
            <w:r w:rsidRPr="00BC637D">
              <w:rPr>
                <w:rFonts w:ascii="Times New Roman" w:hAnsi="Times New Roman"/>
                <w:sz w:val="24"/>
                <w:szCs w:val="24"/>
                <w:lang w:val="pt-BR"/>
              </w:rPr>
              <w:t xml:space="preserve">ngày  </w:t>
            </w:r>
            <w:r w:rsidRPr="00BC637D">
              <w:rPr>
                <w:rFonts w:ascii="Times New Roman" w:hAnsi="Times New Roman"/>
                <w:sz w:val="24"/>
                <w:szCs w:val="24"/>
              </w:rPr>
              <w:t>10/12/2010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widowControl w:val="0"/>
              <w:spacing w:before="60" w:after="0" w:line="240" w:lineRule="auto"/>
              <w:jc w:val="both"/>
              <w:rPr>
                <w:rFonts w:ascii="Times New Roman" w:hAnsi="Times New Roman"/>
                <w:b/>
                <w:sz w:val="24"/>
                <w:szCs w:val="24"/>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01-105: 2012/BNNPTNT - Quy chuẩn kỹ thuật quốc gia về Quy trình giám định mọt cứng đốt (Trogoderma granarium Everts) và mọt da vệt thận (Trogoderma inclusum Le Conte)</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01-105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01-106: 2012/BNNPTNT - Quy chuẩn Kỹ thuật quốc gia về Quy trình giám định mọt to vòi (Caulophilus oryzae (Gyllenhal))</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01-106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01-107: 2012/BNNPTNT - Quy chuẩn Kỹ thuật quốc gia về Quy trình giám định mọt thóc (Sitophilus granarius Linnaeus)</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01-107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01-108: 2012/BNNPTNT - Quy chuẩn Kỹ thuật quốc gia về Quy trình giám định nhóm ruồi đục quả thuộc giống Anastrepha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01-108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01-109: 2012/BNNPTNT - Quy chuẩn Kỹ thuật quốc gia về Quy trình giám định nhóm ruồi đục quả thuộc giống Bactrocera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01-109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01-110: 2012/BNNPTNT - Quy chuẩn Kỹ thuật quốc gia về Quy trình giám định nhóm ruồi đục quả thuộc giống Ceratitis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01-110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01-111: 2012/BNNPTNT - Quy chuẩn Kỹ thuật quốc gia về Quy trình điều tra rệp sáp hại giống cây trồng nhập khẩu và biện pháp xử lý</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01-111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01-112: 2012/BNNPTNT - Quy chuẩn Kỹ thuật quốc gia về Phương pháp xử lý nhà kính, nhà lưới sử dụng trong công tác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01-112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01-113: 2012/BNNPTNT - Quy chuẩn kỹ thuật quốc gia về Quy trình kiểm dịch cây quả hạch nhập khẩu trong khu cách ly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01-113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01-114: 2012/BNNPTNT - Quy chuẩn Kỹ thuật quốc gia về Quy trình xử lý cây xanh, cành ghép, mắt ghép trong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01-114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01-115 : 2012/BNNPTNT - Quy chuẩn Kỹ thuật quốc gia về Quy trình xử lý quả tươi bằng hơi nước nóng trừ ruồi đục quả</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01-115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01-116 : 2012/BNNPTNT - Quy chuẩn Kỹ thuật quốc gia về Quy trình xử lý nhện nhỏ hại trên giống cây trồng nhập khẩu trong khu cách ly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01-116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b/>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01-117 : 2012/BNNPTNT - Quy chuẩn Kỹ thuật quốc gia về Quy trình xử lý vật thể thuộc diện kiểm dịch thực vật bằng biện pháp chiếu xạ</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b/>
                <w:sz w:val="24"/>
                <w:szCs w:val="24"/>
                <w:lang w:val="pt-BR"/>
              </w:rPr>
            </w:pPr>
            <w:r w:rsidRPr="00507C09">
              <w:rPr>
                <w:rFonts w:ascii="Times New Roman" w:hAnsi="Times New Roman"/>
                <w:sz w:val="24"/>
                <w:szCs w:val="24"/>
                <w:lang w:val="pt-BR"/>
              </w:rPr>
              <w:t>QCVN 01-117 : 2012/BNNPTNT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63/2012/TT-BNNPTNT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14/12/2012</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01-135: 2013/BNNPTNT</w:t>
            </w:r>
            <w:r w:rsidRPr="00507C09">
              <w:rPr>
                <w:rFonts w:ascii="Times New Roman" w:hAnsi="Times New Roman"/>
                <w:bCs/>
                <w:sz w:val="24"/>
                <w:szCs w:val="24"/>
                <w:lang w:val="pt-BR"/>
              </w:rPr>
              <w:t xml:space="preserve"> - Quy chuẩn kỹ thuật quốc gia về </w:t>
            </w:r>
            <w:r w:rsidRPr="00507C09">
              <w:rPr>
                <w:rFonts w:ascii="Times New Roman" w:hAnsi="Times New Roman"/>
                <w:sz w:val="24"/>
                <w:szCs w:val="24"/>
                <w:lang w:val="pt-BR"/>
              </w:rPr>
              <w:t>Quy trình giám định sâu cánh cứng hại khoai tây Leptinotarsa decemlineata (Say)</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01-135: 2013/BNNPTNT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32/2013/TT-BNNPTNT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14/6/2013</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01-136: 2013/BNNPTNT - Quy chuẩn Kỹ thuật quốc gia về Quy trình giám định mọt đục hạt lớn Prostephanus truncatus (Horn.) là dịch hại kiểm dịch thực vật của Việt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01-136: 2013/BNNPTNT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32/2013/TT-BNNPTNT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14/6/2013</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01-137: 2013/BNNPTNT - Quy chuẩn Kỹ thuật quốc gia về Quy trình đánh giá nguy cơ ảnh hưởng đến môi trường đối với kẻ thù tự nhiên sử dụng trong phòng trừ sinh học nhập khẩu vào Việt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01-137: 2013/BNNPTNT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32/2013/TT-BNNPTNT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14/6/2013</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01-139 : 2013/BNNPTNT - Quy chuẩn Kỹ thuật quốc gia về kỹ thuật phối trộn và xử lý chất nền trồng cây trong khu cách ly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01-139: 2013/BNNPTNT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32/2013/TT-BNNPTNT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14/6/2013</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01-141 : 2013/BNNPTNT - Quy chuẩn Kỹ thuật quốc gia về Phương pháp lấy mẫu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01-141: 2013/BNNPTNT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32/2013/TT-BNNPTNT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14/6/2013</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01 - 159: 2014/BNNPTNT - Quy chuẩn kỹ thuật Quốc gia về Quy trình giám định bệnh phấn đen lúa mỳ Tilletia indica Mitra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01 - 159: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01 - 162: 2014/BNNPTNT - Quy chuẩn kỹ thuật Quốc gia về Quy trình giám định bọ trĩ cam Scirtothrips aurantti Faure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01 - 162: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01 - 163: 2014/BNNPTNT - Quy chuẩn kỹ thuật Quốc gia về Quy trình giám định cây kế đồng Cirsium arvense (L.) Scop.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01 - 163: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 xml:space="preserve">QCVN 01 - 165: 2014/BNNPTNT - Quy chuẩn kỹ thuật </w:t>
            </w:r>
            <w:r w:rsidRPr="00507C09">
              <w:rPr>
                <w:rFonts w:ascii="Times New Roman" w:hAnsi="Times New Roman"/>
                <w:sz w:val="24"/>
                <w:szCs w:val="24"/>
                <w:highlight w:val="white"/>
                <w:lang w:val="pt-BR"/>
              </w:rPr>
              <w:t>Quốc</w:t>
            </w:r>
            <w:r w:rsidRPr="00507C09">
              <w:rPr>
                <w:rFonts w:ascii="Times New Roman" w:hAnsi="Times New Roman"/>
                <w:sz w:val="24"/>
                <w:szCs w:val="24"/>
                <w:lang w:val="pt-BR"/>
              </w:rPr>
              <w:t xml:space="preserve"> gia về Quy trình giám định cỏ ma ký sinh thuộc chi Striga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01 - 165: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01 - 173: 2014/BNNPTNT - Quy chuẩn kỹ thuật Quốc gia về Quy trình giám định bệnh khô cành cam quýt Phoma tracheiphila (Pertri) Kantachveli &amp; Gikachvili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01 - 173: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01 - 175: 2014/BNNPTNT - Quy chuẩn kỹ thuật Quốc gia về Quy trình lưu giữ, bảo quản và vận chuyển mẫu trong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01 - 175: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01 - 176: 2014/BNNPTNT - Quy chuẩn kỹ thuật Quốc gia về Quy trình giám định Mọt lạc Pachymerus pallidus Olivier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01 - 176: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01 - 179: 2014/BNNPTNT - Quy chuẩn kỹ thuật Quốc gia về Quy trình giám định bệnh rụng lá cao su Nam Mỹ (Microcyclus ulei (Henn.) Arx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01 - 179: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01 - 180: 2014/BNNPTNT - Quy chuẩn kỹ thuật Quốc gia về Quy trình giám định tuyến trùng thối thân, rễ cọ dầu, dừa Rhadinaphelenchus cocophilus (Cobb) Goodey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01 - 180: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507C09"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center"/>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01 - 181 : 2014/BNNPTNT - Quy chuẩn kỹ thuật Quốc gia về Quy trình giám định bệnh ung thư khoai tây Synchytrium endobioticum (Schilb) Percival là dịch hại kiểm dịch thực vật của Việt Nam</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QCVN 01 - 181 : 2014/BNNPTNT</w:t>
            </w:r>
            <w:r w:rsidRPr="00BC637D">
              <w:rPr>
                <w:rFonts w:ascii="Times New Roman" w:hAnsi="Times New Roman"/>
                <w:sz w:val="24"/>
                <w:szCs w:val="24"/>
                <w:lang w:val="pt-BR"/>
              </w:rPr>
              <w:t xml:space="preserve">; </w:t>
            </w:r>
            <w:r w:rsidRPr="00507C09">
              <w:rPr>
                <w:rFonts w:ascii="Times New Roman" w:hAnsi="Times New Roman"/>
                <w:sz w:val="24"/>
                <w:szCs w:val="24"/>
                <w:lang w:val="pt-BR"/>
              </w:rPr>
              <w:t xml:space="preserve">Thông tư số </w:t>
            </w:r>
            <w:r w:rsidRPr="00507C09">
              <w:rPr>
                <w:rFonts w:ascii="Times New Roman" w:hAnsi="Times New Roman"/>
                <w:bCs/>
                <w:sz w:val="24"/>
                <w:szCs w:val="24"/>
                <w:lang w:val="pt-BR"/>
              </w:rPr>
              <w:t>16/2014/TT-BNNPTNT</w:t>
            </w:r>
            <w:r w:rsidRPr="00BC637D">
              <w:rPr>
                <w:rFonts w:ascii="Times New Roman" w:hAnsi="Times New Roman"/>
                <w:sz w:val="24"/>
                <w:szCs w:val="24"/>
                <w:lang w:val="pt-BR"/>
              </w:rPr>
              <w:t xml:space="preserve"> ngày  </w:t>
            </w:r>
            <w:r w:rsidRPr="00507C09">
              <w:rPr>
                <w:rFonts w:ascii="Times New Roman" w:hAnsi="Times New Roman"/>
                <w:sz w:val="24"/>
                <w:szCs w:val="24"/>
                <w:lang w:val="pt-BR"/>
              </w:rPr>
              <w:t>05/6/2014</w:t>
            </w:r>
          </w:p>
        </w:tc>
        <w:tc>
          <w:tcPr>
            <w:tcW w:w="1805"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spacing w:after="0" w:line="240" w:lineRule="auto"/>
              <w:rPr>
                <w:rFonts w:ascii="Times New Roman" w:hAnsi="Times New Roman"/>
                <w:sz w:val="24"/>
                <w:szCs w:val="24"/>
                <w:lang w:val="pt-BR"/>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numPr>
                <w:ilvl w:val="0"/>
                <w:numId w:val="4"/>
              </w:numPr>
              <w:spacing w:after="0" w:line="240" w:lineRule="auto"/>
              <w:ind w:left="0" w:firstLine="0"/>
              <w:jc w:val="center"/>
              <w:rPr>
                <w:rFonts w:ascii="Times New Roman" w:hAnsi="Times New Roman"/>
                <w:sz w:val="24"/>
                <w:szCs w:val="24"/>
                <w:lang w:val="pt-BR"/>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507C09" w:rsidRDefault="007254ED" w:rsidP="00FD2BCE">
            <w:pPr>
              <w:spacing w:after="0" w:line="240" w:lineRule="auto"/>
              <w:rPr>
                <w:rFonts w:ascii="Times New Roman" w:hAnsi="Times New Roman"/>
                <w:sz w:val="24"/>
                <w:szCs w:val="24"/>
                <w:lang w:val="pt-BR"/>
              </w:rPr>
            </w:pPr>
          </w:p>
        </w:tc>
        <w:tc>
          <w:tcPr>
            <w:tcW w:w="7740" w:type="dxa"/>
            <w:tcBorders>
              <w:top w:val="single" w:sz="4" w:space="0" w:color="auto"/>
              <w:left w:val="single" w:sz="4" w:space="0" w:color="auto"/>
              <w:bottom w:val="single" w:sz="4" w:space="0" w:color="auto"/>
              <w:right w:val="single" w:sz="4" w:space="0" w:color="auto"/>
            </w:tcBorders>
          </w:tcPr>
          <w:p w:rsidR="007254ED" w:rsidRPr="00507C09" w:rsidRDefault="007254ED" w:rsidP="00FD2BCE">
            <w:pPr>
              <w:widowControl w:val="0"/>
              <w:spacing w:before="60" w:after="0" w:line="240" w:lineRule="auto"/>
              <w:jc w:val="both"/>
              <w:rPr>
                <w:rFonts w:ascii="Times New Roman" w:hAnsi="Times New Roman"/>
                <w:sz w:val="24"/>
                <w:szCs w:val="24"/>
                <w:lang w:val="pt-BR"/>
              </w:rPr>
            </w:pPr>
            <w:r w:rsidRPr="00507C09">
              <w:rPr>
                <w:rFonts w:ascii="Times New Roman" w:hAnsi="Times New Roman"/>
                <w:sz w:val="24"/>
                <w:szCs w:val="24"/>
                <w:lang w:val="pt-BR"/>
              </w:rPr>
              <w:t>Phương pháp lấy mẫu kiểm dịch thực vật. Ủy ban khoa học và Kỹ thuật nhà nước ban hành ngày 4/9/1989</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4731-89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 xml:space="preserve">(ISPM No 1) Kiểm dịch thực vật - Nguyên tắc đối với bảo vệ thực vật và áp dụng các biện pháp kiểm dịch thực vật trong thương mại quốc tế Thay thế cho </w:t>
            </w:r>
            <w:r w:rsidRPr="00D207F1">
              <w:rPr>
                <w:rFonts w:ascii="Times New Roman" w:eastAsia="Times New Roman" w:hAnsi="Times New Roman"/>
                <w:sz w:val="24"/>
                <w:szCs w:val="24"/>
              </w:rPr>
              <w:t xml:space="preserve">TCVN 6907: 2001 </w:t>
            </w:r>
            <w:r w:rsidRPr="00D207F1">
              <w:rPr>
                <w:rFonts w:ascii="Times New Roman" w:hAnsi="Times New Roman"/>
                <w:sz w:val="24"/>
                <w:szCs w:val="24"/>
              </w:rPr>
              <w:t xml:space="preserve">Biện pháp kiểm dịch thực vật - Các nguyên tác kiểm dịch thực vật liên quan đến thương mại quốc tế. </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eastAsia="Times New Roman" w:hAnsi="Times New Roman"/>
                <w:sz w:val="24"/>
                <w:szCs w:val="24"/>
              </w:rPr>
            </w:pPr>
            <w:r w:rsidRPr="00BC637D">
              <w:rPr>
                <w:rFonts w:ascii="Times New Roman" w:eastAsia="Times New Roman" w:hAnsi="Times New Roman"/>
                <w:sz w:val="24"/>
                <w:szCs w:val="24"/>
              </w:rPr>
              <w:t>TCVN 6907: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No2) Kiểm dịch thực vật - Khung hướng dẫn phân tích nguy cơ dịch hại.</w:t>
            </w:r>
          </w:p>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lastRenderedPageBreak/>
              <w:t>Thay thế TCVN 6908: 2001Biện pháp kiểm dịch thực vật - những quy định nhập khẩu - hướng dẫn phân tích nguy cơ dịch hại (PRA)</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lastRenderedPageBreak/>
              <w:t>TCVN 6908: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4) yêu cầu để thiết lập các vùng không nhiễm dịch hại</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w:t>
            </w:r>
            <w:r w:rsidRPr="00BC637D">
              <w:rPr>
                <w:rStyle w:val="apple-converted-space"/>
                <w:rFonts w:ascii="Times New Roman" w:hAnsi="Times New Roman"/>
                <w:sz w:val="24"/>
                <w:szCs w:val="24"/>
              </w:rPr>
              <w:t> </w:t>
            </w:r>
            <w:r w:rsidRPr="00BC637D">
              <w:rPr>
                <w:rFonts w:ascii="Times New Roman" w:hAnsi="Times New Roman"/>
                <w:sz w:val="24"/>
                <w:szCs w:val="24"/>
              </w:rPr>
              <w:t>7515: 2005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6) Hướng dẫn giám sát dịch hại</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7516: 2006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8) Xác định tình trạng dịch hại trong một vùng</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7517: 2006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5) Kiểm dịch thực vật - Thuật ngữ và định nghĩa về kiểm dịch thực vật. Bộ Khoa học, Công nghệ và Môi trường ban hành thay thế cho TCVN 3937-2000</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3937: 2007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10) Yêu cầu đối với việc thiết lập các khu vực và địa điểm sản xuất không nhiễm dịch hại</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7669: 2007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11) </w:t>
            </w:r>
            <w:r w:rsidRPr="00D207F1">
              <w:rPr>
                <w:rStyle w:val="apple-converted-space"/>
                <w:rFonts w:ascii="Times New Roman" w:hAnsi="Times New Roman"/>
                <w:sz w:val="24"/>
                <w:szCs w:val="24"/>
              </w:rPr>
              <w:t> </w:t>
            </w:r>
            <w:r w:rsidRPr="00D207F1">
              <w:rPr>
                <w:rFonts w:ascii="Times New Roman" w:hAnsi="Times New Roman"/>
                <w:sz w:val="24"/>
                <w:szCs w:val="24"/>
              </w:rPr>
              <w:t>Phân tích nguy cơ dịch hại đối với dịc hại kiểm dịch thực vật bao gồm phân tích nguy cơ về môi trường và sinh vật sống biến đổi gen.</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7668:2007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20) Hướng dẫn về hệ thống quy định nhập khẩu.</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7666: 2007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23) Hướng dẫn kiểm tra kiểm dịch thực vật</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7667: 2007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tcPr>
          <w:p w:rsidR="007254ED" w:rsidRPr="00D207F1" w:rsidRDefault="007254ED" w:rsidP="00FD2BCE">
            <w:pPr>
              <w:widowControl w:val="0"/>
              <w:spacing w:before="60" w:after="0" w:line="240" w:lineRule="auto"/>
              <w:jc w:val="both"/>
              <w:rPr>
                <w:rFonts w:ascii="Times New Roman" w:hAnsi="Times New Roman"/>
                <w:sz w:val="24"/>
                <w:szCs w:val="24"/>
              </w:rPr>
            </w:pPr>
            <w:r w:rsidRPr="00D207F1">
              <w:rPr>
                <w:rFonts w:ascii="Times New Roman" w:hAnsi="Times New Roman"/>
                <w:sz w:val="24"/>
                <w:szCs w:val="24"/>
              </w:rPr>
              <w:t>(ISPM No 31) Kiểm dịch thực vật - Phương pháp luận về việc lấy mẫu chuyến hàng</w:t>
            </w:r>
          </w:p>
        </w:tc>
        <w:tc>
          <w:tcPr>
            <w:tcW w:w="4050" w:type="dxa"/>
            <w:tcBorders>
              <w:top w:val="single" w:sz="4" w:space="0" w:color="auto"/>
              <w:left w:val="single" w:sz="4" w:space="0" w:color="auto"/>
              <w:bottom w:val="single" w:sz="4" w:space="0" w:color="auto"/>
              <w:right w:val="single" w:sz="4" w:space="0" w:color="auto"/>
            </w:tcBorders>
            <w:vAlign w:val="center"/>
          </w:tcPr>
          <w:p w:rsidR="007254ED" w:rsidRPr="00BC637D" w:rsidRDefault="007254ED" w:rsidP="00FD2BCE">
            <w:pPr>
              <w:widowControl w:val="0"/>
              <w:spacing w:before="60" w:after="0" w:line="240" w:lineRule="auto"/>
              <w:jc w:val="both"/>
              <w:rPr>
                <w:rFonts w:ascii="Times New Roman" w:hAnsi="Times New Roman"/>
                <w:sz w:val="24"/>
                <w:szCs w:val="24"/>
              </w:rPr>
            </w:pPr>
            <w:r w:rsidRPr="00BC637D">
              <w:rPr>
                <w:rFonts w:ascii="Times New Roman" w:hAnsi="Times New Roman"/>
                <w:sz w:val="24"/>
                <w:szCs w:val="24"/>
              </w:rPr>
              <w:t>TCVN 8597: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Các nguyên tắc KDTV thuộc lĩnh vực BVTV và áp dụng các biện pháp KDTV trong thương mại quốc tế</w:t>
            </w:r>
          </w:p>
          <w:p w:rsidR="007254ED" w:rsidRPr="00D207F1" w:rsidRDefault="007254ED" w:rsidP="00FD2BCE">
            <w:pPr>
              <w:spacing w:after="0" w:line="300" w:lineRule="atLeast"/>
              <w:rPr>
                <w:rFonts w:ascii="Times New Roman" w:eastAsia="Times New Roman" w:hAnsi="Times New Roman"/>
                <w:sz w:val="24"/>
                <w:szCs w:val="24"/>
              </w:rPr>
            </w:pPr>
            <w:hyperlink r:id="rId5" w:history="1">
              <w:r w:rsidRPr="00D207F1">
                <w:rPr>
                  <w:rStyle w:val="Hyperlink"/>
                  <w:rFonts w:ascii="Times New Roman" w:eastAsia="Times New Roman" w:hAnsi="Times New Roman"/>
                  <w:color w:val="auto"/>
                  <w:sz w:val="24"/>
                  <w:szCs w:val="24"/>
                </w:rPr>
                <w:t>Phytosanitary principles for the protection of plants and the application of phytosanitary measures in international trade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hAnsi="Times New Roman"/>
                <w:sz w:val="24"/>
                <w:szCs w:val="24"/>
              </w:rPr>
            </w:pPr>
            <w:r w:rsidRPr="00D207F1">
              <w:rPr>
                <w:rFonts w:ascii="Times New Roman" w:hAnsi="Times New Roman"/>
                <w:sz w:val="24"/>
                <w:szCs w:val="24"/>
              </w:rPr>
              <w:t>Quy trình khung về</w:t>
            </w:r>
          </w:p>
          <w:p w:rsidR="007254ED" w:rsidRPr="00D207F1" w:rsidRDefault="007254ED" w:rsidP="00FD2BCE">
            <w:pPr>
              <w:spacing w:after="0" w:line="300" w:lineRule="atLeast"/>
              <w:rPr>
                <w:rFonts w:ascii="Times New Roman" w:eastAsia="Times New Roman" w:hAnsi="Times New Roman"/>
                <w:sz w:val="24"/>
                <w:szCs w:val="24"/>
              </w:rPr>
            </w:pPr>
            <w:hyperlink r:id="rId6" w:history="1">
              <w:r w:rsidRPr="00D207F1">
                <w:rPr>
                  <w:rStyle w:val="Hyperlink"/>
                  <w:rFonts w:ascii="Times New Roman" w:hAnsi="Times New Roman"/>
                  <w:color w:val="auto"/>
                  <w:sz w:val="24"/>
                  <w:szCs w:val="24"/>
                </w:rPr>
                <w:t>Framework for pest risk analysis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đối với việc xuất khẩu, vận chuyển, nhập khẩu và phóng thả các tác nhân phòng trừ sinh học và những sinh vật có ích khác</w:t>
            </w:r>
          </w:p>
          <w:p w:rsidR="007254ED" w:rsidRPr="00D207F1" w:rsidRDefault="007254ED" w:rsidP="00FD2BCE">
            <w:pPr>
              <w:spacing w:after="0" w:line="300" w:lineRule="atLeast"/>
              <w:rPr>
                <w:rFonts w:ascii="Times New Roman" w:eastAsia="Times New Roman" w:hAnsi="Times New Roman"/>
                <w:sz w:val="24"/>
                <w:szCs w:val="24"/>
              </w:rPr>
            </w:pPr>
            <w:hyperlink r:id="rId7" w:history="1">
              <w:r w:rsidRPr="00D207F1">
                <w:rPr>
                  <w:rStyle w:val="Hyperlink"/>
                  <w:rFonts w:ascii="Times New Roman" w:eastAsia="Times New Roman" w:hAnsi="Times New Roman"/>
                  <w:color w:val="auto"/>
                  <w:sz w:val="24"/>
                  <w:szCs w:val="24"/>
                </w:rPr>
                <w:t>Guidelines for the export, shipment, import and release of biological control agents and other beneficial organisms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03</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Yêu cầu để thiết lập vùng không nhiễm dịch hại</w:t>
            </w:r>
          </w:p>
          <w:p w:rsidR="007254ED" w:rsidRPr="00D207F1" w:rsidRDefault="007254ED" w:rsidP="00FD2BCE">
            <w:pPr>
              <w:spacing w:after="0" w:line="300" w:lineRule="atLeast"/>
              <w:rPr>
                <w:rFonts w:ascii="Times New Roman" w:eastAsia="Times New Roman" w:hAnsi="Times New Roman"/>
                <w:sz w:val="24"/>
                <w:szCs w:val="24"/>
              </w:rPr>
            </w:pPr>
            <w:hyperlink r:id="rId8" w:history="1">
              <w:r w:rsidRPr="00D207F1">
                <w:rPr>
                  <w:rStyle w:val="Hyperlink"/>
                  <w:rFonts w:ascii="Times New Roman" w:eastAsia="Times New Roman" w:hAnsi="Times New Roman"/>
                  <w:color w:val="auto"/>
                  <w:sz w:val="24"/>
                  <w:szCs w:val="24"/>
                </w:rPr>
                <w:t>Requirements for the establishment of pest free areas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04 (1995)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Thuật ngữ KDTV</w:t>
            </w:r>
          </w:p>
          <w:p w:rsidR="007254ED" w:rsidRPr="00D207F1" w:rsidRDefault="007254ED" w:rsidP="00FD2BCE">
            <w:pPr>
              <w:spacing w:after="0" w:line="300" w:lineRule="atLeast"/>
              <w:rPr>
                <w:rFonts w:ascii="Times New Roman" w:eastAsia="Times New Roman" w:hAnsi="Times New Roman"/>
                <w:sz w:val="24"/>
                <w:szCs w:val="24"/>
              </w:rPr>
            </w:pPr>
            <w:hyperlink r:id="rId9" w:history="1">
              <w:r w:rsidRPr="00D207F1">
                <w:rPr>
                  <w:rStyle w:val="Hyperlink"/>
                  <w:rFonts w:ascii="Times New Roman" w:eastAsia="Times New Roman" w:hAnsi="Times New Roman"/>
                  <w:color w:val="auto"/>
                  <w:sz w:val="24"/>
                  <w:szCs w:val="24"/>
                </w:rPr>
                <w:t>Glossary of phytosanitary terms (as adopted by CPM-11 and CPM-12 ink amendments)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điều tra giám sát</w:t>
            </w:r>
          </w:p>
          <w:p w:rsidR="007254ED" w:rsidRPr="00D207F1" w:rsidRDefault="007254ED" w:rsidP="00FD2BCE">
            <w:pPr>
              <w:spacing w:after="0" w:line="300" w:lineRule="atLeast"/>
              <w:rPr>
                <w:rFonts w:ascii="Times New Roman" w:eastAsia="Times New Roman" w:hAnsi="Times New Roman"/>
                <w:sz w:val="24"/>
                <w:szCs w:val="24"/>
              </w:rPr>
            </w:pPr>
            <w:hyperlink r:id="rId10" w:history="1">
              <w:r w:rsidRPr="00D207F1">
                <w:rPr>
                  <w:rStyle w:val="Hyperlink"/>
                  <w:rFonts w:ascii="Times New Roman" w:eastAsia="Times New Roman" w:hAnsi="Times New Roman"/>
                  <w:color w:val="auto"/>
                  <w:sz w:val="24"/>
                  <w:szCs w:val="24"/>
                </w:rPr>
                <w:t>Guidelines for surveillance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Hệ thống chứng nhận KDTV</w:t>
            </w:r>
          </w:p>
          <w:p w:rsidR="007254ED" w:rsidRPr="00D207F1" w:rsidRDefault="007254ED" w:rsidP="00FD2BCE">
            <w:pPr>
              <w:spacing w:after="0" w:line="300" w:lineRule="atLeast"/>
              <w:rPr>
                <w:rFonts w:ascii="Times New Roman" w:eastAsia="Times New Roman" w:hAnsi="Times New Roman"/>
                <w:sz w:val="24"/>
                <w:szCs w:val="24"/>
              </w:rPr>
            </w:pPr>
            <w:hyperlink r:id="rId11" w:history="1">
              <w:r w:rsidRPr="00D207F1">
                <w:rPr>
                  <w:rStyle w:val="Hyperlink"/>
                  <w:rFonts w:ascii="Times New Roman" w:eastAsia="Times New Roman" w:hAnsi="Times New Roman"/>
                  <w:color w:val="auto"/>
                  <w:sz w:val="24"/>
                  <w:szCs w:val="24"/>
                </w:rPr>
                <w:t>Phytosanitary certification system</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Xác định tình trạng dịch hại trong một vùng</w:t>
            </w:r>
          </w:p>
          <w:p w:rsidR="007254ED" w:rsidRPr="00D207F1" w:rsidRDefault="007254ED" w:rsidP="00FD2BCE">
            <w:pPr>
              <w:spacing w:after="0" w:line="300" w:lineRule="atLeast"/>
              <w:rPr>
                <w:rFonts w:ascii="Times New Roman" w:eastAsia="Times New Roman" w:hAnsi="Times New Roman"/>
                <w:sz w:val="24"/>
                <w:szCs w:val="24"/>
              </w:rPr>
            </w:pPr>
            <w:hyperlink r:id="rId12" w:history="1">
              <w:r w:rsidRPr="00D207F1">
                <w:rPr>
                  <w:rStyle w:val="Hyperlink"/>
                  <w:rFonts w:ascii="Times New Roman" w:eastAsia="Times New Roman" w:hAnsi="Times New Roman"/>
                  <w:color w:val="auto"/>
                  <w:sz w:val="24"/>
                  <w:szCs w:val="24"/>
                </w:rPr>
                <w:t>Determination of pest status in an area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08</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chương trình diệt trừ sinh vật gây hại</w:t>
            </w:r>
          </w:p>
          <w:p w:rsidR="007254ED" w:rsidRPr="00D207F1" w:rsidRDefault="007254ED" w:rsidP="00FD2BCE">
            <w:pPr>
              <w:spacing w:after="0" w:line="300" w:lineRule="atLeast"/>
              <w:rPr>
                <w:rFonts w:ascii="Times New Roman" w:eastAsia="Times New Roman" w:hAnsi="Times New Roman"/>
                <w:sz w:val="24"/>
                <w:szCs w:val="24"/>
              </w:rPr>
            </w:pPr>
            <w:hyperlink r:id="rId13" w:history="1">
              <w:r w:rsidRPr="00D207F1">
                <w:rPr>
                  <w:rStyle w:val="Hyperlink"/>
                  <w:rFonts w:ascii="Times New Roman" w:eastAsia="Times New Roman" w:hAnsi="Times New Roman"/>
                  <w:color w:val="auto"/>
                  <w:sz w:val="24"/>
                  <w:szCs w:val="24"/>
                </w:rPr>
                <w:t>Guidelines for pest eradication programmes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Yêu cầu đối với việc thiết lập vùng sản xuất không nhiễm dịch hại và địa điểm sản xuất không nhiễm dịch hại</w:t>
            </w:r>
          </w:p>
          <w:p w:rsidR="007254ED" w:rsidRPr="00D207F1" w:rsidRDefault="007254ED" w:rsidP="00FD2BCE">
            <w:pPr>
              <w:spacing w:after="0" w:line="300" w:lineRule="atLeast"/>
              <w:rPr>
                <w:rFonts w:ascii="Times New Roman" w:eastAsia="Times New Roman" w:hAnsi="Times New Roman"/>
                <w:sz w:val="24"/>
                <w:szCs w:val="24"/>
              </w:rPr>
            </w:pPr>
            <w:hyperlink r:id="rId14" w:history="1">
              <w:r w:rsidRPr="00D207F1">
                <w:rPr>
                  <w:rStyle w:val="Hyperlink"/>
                  <w:rFonts w:ascii="Times New Roman" w:eastAsia="Times New Roman" w:hAnsi="Times New Roman"/>
                  <w:color w:val="auto"/>
                  <w:sz w:val="24"/>
                  <w:szCs w:val="24"/>
                </w:rPr>
                <w:t>Requirements for the establishment of pest free places of production and pest free production sites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Phân tích nguy cơ dịch hại đối với đối tượng KDTV</w:t>
            </w:r>
          </w:p>
          <w:p w:rsidR="007254ED" w:rsidRPr="00D207F1" w:rsidRDefault="007254ED" w:rsidP="00FD2BCE">
            <w:pPr>
              <w:spacing w:after="0" w:line="300" w:lineRule="atLeast"/>
              <w:rPr>
                <w:rFonts w:ascii="Times New Roman" w:eastAsia="Times New Roman" w:hAnsi="Times New Roman"/>
                <w:sz w:val="24"/>
                <w:szCs w:val="24"/>
              </w:rPr>
            </w:pPr>
            <w:hyperlink r:id="rId15" w:history="1">
              <w:r w:rsidRPr="00D207F1">
                <w:rPr>
                  <w:rStyle w:val="Hyperlink"/>
                  <w:rFonts w:ascii="Times New Roman" w:eastAsia="Times New Roman" w:hAnsi="Times New Roman"/>
                  <w:color w:val="auto"/>
                  <w:sz w:val="24"/>
                  <w:szCs w:val="24"/>
                </w:rPr>
                <w:t>Pest risk analysis for quarantine pests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Giấy chứng nhận KDTV</w:t>
            </w:r>
          </w:p>
          <w:p w:rsidR="007254ED" w:rsidRPr="00D207F1" w:rsidRDefault="007254ED" w:rsidP="00FD2BCE">
            <w:pPr>
              <w:spacing w:after="0" w:line="300" w:lineRule="atLeast"/>
              <w:rPr>
                <w:rFonts w:ascii="Times New Roman" w:eastAsia="Times New Roman" w:hAnsi="Times New Roman"/>
                <w:sz w:val="24"/>
                <w:szCs w:val="24"/>
              </w:rPr>
            </w:pPr>
            <w:hyperlink r:id="rId16" w:history="1">
              <w:r w:rsidRPr="00D207F1">
                <w:rPr>
                  <w:rStyle w:val="Hyperlink"/>
                  <w:rFonts w:ascii="Times New Roman" w:eastAsia="Times New Roman" w:hAnsi="Times New Roman"/>
                  <w:color w:val="auto"/>
                  <w:sz w:val="24"/>
                  <w:szCs w:val="24"/>
                </w:rPr>
                <w:t>Phytosanitary certificates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 xml:space="preserve">ISPM 12 </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thông báo trường hợp không tuân thủ và hành động khẩn cấp</w:t>
            </w:r>
          </w:p>
          <w:p w:rsidR="007254ED" w:rsidRPr="00D207F1" w:rsidRDefault="007254ED" w:rsidP="00FD2BCE">
            <w:pPr>
              <w:spacing w:after="0" w:line="300" w:lineRule="atLeast"/>
              <w:rPr>
                <w:rFonts w:ascii="Times New Roman" w:eastAsia="Times New Roman" w:hAnsi="Times New Roman"/>
                <w:sz w:val="24"/>
                <w:szCs w:val="24"/>
              </w:rPr>
            </w:pPr>
            <w:hyperlink r:id="rId17" w:history="1">
              <w:r w:rsidRPr="00D207F1">
                <w:rPr>
                  <w:rStyle w:val="Hyperlink"/>
                  <w:rFonts w:ascii="Times New Roman" w:eastAsia="Times New Roman" w:hAnsi="Times New Roman"/>
                  <w:color w:val="auto"/>
                  <w:sz w:val="24"/>
                  <w:szCs w:val="24"/>
                </w:rPr>
                <w:t>Guidelines for the notification of non-compliance and emergency action</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13</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Sử dụng phương pháp tổng hợp trong biện pháp hệ thống để quản lý nguy cơ dịch hại</w:t>
            </w:r>
          </w:p>
          <w:p w:rsidR="007254ED" w:rsidRPr="00D207F1" w:rsidRDefault="007254ED" w:rsidP="00FD2BCE">
            <w:pPr>
              <w:spacing w:after="0" w:line="300" w:lineRule="atLeast"/>
              <w:rPr>
                <w:rFonts w:ascii="Times New Roman" w:eastAsia="Times New Roman" w:hAnsi="Times New Roman"/>
                <w:sz w:val="24"/>
                <w:szCs w:val="24"/>
              </w:rPr>
            </w:pPr>
            <w:hyperlink r:id="rId18" w:history="1">
              <w:r w:rsidRPr="00D207F1">
                <w:rPr>
                  <w:rStyle w:val="Hyperlink"/>
                  <w:rFonts w:ascii="Times New Roman" w:eastAsia="Times New Roman" w:hAnsi="Times New Roman"/>
                  <w:color w:val="auto"/>
                  <w:sz w:val="24"/>
                  <w:szCs w:val="24"/>
                </w:rPr>
                <w:t>The use of integrated measures in a systems approach for pest risk management</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Quy đinh đối với vật liệu đóng gói bằng gỗ trong thương mại quốc tế</w:t>
            </w:r>
          </w:p>
          <w:p w:rsidR="007254ED" w:rsidRPr="00D207F1" w:rsidRDefault="007254ED" w:rsidP="00FD2BCE">
            <w:pPr>
              <w:spacing w:after="0" w:line="300" w:lineRule="atLeast"/>
              <w:rPr>
                <w:rFonts w:ascii="Times New Roman" w:eastAsia="Times New Roman" w:hAnsi="Times New Roman"/>
                <w:sz w:val="24"/>
                <w:szCs w:val="24"/>
              </w:rPr>
            </w:pPr>
            <w:hyperlink r:id="rId19" w:history="1">
              <w:r w:rsidRPr="00D207F1">
                <w:rPr>
                  <w:rStyle w:val="Hyperlink"/>
                  <w:rFonts w:ascii="Times New Roman" w:eastAsia="Times New Roman" w:hAnsi="Times New Roman"/>
                  <w:color w:val="auto"/>
                  <w:sz w:val="24"/>
                  <w:szCs w:val="24"/>
                </w:rPr>
                <w:t>Regulation of wood packaging material in international trade</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Đối tượng phải kiểm soát: khái niệm và ứng dụng</w:t>
            </w:r>
          </w:p>
          <w:p w:rsidR="007254ED" w:rsidRPr="00D207F1" w:rsidRDefault="007254ED" w:rsidP="00FD2BCE">
            <w:pPr>
              <w:spacing w:after="0" w:line="300" w:lineRule="atLeast"/>
              <w:rPr>
                <w:rFonts w:ascii="Times New Roman" w:eastAsia="Times New Roman" w:hAnsi="Times New Roman"/>
                <w:sz w:val="24"/>
                <w:szCs w:val="24"/>
              </w:rPr>
            </w:pPr>
            <w:hyperlink r:id="rId20" w:history="1">
              <w:r w:rsidRPr="00D207F1">
                <w:rPr>
                  <w:rStyle w:val="Hyperlink"/>
                  <w:rFonts w:ascii="Times New Roman" w:eastAsia="Times New Roman" w:hAnsi="Times New Roman"/>
                  <w:color w:val="auto"/>
                  <w:sz w:val="24"/>
                  <w:szCs w:val="24"/>
                </w:rPr>
                <w:t>Regulated non-quarantine pests: concept and application</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Báo cáo sinh vật gây hại</w:t>
            </w:r>
          </w:p>
          <w:p w:rsidR="007254ED" w:rsidRPr="00D207F1" w:rsidRDefault="007254ED" w:rsidP="00FD2BCE">
            <w:pPr>
              <w:spacing w:after="0" w:line="300" w:lineRule="atLeast"/>
              <w:rPr>
                <w:rFonts w:ascii="Times New Roman" w:eastAsia="Times New Roman" w:hAnsi="Times New Roman"/>
                <w:sz w:val="24"/>
                <w:szCs w:val="24"/>
              </w:rPr>
            </w:pPr>
            <w:hyperlink r:id="rId21" w:history="1">
              <w:r w:rsidRPr="00D207F1">
                <w:rPr>
                  <w:rStyle w:val="Hyperlink"/>
                  <w:rFonts w:ascii="Times New Roman" w:eastAsia="Times New Roman" w:hAnsi="Times New Roman"/>
                  <w:color w:val="auto"/>
                  <w:sz w:val="24"/>
                  <w:szCs w:val="24"/>
                </w:rPr>
                <w:t>Pest reporting</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sử dụng chiếu xạ như biện pháp KDTV</w:t>
            </w:r>
          </w:p>
          <w:p w:rsidR="007254ED" w:rsidRPr="00D207F1" w:rsidRDefault="007254ED" w:rsidP="00FD2BCE">
            <w:pPr>
              <w:spacing w:after="0" w:line="300" w:lineRule="atLeast"/>
              <w:rPr>
                <w:rFonts w:ascii="Times New Roman" w:eastAsia="Times New Roman" w:hAnsi="Times New Roman"/>
                <w:sz w:val="24"/>
                <w:szCs w:val="24"/>
              </w:rPr>
            </w:pPr>
            <w:hyperlink r:id="rId22" w:history="1">
              <w:r w:rsidRPr="00D207F1">
                <w:rPr>
                  <w:rStyle w:val="Hyperlink"/>
                  <w:rFonts w:ascii="Times New Roman" w:eastAsia="Times New Roman" w:hAnsi="Times New Roman"/>
                  <w:color w:val="auto"/>
                  <w:sz w:val="24"/>
                  <w:szCs w:val="24"/>
                </w:rPr>
                <w:t>Guidelines for the use of irradiation as a phytosanitary measure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18</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về danh mục dịch hại thuộc diện điều chỉnh</w:t>
            </w:r>
          </w:p>
          <w:p w:rsidR="007254ED" w:rsidRPr="00D207F1" w:rsidRDefault="007254ED" w:rsidP="00FD2BCE">
            <w:pPr>
              <w:spacing w:after="0" w:line="300" w:lineRule="atLeast"/>
              <w:rPr>
                <w:rFonts w:ascii="Times New Roman" w:eastAsia="Times New Roman" w:hAnsi="Times New Roman"/>
                <w:sz w:val="24"/>
                <w:szCs w:val="24"/>
              </w:rPr>
            </w:pPr>
            <w:hyperlink r:id="rId23" w:history="1">
              <w:r w:rsidRPr="00D207F1">
                <w:rPr>
                  <w:rStyle w:val="Hyperlink"/>
                  <w:rFonts w:ascii="Times New Roman" w:eastAsia="Times New Roman" w:hAnsi="Times New Roman"/>
                  <w:color w:val="auto"/>
                  <w:sz w:val="24"/>
                  <w:szCs w:val="24"/>
                </w:rPr>
                <w:t>Guidelines on lists of regulated pests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19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về hệ thống quy định KDTV nhập khẩu</w:t>
            </w:r>
          </w:p>
          <w:p w:rsidR="007254ED" w:rsidRPr="00D207F1" w:rsidRDefault="007254ED" w:rsidP="00FD2BCE">
            <w:pPr>
              <w:spacing w:after="0" w:line="300" w:lineRule="atLeast"/>
              <w:rPr>
                <w:rFonts w:ascii="Times New Roman" w:eastAsia="Times New Roman" w:hAnsi="Times New Roman"/>
                <w:sz w:val="24"/>
                <w:szCs w:val="24"/>
              </w:rPr>
            </w:pPr>
            <w:hyperlink r:id="rId24" w:history="1">
              <w:r w:rsidRPr="00D207F1">
                <w:rPr>
                  <w:rStyle w:val="Hyperlink"/>
                  <w:rFonts w:ascii="Times New Roman" w:eastAsia="Times New Roman" w:hAnsi="Times New Roman"/>
                  <w:color w:val="auto"/>
                  <w:sz w:val="24"/>
                  <w:szCs w:val="24"/>
                </w:rPr>
                <w:t>Guidelines for a phytosanitary import regulatory system</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eastAsia="Times New Roman" w:hAnsi="Times New Roman"/>
                <w:sz w:val="24"/>
                <w:szCs w:val="24"/>
              </w:rPr>
              <w:t>Phân tích nguy cơ dịch hại đối với đối tượng phải kiểm soát</w:t>
            </w:r>
          </w:p>
          <w:p w:rsidR="007254ED" w:rsidRPr="00D207F1" w:rsidRDefault="007254ED" w:rsidP="00FD2BCE">
            <w:pPr>
              <w:spacing w:after="0" w:line="300" w:lineRule="atLeast"/>
              <w:rPr>
                <w:rFonts w:ascii="Times New Roman" w:eastAsia="Times New Roman" w:hAnsi="Times New Roman"/>
                <w:sz w:val="24"/>
                <w:szCs w:val="24"/>
              </w:rPr>
            </w:pPr>
            <w:hyperlink r:id="rId25" w:history="1">
              <w:r w:rsidRPr="00D207F1">
                <w:rPr>
                  <w:rStyle w:val="Hyperlink"/>
                  <w:rFonts w:ascii="Times New Roman" w:eastAsia="Times New Roman" w:hAnsi="Times New Roman"/>
                  <w:color w:val="auto"/>
                  <w:sz w:val="24"/>
                  <w:szCs w:val="24"/>
                </w:rPr>
                <w:t>Pest risk analysis for regulated non quarantine pests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Yêu cầu thiết lập vùng ít phổ biến dịch hại</w:t>
            </w:r>
          </w:p>
          <w:p w:rsidR="007254ED" w:rsidRPr="00D207F1" w:rsidRDefault="007254ED" w:rsidP="00FD2BCE">
            <w:pPr>
              <w:spacing w:after="0" w:line="300" w:lineRule="atLeast"/>
              <w:rPr>
                <w:rFonts w:ascii="Times New Roman" w:eastAsia="Times New Roman" w:hAnsi="Times New Roman"/>
                <w:sz w:val="24"/>
                <w:szCs w:val="24"/>
              </w:rPr>
            </w:pPr>
            <w:hyperlink r:id="rId26" w:history="1">
              <w:r w:rsidRPr="00D207F1">
                <w:rPr>
                  <w:rStyle w:val="Hyperlink"/>
                  <w:rFonts w:ascii="Times New Roman" w:eastAsia="Times New Roman" w:hAnsi="Times New Roman"/>
                  <w:color w:val="auto"/>
                  <w:sz w:val="24"/>
                  <w:szCs w:val="24"/>
                </w:rPr>
                <w:t>Requirements for the establishment of areas of low pest prevalence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kiểm tra KDTV</w:t>
            </w:r>
          </w:p>
          <w:p w:rsidR="007254ED" w:rsidRPr="00D207F1" w:rsidRDefault="007254ED" w:rsidP="00FD2BCE">
            <w:pPr>
              <w:spacing w:after="0" w:line="300" w:lineRule="atLeast"/>
              <w:rPr>
                <w:rFonts w:ascii="Times New Roman" w:eastAsia="Times New Roman" w:hAnsi="Times New Roman"/>
                <w:sz w:val="24"/>
                <w:szCs w:val="24"/>
              </w:rPr>
            </w:pPr>
            <w:hyperlink r:id="rId27" w:history="1">
              <w:r w:rsidRPr="00D207F1">
                <w:rPr>
                  <w:rStyle w:val="Hyperlink"/>
                  <w:rFonts w:ascii="Times New Roman" w:eastAsia="Times New Roman" w:hAnsi="Times New Roman"/>
                  <w:color w:val="auto"/>
                  <w:sz w:val="24"/>
                  <w:szCs w:val="24"/>
                </w:rPr>
                <w:t>Guidelines for inspection</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23</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Hướng dẫn xác định và công nhận tính tương đương của các biện pháp KDTV</w:t>
            </w:r>
          </w:p>
          <w:p w:rsidR="007254ED" w:rsidRPr="00D207F1" w:rsidRDefault="007254ED" w:rsidP="00FD2BCE">
            <w:pPr>
              <w:spacing w:after="0" w:line="300" w:lineRule="atLeast"/>
              <w:rPr>
                <w:rFonts w:ascii="Times New Roman" w:eastAsia="Times New Roman" w:hAnsi="Times New Roman"/>
                <w:sz w:val="24"/>
                <w:szCs w:val="24"/>
              </w:rPr>
            </w:pPr>
            <w:hyperlink r:id="rId28" w:history="1">
              <w:r w:rsidRPr="00D207F1">
                <w:rPr>
                  <w:rStyle w:val="Hyperlink"/>
                  <w:rFonts w:ascii="Times New Roman" w:eastAsia="Times New Roman" w:hAnsi="Times New Roman"/>
                  <w:color w:val="auto"/>
                  <w:sz w:val="24"/>
                  <w:szCs w:val="24"/>
                </w:rPr>
                <w:t>Guidelines for the determination and recognition of equivalence of phytosanitary measures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Hàng hóa quá cảnh</w:t>
            </w:r>
          </w:p>
          <w:p w:rsidR="007254ED" w:rsidRPr="00D207F1" w:rsidRDefault="007254ED" w:rsidP="00FD2BCE">
            <w:pPr>
              <w:spacing w:after="0" w:line="300" w:lineRule="atLeast"/>
              <w:rPr>
                <w:rFonts w:ascii="Times New Roman" w:eastAsia="Times New Roman" w:hAnsi="Times New Roman"/>
                <w:sz w:val="24"/>
                <w:szCs w:val="24"/>
              </w:rPr>
            </w:pPr>
            <w:hyperlink r:id="rId29" w:history="1">
              <w:r w:rsidRPr="00D207F1">
                <w:rPr>
                  <w:rStyle w:val="Hyperlink"/>
                  <w:rFonts w:ascii="Times New Roman" w:eastAsia="Times New Roman" w:hAnsi="Times New Roman"/>
                  <w:color w:val="auto"/>
                  <w:sz w:val="24"/>
                  <w:szCs w:val="24"/>
                </w:rPr>
                <w:t>Consignments in transit</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Thiết lập vùng không nhiễm dịch hại đối với ruồi đục quả (họ Tephritidae)</w:t>
            </w:r>
          </w:p>
          <w:p w:rsidR="007254ED" w:rsidRPr="00D207F1" w:rsidRDefault="007254ED" w:rsidP="00FD2BCE">
            <w:pPr>
              <w:spacing w:after="0" w:line="300" w:lineRule="atLeast"/>
              <w:rPr>
                <w:rFonts w:ascii="Times New Roman" w:eastAsia="Times New Roman" w:hAnsi="Times New Roman"/>
                <w:sz w:val="24"/>
                <w:szCs w:val="24"/>
              </w:rPr>
            </w:pPr>
            <w:hyperlink r:id="rId30" w:history="1">
              <w:r w:rsidRPr="00D207F1">
                <w:rPr>
                  <w:rStyle w:val="Hyperlink"/>
                  <w:rFonts w:ascii="Times New Roman" w:eastAsia="Times New Roman" w:hAnsi="Times New Roman"/>
                  <w:color w:val="auto"/>
                  <w:sz w:val="24"/>
                  <w:szCs w:val="24"/>
                </w:rPr>
                <w:t>Establishment of pest free areas for fruit flies (Tephritidae)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 xml:space="preserve">ISPM 26 </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lang w:val="es-ES"/>
              </w:rPr>
              <w:t>Quy trình giám định đối với sinh vật gây hại</w:t>
            </w:r>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31" w:history="1">
              <w:r w:rsidRPr="00D207F1">
                <w:rPr>
                  <w:rStyle w:val="Hyperlink"/>
                  <w:rFonts w:ascii="Times New Roman" w:eastAsia="Times New Roman" w:hAnsi="Times New Roman"/>
                  <w:color w:val="auto"/>
                  <w:sz w:val="24"/>
                  <w:szCs w:val="24"/>
                </w:rPr>
                <w:t xml:space="preserve">DP 01: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Thrips palmi Karny</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01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32" w:history="1">
              <w:r w:rsidRPr="00D207F1">
                <w:rPr>
                  <w:rStyle w:val="Hyperlink"/>
                  <w:rFonts w:ascii="Times New Roman" w:eastAsia="Times New Roman" w:hAnsi="Times New Roman"/>
                  <w:color w:val="auto"/>
                  <w:sz w:val="24"/>
                  <w:szCs w:val="24"/>
                </w:rPr>
                <w:t xml:space="preserve">DP 02: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Plum pox virus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02 (2012)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33" w:history="1">
              <w:r w:rsidRPr="00D207F1">
                <w:rPr>
                  <w:rStyle w:val="Hyperlink"/>
                  <w:rFonts w:ascii="Times New Roman" w:eastAsia="Times New Roman" w:hAnsi="Times New Roman"/>
                  <w:color w:val="auto"/>
                  <w:sz w:val="24"/>
                  <w:szCs w:val="24"/>
                </w:rPr>
                <w:t xml:space="preserve">DP 03: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Trogoderma granarium Everts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03 (2012)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34" w:history="1">
              <w:r w:rsidRPr="00D207F1">
                <w:rPr>
                  <w:rStyle w:val="Hyperlink"/>
                  <w:rFonts w:ascii="Times New Roman" w:eastAsia="Times New Roman" w:hAnsi="Times New Roman"/>
                  <w:color w:val="auto"/>
                  <w:sz w:val="24"/>
                  <w:szCs w:val="24"/>
                </w:rPr>
                <w:t xml:space="preserve">DP 04: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Tilletia Indica Mitra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04 (2014)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35" w:history="1">
              <w:r w:rsidRPr="00D207F1">
                <w:rPr>
                  <w:rStyle w:val="Hyperlink"/>
                  <w:rFonts w:ascii="Times New Roman" w:eastAsia="Times New Roman" w:hAnsi="Times New Roman"/>
                  <w:color w:val="auto"/>
                  <w:sz w:val="24"/>
                  <w:szCs w:val="24"/>
                </w:rPr>
                <w:t xml:space="preserve">DP 05: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Phyllosticta citricarpa (McAlpine) Aa on fruit</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05 (2014)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36" w:history="1">
              <w:r w:rsidRPr="00D207F1">
                <w:rPr>
                  <w:rStyle w:val="Hyperlink"/>
                  <w:rFonts w:ascii="Times New Roman" w:eastAsia="Times New Roman" w:hAnsi="Times New Roman"/>
                  <w:color w:val="auto"/>
                  <w:sz w:val="24"/>
                  <w:szCs w:val="24"/>
                </w:rPr>
                <w:t xml:space="preserve">DP 06: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Xanthomonas citri subsp. citri</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06 (2014)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37" w:history="1">
              <w:r w:rsidRPr="00D207F1">
                <w:rPr>
                  <w:rStyle w:val="Hyperlink"/>
                  <w:rFonts w:ascii="Times New Roman" w:eastAsia="Times New Roman" w:hAnsi="Times New Roman"/>
                  <w:color w:val="auto"/>
                  <w:sz w:val="24"/>
                  <w:szCs w:val="24"/>
                </w:rPr>
                <w:t xml:space="preserve">DP 07: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Potato spindle tuber viroid</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07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38" w:history="1">
              <w:r w:rsidRPr="00D207F1">
                <w:rPr>
                  <w:rStyle w:val="Hyperlink"/>
                  <w:rFonts w:ascii="Times New Roman" w:eastAsia="Times New Roman" w:hAnsi="Times New Roman"/>
                  <w:color w:val="auto"/>
                  <w:sz w:val="24"/>
                  <w:szCs w:val="24"/>
                </w:rPr>
                <w:t xml:space="preserve">DP 08: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Ditylenchus dipsaci and Ditylenchus destructor</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08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39" w:history="1">
              <w:r w:rsidRPr="00D207F1">
                <w:rPr>
                  <w:rStyle w:val="Hyperlink"/>
                  <w:rFonts w:ascii="Times New Roman" w:eastAsia="Times New Roman" w:hAnsi="Times New Roman"/>
                  <w:color w:val="auto"/>
                  <w:sz w:val="24"/>
                  <w:szCs w:val="24"/>
                </w:rPr>
                <w:t xml:space="preserve">DP 09: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Genus Anastrepha Schiner</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09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40" w:history="1">
              <w:r w:rsidRPr="00D207F1">
                <w:rPr>
                  <w:rStyle w:val="Hyperlink"/>
                  <w:rFonts w:ascii="Times New Roman" w:eastAsia="Times New Roman" w:hAnsi="Times New Roman"/>
                  <w:color w:val="auto"/>
                  <w:sz w:val="24"/>
                  <w:szCs w:val="24"/>
                </w:rPr>
                <w:t xml:space="preserve">DP 10: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Bursaphelenchus xylophilus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10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41" w:history="1">
              <w:r w:rsidRPr="00D207F1">
                <w:rPr>
                  <w:rStyle w:val="Hyperlink"/>
                  <w:rFonts w:ascii="Times New Roman" w:eastAsia="Times New Roman" w:hAnsi="Times New Roman"/>
                  <w:color w:val="auto"/>
                  <w:sz w:val="24"/>
                  <w:szCs w:val="24"/>
                </w:rPr>
                <w:t xml:space="preserve">DP 11: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Xiphinema americanum sensu lato</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11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42" w:history="1">
              <w:r w:rsidRPr="00D207F1">
                <w:rPr>
                  <w:rStyle w:val="Hyperlink"/>
                  <w:rFonts w:ascii="Times New Roman" w:eastAsia="Times New Roman" w:hAnsi="Times New Roman"/>
                  <w:color w:val="auto"/>
                  <w:sz w:val="24"/>
                  <w:szCs w:val="24"/>
                </w:rPr>
                <w:t xml:space="preserve">DP 12: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Phytoplasmas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12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43" w:history="1">
              <w:r w:rsidRPr="00D207F1">
                <w:rPr>
                  <w:rStyle w:val="Hyperlink"/>
                  <w:rFonts w:ascii="Times New Roman" w:eastAsia="Times New Roman" w:hAnsi="Times New Roman"/>
                  <w:color w:val="auto"/>
                  <w:sz w:val="24"/>
                  <w:szCs w:val="24"/>
                </w:rPr>
                <w:t xml:space="preserve">DP 13: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Erwinia amylovora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13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44" w:history="1">
              <w:r w:rsidRPr="00D207F1">
                <w:rPr>
                  <w:rStyle w:val="Hyperlink"/>
                  <w:rFonts w:ascii="Times New Roman" w:eastAsia="Times New Roman" w:hAnsi="Times New Roman"/>
                  <w:color w:val="auto"/>
                  <w:sz w:val="24"/>
                  <w:szCs w:val="24"/>
                </w:rPr>
                <w:t xml:space="preserve">DP 14: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Xanthomonas fragariae</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14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45" w:history="1">
              <w:r w:rsidRPr="00D207F1">
                <w:rPr>
                  <w:rStyle w:val="Hyperlink"/>
                  <w:rFonts w:ascii="Times New Roman" w:eastAsia="Times New Roman" w:hAnsi="Times New Roman"/>
                  <w:color w:val="auto"/>
                  <w:sz w:val="24"/>
                  <w:szCs w:val="24"/>
                </w:rPr>
                <w:t xml:space="preserve">DP 15: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Citrus tristeza virus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15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46" w:history="1">
              <w:r w:rsidRPr="00D207F1">
                <w:rPr>
                  <w:rStyle w:val="Hyperlink"/>
                  <w:rFonts w:ascii="Times New Roman" w:eastAsia="Times New Roman" w:hAnsi="Times New Roman"/>
                  <w:color w:val="auto"/>
                  <w:sz w:val="24"/>
                  <w:szCs w:val="24"/>
                </w:rPr>
                <w:t xml:space="preserve">DP 16: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Genus Liriomyza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16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47" w:history="1">
              <w:r w:rsidRPr="00D207F1">
                <w:rPr>
                  <w:rStyle w:val="Hyperlink"/>
                  <w:rFonts w:ascii="Times New Roman" w:eastAsia="Times New Roman" w:hAnsi="Times New Roman"/>
                  <w:color w:val="auto"/>
                  <w:sz w:val="24"/>
                  <w:szCs w:val="24"/>
                </w:rPr>
                <w:t xml:space="preserve">DP 17: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Aphelenchoides besseyi, A. fragariae and A. ritzemabosi</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17 (2016)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48" w:history="1">
              <w:r w:rsidRPr="00D207F1">
                <w:rPr>
                  <w:rStyle w:val="Hyperlink"/>
                  <w:rFonts w:ascii="Times New Roman" w:eastAsia="Times New Roman" w:hAnsi="Times New Roman"/>
                  <w:color w:val="auto"/>
                  <w:sz w:val="24"/>
                  <w:szCs w:val="24"/>
                </w:rPr>
                <w:t xml:space="preserve">DP 18: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Anguina spp.</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18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49" w:history="1">
              <w:r w:rsidRPr="00D207F1">
                <w:rPr>
                  <w:rStyle w:val="Hyperlink"/>
                  <w:rFonts w:ascii="Times New Roman" w:eastAsia="Times New Roman" w:hAnsi="Times New Roman"/>
                  <w:color w:val="auto"/>
                  <w:sz w:val="24"/>
                  <w:szCs w:val="24"/>
                </w:rPr>
                <w:t xml:space="preserve">DP 19: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Sorghum halepense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19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50" w:history="1">
              <w:r w:rsidRPr="00D207F1">
                <w:rPr>
                  <w:rStyle w:val="Hyperlink"/>
                  <w:rFonts w:ascii="Times New Roman" w:eastAsia="Times New Roman" w:hAnsi="Times New Roman"/>
                  <w:color w:val="auto"/>
                  <w:sz w:val="24"/>
                  <w:szCs w:val="24"/>
                </w:rPr>
                <w:t xml:space="preserve">DP 20: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Dendroctonus ponderosae</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20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51" w:history="1">
              <w:r w:rsidRPr="00D207F1">
                <w:rPr>
                  <w:rStyle w:val="Hyperlink"/>
                  <w:rFonts w:ascii="Times New Roman" w:eastAsia="Times New Roman" w:hAnsi="Times New Roman"/>
                  <w:color w:val="auto"/>
                  <w:sz w:val="24"/>
                  <w:szCs w:val="24"/>
                </w:rPr>
                <w:t xml:space="preserve">DP 21: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Candidatus Liberibacter solanacearum</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21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52" w:history="1">
              <w:r w:rsidRPr="00D207F1">
                <w:rPr>
                  <w:rStyle w:val="Hyperlink"/>
                  <w:rFonts w:ascii="Times New Roman" w:eastAsia="Times New Roman" w:hAnsi="Times New Roman"/>
                  <w:color w:val="auto"/>
                  <w:sz w:val="24"/>
                  <w:szCs w:val="24"/>
                </w:rPr>
                <w:t xml:space="preserve">DP 22: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Fusarium circinatum</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22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53" w:history="1">
              <w:r w:rsidRPr="00D207F1">
                <w:rPr>
                  <w:rStyle w:val="Hyperlink"/>
                  <w:rFonts w:ascii="Times New Roman" w:eastAsia="Times New Roman" w:hAnsi="Times New Roman"/>
                  <w:color w:val="auto"/>
                  <w:sz w:val="24"/>
                  <w:szCs w:val="24"/>
                </w:rPr>
                <w:t xml:space="preserve">DP 23: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Phytophthora ramorum</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23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54" w:history="1">
              <w:r w:rsidRPr="00D207F1">
                <w:rPr>
                  <w:rStyle w:val="Hyperlink"/>
                  <w:rFonts w:ascii="Times New Roman" w:eastAsia="Times New Roman" w:hAnsi="Times New Roman"/>
                  <w:color w:val="auto"/>
                  <w:sz w:val="24"/>
                  <w:szCs w:val="24"/>
                </w:rPr>
                <w:t xml:space="preserve">DP 24: </w:t>
              </w:r>
              <w:r w:rsidRPr="00D207F1">
                <w:rPr>
                  <w:rStyle w:val="Hyperlink"/>
                  <w:rFonts w:ascii="Times New Roman" w:hAnsi="Times New Roman"/>
                  <w:color w:val="auto"/>
                  <w:sz w:val="24"/>
                  <w:szCs w:val="24"/>
                  <w:lang w:val="es-ES"/>
                </w:rPr>
                <w:t xml:space="preserve">Quy trình giám định đối với </w:t>
              </w:r>
              <w:r w:rsidRPr="00D207F1">
                <w:rPr>
                  <w:rStyle w:val="Hyperlink"/>
                  <w:rFonts w:ascii="Times New Roman" w:eastAsia="Times New Roman" w:hAnsi="Times New Roman"/>
                  <w:color w:val="auto"/>
                  <w:sz w:val="24"/>
                  <w:szCs w:val="24"/>
                </w:rPr>
                <w:t>Tomato spotted wilt virus, Impatiens necrotic spot virus và Watermelon silver mottle virus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27 Annex 24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Xử lý KDTV đối với dịch hại thuộc diện điều chỉnh</w:t>
            </w:r>
          </w:p>
          <w:p w:rsidR="007254ED" w:rsidRPr="00D207F1" w:rsidRDefault="007254ED" w:rsidP="00FD2BCE">
            <w:pPr>
              <w:spacing w:after="0" w:line="300" w:lineRule="atLeast"/>
              <w:rPr>
                <w:rFonts w:ascii="Times New Roman" w:eastAsia="Times New Roman" w:hAnsi="Times New Roman"/>
                <w:sz w:val="24"/>
                <w:szCs w:val="24"/>
              </w:rPr>
            </w:pPr>
            <w:hyperlink r:id="rId55" w:history="1">
              <w:r w:rsidRPr="00D207F1">
                <w:rPr>
                  <w:rStyle w:val="Hyperlink"/>
                  <w:rFonts w:ascii="Times New Roman" w:eastAsia="Times New Roman" w:hAnsi="Times New Roman"/>
                  <w:color w:val="auto"/>
                  <w:sz w:val="24"/>
                  <w:szCs w:val="24"/>
                </w:rPr>
                <w:t>Phytosanitary treatments for regulated pests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56" w:history="1">
              <w:r w:rsidRPr="00D207F1">
                <w:rPr>
                  <w:rStyle w:val="Hyperlink"/>
                  <w:rFonts w:ascii="Times New Roman" w:eastAsia="Times New Roman" w:hAnsi="Times New Roman"/>
                  <w:color w:val="auto"/>
                  <w:sz w:val="24"/>
                  <w:szCs w:val="24"/>
                </w:rPr>
                <w:t>PT 1 (2009): Xử lý chiếu xạ đối với Anastrepha ludens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01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57" w:history="1">
              <w:r w:rsidRPr="00D207F1">
                <w:rPr>
                  <w:rStyle w:val="Hyperlink"/>
                  <w:rFonts w:ascii="Times New Roman" w:eastAsia="Times New Roman" w:hAnsi="Times New Roman"/>
                  <w:color w:val="auto"/>
                  <w:sz w:val="24"/>
                  <w:szCs w:val="24"/>
                </w:rPr>
                <w:t>PT 2 (2009): Xử lý chiếu xạ đối với Anastrepha obliqua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02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58" w:history="1">
              <w:r w:rsidRPr="00D207F1">
                <w:rPr>
                  <w:rStyle w:val="Hyperlink"/>
                  <w:rFonts w:ascii="Times New Roman" w:eastAsia="Times New Roman" w:hAnsi="Times New Roman"/>
                  <w:color w:val="auto"/>
                  <w:sz w:val="24"/>
                  <w:szCs w:val="24"/>
                </w:rPr>
                <w:t>PT 3 (2009): Xử lý chiếu xạ đối với Anastrepha serpentina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03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59" w:history="1">
              <w:r w:rsidRPr="00D207F1">
                <w:rPr>
                  <w:rStyle w:val="Hyperlink"/>
                  <w:rFonts w:ascii="Times New Roman" w:eastAsia="Times New Roman" w:hAnsi="Times New Roman"/>
                  <w:color w:val="auto"/>
                  <w:sz w:val="24"/>
                  <w:szCs w:val="24"/>
                </w:rPr>
                <w:t>PT 4 (2009): Xử lý chiếu xạ đối với Bactrocera jarvisi</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04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60" w:history="1">
              <w:r w:rsidRPr="00D207F1">
                <w:rPr>
                  <w:rStyle w:val="Hyperlink"/>
                  <w:rFonts w:ascii="Times New Roman" w:eastAsia="Times New Roman" w:hAnsi="Times New Roman"/>
                  <w:color w:val="auto"/>
                  <w:sz w:val="24"/>
                  <w:szCs w:val="24"/>
                </w:rPr>
                <w:t>PT 5 (2009):</w:t>
              </w:r>
              <w:r w:rsidRPr="00D207F1">
                <w:rPr>
                  <w:rStyle w:val="Hyperlink"/>
                  <w:rFonts w:ascii="Times New Roman" w:hAnsi="Times New Roman"/>
                  <w:color w:val="auto"/>
                  <w:sz w:val="24"/>
                  <w:szCs w:val="24"/>
                </w:rPr>
                <w:t xml:space="preserve"> </w:t>
              </w:r>
              <w:r w:rsidRPr="00D207F1">
                <w:rPr>
                  <w:rStyle w:val="Hyperlink"/>
                  <w:rFonts w:ascii="Times New Roman" w:eastAsia="Times New Roman" w:hAnsi="Times New Roman"/>
                  <w:color w:val="auto"/>
                  <w:sz w:val="24"/>
                  <w:szCs w:val="24"/>
                </w:rPr>
                <w:t>Xử lý chiếu xạ đối với Bactrocera tryoni</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05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61" w:history="1">
              <w:r w:rsidRPr="00D207F1">
                <w:rPr>
                  <w:rStyle w:val="Hyperlink"/>
                  <w:rFonts w:ascii="Times New Roman" w:eastAsia="Times New Roman" w:hAnsi="Times New Roman"/>
                  <w:color w:val="auto"/>
                  <w:sz w:val="24"/>
                  <w:szCs w:val="24"/>
                </w:rPr>
                <w:t>PT 6 (2009): Xử lý chiếu xạ đối với Cydia pomonella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06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62" w:history="1">
              <w:r w:rsidRPr="00D207F1">
                <w:rPr>
                  <w:rStyle w:val="Hyperlink"/>
                  <w:rFonts w:ascii="Times New Roman" w:eastAsia="Times New Roman" w:hAnsi="Times New Roman"/>
                  <w:color w:val="auto"/>
                  <w:sz w:val="24"/>
                  <w:szCs w:val="24"/>
                </w:rPr>
                <w:t xml:space="preserve">PT 7 (2009): Xử lý chiếu xạ đối với ruồi đục quả họ Tephritidae </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07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63" w:history="1">
              <w:r w:rsidRPr="00D207F1">
                <w:rPr>
                  <w:rStyle w:val="Hyperlink"/>
                  <w:rFonts w:ascii="Times New Roman" w:eastAsia="Times New Roman" w:hAnsi="Times New Roman"/>
                  <w:color w:val="auto"/>
                  <w:sz w:val="24"/>
                  <w:szCs w:val="24"/>
                </w:rPr>
                <w:t>PT 8 (2009): Xử lý chiếu xạ đối với Rhagoletis pomonella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08 (2009)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64" w:history="1">
              <w:r w:rsidRPr="00D207F1">
                <w:rPr>
                  <w:rStyle w:val="Hyperlink"/>
                  <w:rFonts w:ascii="Times New Roman" w:eastAsia="Times New Roman" w:hAnsi="Times New Roman"/>
                  <w:color w:val="auto"/>
                  <w:sz w:val="24"/>
                  <w:szCs w:val="24"/>
                </w:rPr>
                <w:t>PT 9 (2010): Xử lý chiếu xạ đối với Conotrachelus nenuphar</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09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65" w:history="1">
              <w:r w:rsidRPr="00D207F1">
                <w:rPr>
                  <w:rStyle w:val="Hyperlink"/>
                  <w:rFonts w:ascii="Times New Roman" w:eastAsia="Times New Roman" w:hAnsi="Times New Roman"/>
                  <w:color w:val="auto"/>
                  <w:sz w:val="24"/>
                  <w:szCs w:val="24"/>
                </w:rPr>
                <w:t>PT 10 (2010): Xử lý chiếu xạ đối với Grapholita molesta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10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66" w:history="1">
              <w:r w:rsidRPr="00D207F1">
                <w:rPr>
                  <w:rStyle w:val="Hyperlink"/>
                  <w:rFonts w:ascii="Times New Roman" w:eastAsia="Times New Roman" w:hAnsi="Times New Roman"/>
                  <w:color w:val="auto"/>
                  <w:sz w:val="24"/>
                  <w:szCs w:val="24"/>
                </w:rPr>
                <w:t>PT 11 (2010): Xử lý chiếu xạ đối với Grapholita molesta under hypoxia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11 (2010)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67" w:history="1">
              <w:r w:rsidRPr="00D207F1">
                <w:rPr>
                  <w:rStyle w:val="Hyperlink"/>
                  <w:rFonts w:ascii="Times New Roman" w:eastAsia="Times New Roman" w:hAnsi="Times New Roman"/>
                  <w:color w:val="auto"/>
                  <w:sz w:val="24"/>
                  <w:szCs w:val="24"/>
                </w:rPr>
                <w:t>PT 12 (2011): Xử lý chiếu xạ đối với Cylas formicarius elegantulus (2011)</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12 (2011)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68" w:history="1">
              <w:r w:rsidRPr="00D207F1">
                <w:rPr>
                  <w:rStyle w:val="Hyperlink"/>
                  <w:rFonts w:ascii="Times New Roman" w:eastAsia="Times New Roman" w:hAnsi="Times New Roman"/>
                  <w:color w:val="auto"/>
                  <w:sz w:val="24"/>
                  <w:szCs w:val="24"/>
                </w:rPr>
                <w:t>PT 13 (2011): Xử lý chiếu xạ đối với Euscepes postfasciatus (2011)</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13 (2011)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507C09" w:rsidRDefault="007254ED" w:rsidP="00FD2BCE">
            <w:pPr>
              <w:spacing w:after="0" w:line="300" w:lineRule="atLeast"/>
              <w:rPr>
                <w:rFonts w:ascii="Times New Roman" w:eastAsia="Times New Roman" w:hAnsi="Times New Roman"/>
                <w:sz w:val="24"/>
                <w:szCs w:val="24"/>
                <w:lang w:val="fr-FR"/>
              </w:rPr>
            </w:pPr>
            <w:hyperlink r:id="rId69" w:history="1">
              <w:r w:rsidRPr="00507C09">
                <w:rPr>
                  <w:rStyle w:val="Hyperlink"/>
                  <w:rFonts w:ascii="Times New Roman" w:eastAsia="Times New Roman" w:hAnsi="Times New Roman"/>
                  <w:color w:val="auto"/>
                  <w:sz w:val="24"/>
                  <w:szCs w:val="24"/>
                  <w:lang w:val="fr-FR"/>
                </w:rPr>
                <w:t>PT 14 (2011):</w:t>
              </w:r>
              <w:r w:rsidRPr="00507C09">
                <w:rPr>
                  <w:rStyle w:val="Hyperlink"/>
                  <w:rFonts w:ascii="Times New Roman" w:hAnsi="Times New Roman"/>
                  <w:color w:val="auto"/>
                  <w:sz w:val="24"/>
                  <w:szCs w:val="24"/>
                  <w:lang w:val="fr-FR"/>
                </w:rPr>
                <w:t xml:space="preserve"> </w:t>
              </w:r>
              <w:r w:rsidRPr="00507C09">
                <w:rPr>
                  <w:rStyle w:val="Hyperlink"/>
                  <w:rFonts w:ascii="Times New Roman" w:eastAsia="Times New Roman" w:hAnsi="Times New Roman"/>
                  <w:color w:val="auto"/>
                  <w:sz w:val="24"/>
                  <w:szCs w:val="24"/>
                  <w:lang w:val="fr-FR"/>
                </w:rPr>
                <w:t>Xử lý chiếu xạ đối với Ceratitis capitata (2011)</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14 (2011)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70" w:history="1">
              <w:r w:rsidRPr="00D207F1">
                <w:rPr>
                  <w:rStyle w:val="Hyperlink"/>
                  <w:rFonts w:ascii="Times New Roman" w:eastAsia="Times New Roman" w:hAnsi="Times New Roman"/>
                  <w:color w:val="auto"/>
                  <w:sz w:val="24"/>
                  <w:szCs w:val="24"/>
                </w:rPr>
                <w:t>PT 15: Xử lý hơi nước nóng đối với Bactrocera cucurbitae trên Cucumis melo var. reticulatus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15 (2014)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71" w:history="1">
              <w:r w:rsidRPr="00D207F1">
                <w:rPr>
                  <w:rStyle w:val="Hyperlink"/>
                  <w:rFonts w:ascii="Times New Roman" w:eastAsia="Times New Roman" w:hAnsi="Times New Roman"/>
                  <w:color w:val="auto"/>
                  <w:sz w:val="24"/>
                  <w:szCs w:val="24"/>
                </w:rPr>
                <w:t>PT 16: Xử lý lạnh đối với Bactrocera tryoni trên Citrus sinensis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16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72" w:history="1">
              <w:r w:rsidRPr="00D207F1">
                <w:rPr>
                  <w:rStyle w:val="Hyperlink"/>
                  <w:rFonts w:ascii="Times New Roman" w:eastAsia="Times New Roman" w:hAnsi="Times New Roman"/>
                  <w:color w:val="auto"/>
                  <w:sz w:val="24"/>
                  <w:szCs w:val="24"/>
                </w:rPr>
                <w:t>PT 17: Xử lý lạnh đối với Bactrocera tryoni trên Citrus reticulata x C. sinensis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17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73" w:history="1">
              <w:r w:rsidRPr="00D207F1">
                <w:rPr>
                  <w:rStyle w:val="Hyperlink"/>
                  <w:rFonts w:ascii="Times New Roman" w:eastAsia="Times New Roman" w:hAnsi="Times New Roman"/>
                  <w:color w:val="auto"/>
                  <w:sz w:val="24"/>
                  <w:szCs w:val="24"/>
                </w:rPr>
                <w:t>PT 18: Xử lý lạnh đối với Bactrocera tryoni trên Citrus limon</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18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74" w:history="1">
              <w:r w:rsidRPr="00D207F1">
                <w:rPr>
                  <w:rStyle w:val="Hyperlink"/>
                  <w:rFonts w:ascii="Times New Roman" w:eastAsia="Times New Roman" w:hAnsi="Times New Roman"/>
                  <w:color w:val="auto"/>
                  <w:sz w:val="24"/>
                  <w:szCs w:val="24"/>
                </w:rPr>
                <w:t>PT 19: Xử lý chiếu xạ đối với Dysmicoccus neobrevipes, Planococcus lilacinus và Planococcus minor</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19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75" w:history="1">
              <w:r w:rsidRPr="00D207F1">
                <w:rPr>
                  <w:rStyle w:val="Hyperlink"/>
                  <w:rFonts w:ascii="Times New Roman" w:eastAsia="Times New Roman" w:hAnsi="Times New Roman"/>
                  <w:color w:val="auto"/>
                  <w:sz w:val="24"/>
                  <w:szCs w:val="24"/>
                </w:rPr>
                <w:t>PT 20: Xử lý chiếu xạ đối với Ostrinia nubilalis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20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76" w:history="1">
              <w:r w:rsidRPr="00D207F1">
                <w:rPr>
                  <w:rStyle w:val="Hyperlink"/>
                  <w:rFonts w:ascii="Times New Roman" w:eastAsia="Times New Roman" w:hAnsi="Times New Roman"/>
                  <w:color w:val="auto"/>
                  <w:sz w:val="24"/>
                  <w:szCs w:val="24"/>
                </w:rPr>
                <w:t>PT 21: Xử lý hơi nước nóng đối với Bactrocera melanotus và Bactrocera xanthodes trên Carica papaya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21 (2015)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77" w:history="1">
              <w:r w:rsidRPr="00D207F1">
                <w:rPr>
                  <w:rStyle w:val="Hyperlink"/>
                  <w:rFonts w:ascii="Times New Roman" w:eastAsia="Times New Roman" w:hAnsi="Times New Roman"/>
                  <w:color w:val="auto"/>
                  <w:sz w:val="24"/>
                  <w:szCs w:val="24"/>
                </w:rPr>
                <w:t>PT 22: Xông hơi khử trùng bằng Sulphuryl fluoride đối với côn trùng hại gỗ tạp</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22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78" w:history="1">
              <w:r w:rsidRPr="00D207F1">
                <w:rPr>
                  <w:rStyle w:val="Hyperlink"/>
                  <w:rFonts w:ascii="Times New Roman" w:eastAsia="Times New Roman" w:hAnsi="Times New Roman"/>
                  <w:color w:val="auto"/>
                  <w:sz w:val="24"/>
                  <w:szCs w:val="24"/>
                </w:rPr>
                <w:t>PT 23: Xông hơi khử trùng bằng Sulphuryl fluoride đối với tuyến trùng và côn trùng hại gỗ tạp</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23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507C09" w:rsidRDefault="007254ED" w:rsidP="00FD2BCE">
            <w:pPr>
              <w:spacing w:after="0" w:line="300" w:lineRule="atLeast"/>
              <w:rPr>
                <w:rFonts w:ascii="Times New Roman" w:eastAsia="Times New Roman" w:hAnsi="Times New Roman"/>
                <w:sz w:val="24"/>
                <w:szCs w:val="24"/>
                <w:lang w:val="fr-FR"/>
              </w:rPr>
            </w:pPr>
            <w:hyperlink r:id="rId79" w:history="1">
              <w:r w:rsidRPr="00507C09">
                <w:rPr>
                  <w:rStyle w:val="Hyperlink"/>
                  <w:rFonts w:ascii="Times New Roman" w:eastAsia="Times New Roman" w:hAnsi="Times New Roman"/>
                  <w:color w:val="auto"/>
                  <w:sz w:val="24"/>
                  <w:szCs w:val="24"/>
                  <w:lang w:val="fr-FR"/>
                </w:rPr>
                <w:t>PT 24: Xử lý lạnh đối với Ceratitis capitata trên Citrus sinensis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24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80" w:history="1">
              <w:r w:rsidRPr="00D207F1">
                <w:rPr>
                  <w:rStyle w:val="Hyperlink"/>
                  <w:rFonts w:ascii="Times New Roman" w:eastAsia="Times New Roman" w:hAnsi="Times New Roman"/>
                  <w:color w:val="auto"/>
                  <w:sz w:val="24"/>
                  <w:szCs w:val="24"/>
                </w:rPr>
                <w:t>PT 25: Xử lý lạnh đối với Ceratitis capitata trên Citrus reticulata × C. sinensis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25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507C09" w:rsidRDefault="007254ED" w:rsidP="00FD2BCE">
            <w:pPr>
              <w:spacing w:after="0" w:line="300" w:lineRule="atLeast"/>
              <w:rPr>
                <w:rFonts w:ascii="Times New Roman" w:eastAsia="Times New Roman" w:hAnsi="Times New Roman"/>
                <w:sz w:val="24"/>
                <w:szCs w:val="24"/>
                <w:lang w:val="fr-FR"/>
              </w:rPr>
            </w:pPr>
            <w:hyperlink r:id="rId81" w:history="1">
              <w:r w:rsidRPr="00507C09">
                <w:rPr>
                  <w:rStyle w:val="Hyperlink"/>
                  <w:rFonts w:ascii="Times New Roman" w:eastAsia="Times New Roman" w:hAnsi="Times New Roman"/>
                  <w:color w:val="auto"/>
                  <w:sz w:val="24"/>
                  <w:szCs w:val="24"/>
                  <w:lang w:val="fr-FR"/>
                </w:rPr>
                <w:t>PT 26: Xử lý lạnh đối với Ceratitis capitata trên Citrus limon</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26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507C09" w:rsidRDefault="007254ED" w:rsidP="00FD2BCE">
            <w:pPr>
              <w:spacing w:after="0" w:line="300" w:lineRule="atLeast"/>
              <w:rPr>
                <w:rFonts w:ascii="Times New Roman" w:eastAsia="Times New Roman" w:hAnsi="Times New Roman"/>
                <w:sz w:val="24"/>
                <w:szCs w:val="24"/>
                <w:lang w:val="fr-FR"/>
              </w:rPr>
            </w:pPr>
            <w:hyperlink r:id="rId82" w:history="1">
              <w:r w:rsidRPr="00507C09">
                <w:rPr>
                  <w:rStyle w:val="Hyperlink"/>
                  <w:rFonts w:ascii="Times New Roman" w:eastAsia="Times New Roman" w:hAnsi="Times New Roman"/>
                  <w:color w:val="auto"/>
                  <w:sz w:val="24"/>
                  <w:szCs w:val="24"/>
                  <w:lang w:val="fr-FR"/>
                </w:rPr>
                <w:t>PT 27: Xử lý lạnh đối với Ceratitis capitata trên Citrus paradisi</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27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507C09" w:rsidRDefault="007254ED" w:rsidP="00FD2BCE">
            <w:pPr>
              <w:spacing w:after="0" w:line="300" w:lineRule="atLeast"/>
              <w:rPr>
                <w:rFonts w:ascii="Times New Roman" w:eastAsia="Times New Roman" w:hAnsi="Times New Roman"/>
                <w:sz w:val="24"/>
                <w:szCs w:val="24"/>
                <w:lang w:val="fr-FR"/>
              </w:rPr>
            </w:pPr>
            <w:hyperlink r:id="rId83" w:history="1">
              <w:r w:rsidRPr="00507C09">
                <w:rPr>
                  <w:rStyle w:val="Hyperlink"/>
                  <w:rFonts w:ascii="Times New Roman" w:eastAsia="Times New Roman" w:hAnsi="Times New Roman"/>
                  <w:color w:val="auto"/>
                  <w:sz w:val="24"/>
                  <w:szCs w:val="24"/>
                  <w:lang w:val="fr-FR"/>
                </w:rPr>
                <w:t>PT 28: Xử lý lạnh đối với Ceratitis capitata trên Citrus reticulata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28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507C09" w:rsidRDefault="007254ED" w:rsidP="00FD2BCE">
            <w:pPr>
              <w:spacing w:after="0" w:line="300" w:lineRule="atLeast"/>
              <w:rPr>
                <w:rFonts w:ascii="Times New Roman" w:eastAsia="Times New Roman" w:hAnsi="Times New Roman"/>
                <w:sz w:val="24"/>
                <w:szCs w:val="24"/>
                <w:lang w:val="fr-FR"/>
              </w:rPr>
            </w:pPr>
            <w:hyperlink r:id="rId84" w:history="1">
              <w:r w:rsidRPr="00507C09">
                <w:rPr>
                  <w:rStyle w:val="Hyperlink"/>
                  <w:rFonts w:ascii="Times New Roman" w:eastAsia="Times New Roman" w:hAnsi="Times New Roman"/>
                  <w:color w:val="auto"/>
                  <w:sz w:val="24"/>
                  <w:szCs w:val="24"/>
                  <w:lang w:val="fr-FR"/>
                </w:rPr>
                <w:t>PT 29: Xử lý lạnh đối với Ceratitis capitata trên Citrus clementina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29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hyperlink r:id="rId85" w:history="1">
              <w:r w:rsidRPr="00D207F1">
                <w:rPr>
                  <w:rStyle w:val="Hyperlink"/>
                  <w:rFonts w:ascii="Times New Roman" w:eastAsia="Times New Roman" w:hAnsi="Times New Roman"/>
                  <w:color w:val="auto"/>
                  <w:sz w:val="24"/>
                  <w:szCs w:val="24"/>
                </w:rPr>
                <w:t>PT 30: Xử lý hơi nước nóng đối với Ceratitis capitata trên Mangifera indica</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30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hyperlink r:id="rId86" w:history="1">
              <w:r w:rsidRPr="00D207F1">
                <w:rPr>
                  <w:rStyle w:val="Hyperlink"/>
                  <w:rFonts w:ascii="Times New Roman" w:eastAsia="Times New Roman" w:hAnsi="Times New Roman"/>
                  <w:color w:val="auto"/>
                  <w:sz w:val="24"/>
                  <w:szCs w:val="24"/>
                </w:rPr>
                <w:t>PT 31: Xử lý hơi nước nóng đối với Bactrocera tryoni trên Mangifera indica</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28 Annex 31 (2017)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Chứng nhận vùng không nhiễm dịch hại và vùng ít phổ biến dịch hại</w:t>
            </w:r>
          </w:p>
          <w:p w:rsidR="007254ED" w:rsidRPr="00D207F1" w:rsidRDefault="007254ED" w:rsidP="00FD2BCE">
            <w:pPr>
              <w:spacing w:after="0" w:line="300" w:lineRule="atLeast"/>
              <w:rPr>
                <w:rFonts w:ascii="Times New Roman" w:eastAsia="Times New Roman" w:hAnsi="Times New Roman"/>
                <w:sz w:val="24"/>
                <w:szCs w:val="24"/>
              </w:rPr>
            </w:pPr>
            <w:hyperlink r:id="rId87" w:history="1">
              <w:r w:rsidRPr="00D207F1">
                <w:rPr>
                  <w:rStyle w:val="Hyperlink"/>
                  <w:rFonts w:ascii="Times New Roman" w:eastAsia="Times New Roman" w:hAnsi="Times New Roman"/>
                  <w:color w:val="auto"/>
                  <w:sz w:val="24"/>
                  <w:szCs w:val="24"/>
                </w:rPr>
                <w:t>Recognition of pest free areas and areas of low pest prevalence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29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Thiết lập vùng ít phổ biến dịch hại đối với ruồi đục quả (họ Tephritidae)</w:t>
            </w:r>
          </w:p>
          <w:p w:rsidR="007254ED" w:rsidRPr="00D207F1" w:rsidRDefault="007254ED" w:rsidP="00FD2BCE">
            <w:pPr>
              <w:spacing w:after="0" w:line="300" w:lineRule="atLeast"/>
              <w:rPr>
                <w:rFonts w:ascii="Times New Roman" w:eastAsia="Times New Roman" w:hAnsi="Times New Roman"/>
                <w:sz w:val="24"/>
                <w:szCs w:val="24"/>
              </w:rPr>
            </w:pPr>
            <w:hyperlink r:id="rId88" w:history="1">
              <w:r w:rsidRPr="00D207F1">
                <w:rPr>
                  <w:rStyle w:val="Hyperlink"/>
                  <w:rFonts w:ascii="Times New Roman" w:eastAsia="Times New Roman" w:hAnsi="Times New Roman"/>
                  <w:color w:val="auto"/>
                  <w:sz w:val="24"/>
                  <w:szCs w:val="24"/>
                </w:rPr>
                <w:t>Establishment of areas of low pest prevalence for fruit flies (Tephritidae)</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Phương pháp lấy mẫu chuyến hàng</w:t>
            </w:r>
          </w:p>
          <w:p w:rsidR="007254ED" w:rsidRPr="00D207F1" w:rsidRDefault="007254ED" w:rsidP="00FD2BCE">
            <w:pPr>
              <w:spacing w:after="0" w:line="300" w:lineRule="atLeast"/>
              <w:rPr>
                <w:rFonts w:ascii="Times New Roman" w:eastAsia="Times New Roman" w:hAnsi="Times New Roman"/>
                <w:sz w:val="24"/>
                <w:szCs w:val="24"/>
              </w:rPr>
            </w:pPr>
            <w:hyperlink r:id="rId89" w:history="1">
              <w:r w:rsidRPr="00D207F1">
                <w:rPr>
                  <w:rStyle w:val="Hyperlink"/>
                  <w:rFonts w:ascii="Times New Roman" w:eastAsia="Times New Roman" w:hAnsi="Times New Roman"/>
                  <w:color w:val="auto"/>
                  <w:sz w:val="24"/>
                  <w:szCs w:val="24"/>
                </w:rPr>
                <w:t>Methodologies for sampling of consignments</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Phân loại hàng hóa theo nguy cơ dịch hại</w:t>
            </w:r>
          </w:p>
          <w:p w:rsidR="007254ED" w:rsidRPr="00D207F1" w:rsidRDefault="007254ED" w:rsidP="00FD2BCE">
            <w:pPr>
              <w:spacing w:after="0" w:line="300" w:lineRule="atLeast"/>
              <w:rPr>
                <w:rFonts w:ascii="Times New Roman" w:eastAsia="Times New Roman" w:hAnsi="Times New Roman"/>
                <w:sz w:val="24"/>
                <w:szCs w:val="24"/>
              </w:rPr>
            </w:pPr>
            <w:hyperlink r:id="rId90" w:history="1">
              <w:r w:rsidRPr="00D207F1">
                <w:rPr>
                  <w:rStyle w:val="Hyperlink"/>
                  <w:rFonts w:ascii="Times New Roman" w:eastAsia="Times New Roman" w:hAnsi="Times New Roman"/>
                  <w:color w:val="auto"/>
                  <w:sz w:val="24"/>
                  <w:szCs w:val="24"/>
                </w:rPr>
                <w:t>Categorization of commodities according to their pest risk</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32</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Vật liệu nuôi cấy mô và củ khoai tây nhỏ (Solanum spp.) không nhiễm sinh vật gây hại trong thương mại quốc tế</w:t>
            </w:r>
          </w:p>
          <w:p w:rsidR="007254ED" w:rsidRPr="00D207F1" w:rsidRDefault="007254ED" w:rsidP="00FD2BCE">
            <w:pPr>
              <w:spacing w:after="0" w:line="300" w:lineRule="atLeast"/>
              <w:rPr>
                <w:rFonts w:ascii="Times New Roman" w:eastAsia="Times New Roman" w:hAnsi="Times New Roman"/>
                <w:sz w:val="24"/>
                <w:szCs w:val="24"/>
              </w:rPr>
            </w:pPr>
            <w:hyperlink r:id="rId91" w:history="1">
              <w:r w:rsidRPr="00D207F1">
                <w:rPr>
                  <w:rStyle w:val="Hyperlink"/>
                  <w:rFonts w:ascii="Times New Roman" w:eastAsia="Times New Roman" w:hAnsi="Times New Roman"/>
                  <w:color w:val="auto"/>
                  <w:sz w:val="24"/>
                  <w:szCs w:val="24"/>
                </w:rPr>
                <w:t>Pest free potato (Solanum spp.) micropropagative material and minitubers for international trade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33</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Thiết kế và tác dụng của trạm KDTV sau nhập khẩu</w:t>
            </w:r>
          </w:p>
          <w:p w:rsidR="007254ED" w:rsidRPr="00D207F1" w:rsidRDefault="007254ED" w:rsidP="00FD2BCE">
            <w:pPr>
              <w:spacing w:after="0" w:line="300" w:lineRule="atLeast"/>
              <w:rPr>
                <w:rFonts w:ascii="Times New Roman" w:eastAsia="Times New Roman" w:hAnsi="Times New Roman"/>
                <w:sz w:val="24"/>
                <w:szCs w:val="24"/>
              </w:rPr>
            </w:pPr>
            <w:hyperlink r:id="rId92" w:history="1">
              <w:r w:rsidRPr="00D207F1">
                <w:rPr>
                  <w:rStyle w:val="Hyperlink"/>
                  <w:rFonts w:ascii="Times New Roman" w:eastAsia="Times New Roman" w:hAnsi="Times New Roman"/>
                  <w:color w:val="auto"/>
                  <w:sz w:val="24"/>
                  <w:szCs w:val="24"/>
                </w:rPr>
                <w:t>Design and operation of post-entry quarantine stations for plants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lastRenderedPageBreak/>
              <w:t>ISPM 34</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Hệ thống quản lý tổng hợp đối với ruồi đục quả (Tephritidae)</w:t>
            </w:r>
          </w:p>
          <w:p w:rsidR="007254ED" w:rsidRPr="00D207F1" w:rsidRDefault="007254ED" w:rsidP="00FD2BCE">
            <w:pPr>
              <w:spacing w:after="0" w:line="300" w:lineRule="atLeast"/>
              <w:rPr>
                <w:rFonts w:ascii="Times New Roman" w:eastAsia="Times New Roman" w:hAnsi="Times New Roman"/>
                <w:sz w:val="24"/>
                <w:szCs w:val="24"/>
              </w:rPr>
            </w:pPr>
            <w:hyperlink r:id="rId93" w:history="1">
              <w:r w:rsidRPr="00D207F1">
                <w:rPr>
                  <w:rStyle w:val="Hyperlink"/>
                  <w:rFonts w:ascii="Times New Roman" w:eastAsia="Times New Roman" w:hAnsi="Times New Roman"/>
                  <w:color w:val="auto"/>
                  <w:sz w:val="24"/>
                  <w:szCs w:val="24"/>
                </w:rPr>
                <w:t>Systems approach for pest risk management of fruit flies (Tephritidae)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35</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Biện pháp xử lý tổng hợp đối với thực vật làm giống</w:t>
            </w:r>
          </w:p>
          <w:p w:rsidR="007254ED" w:rsidRPr="00D207F1" w:rsidRDefault="007254ED" w:rsidP="00FD2BCE">
            <w:pPr>
              <w:spacing w:after="0" w:line="300" w:lineRule="atLeast"/>
              <w:rPr>
                <w:rFonts w:ascii="Times New Roman" w:eastAsia="Times New Roman" w:hAnsi="Times New Roman"/>
                <w:sz w:val="24"/>
                <w:szCs w:val="24"/>
              </w:rPr>
            </w:pPr>
            <w:hyperlink r:id="rId94" w:history="1">
              <w:r w:rsidRPr="00D207F1">
                <w:rPr>
                  <w:rStyle w:val="Hyperlink"/>
                  <w:rFonts w:ascii="Times New Roman" w:eastAsia="Times New Roman" w:hAnsi="Times New Roman"/>
                  <w:color w:val="auto"/>
                  <w:sz w:val="24"/>
                  <w:szCs w:val="24"/>
                </w:rPr>
                <w:t>Integrated measures for plants for planting</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36</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hAnsi="Times New Roman"/>
                <w:sz w:val="24"/>
                <w:szCs w:val="24"/>
              </w:rPr>
              <w:t>Xác định tình trạng quả là ký chủ của ruồi đục quả (Tephritidae)</w:t>
            </w:r>
          </w:p>
          <w:p w:rsidR="007254ED" w:rsidRPr="00D207F1" w:rsidRDefault="007254ED" w:rsidP="00FD2BCE">
            <w:pPr>
              <w:spacing w:after="0" w:line="300" w:lineRule="atLeast"/>
              <w:rPr>
                <w:rFonts w:ascii="Times New Roman" w:eastAsia="Times New Roman" w:hAnsi="Times New Roman"/>
                <w:sz w:val="24"/>
                <w:szCs w:val="24"/>
              </w:rPr>
            </w:pPr>
            <w:hyperlink r:id="rId95" w:history="1">
              <w:r w:rsidRPr="00D207F1">
                <w:rPr>
                  <w:rStyle w:val="Hyperlink"/>
                  <w:rFonts w:ascii="Times New Roman" w:eastAsia="Times New Roman" w:hAnsi="Times New Roman"/>
                  <w:color w:val="auto"/>
                  <w:sz w:val="24"/>
                  <w:szCs w:val="24"/>
                </w:rPr>
                <w:t>Determination of host status of fruit to fruit flies (Tephritidae)</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37</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eastAsia="Times New Roman" w:hAnsi="Times New Roman"/>
                <w:sz w:val="24"/>
                <w:szCs w:val="24"/>
              </w:rPr>
              <w:t>Thương mại quốc tế đối với hạt giống</w:t>
            </w:r>
          </w:p>
          <w:p w:rsidR="007254ED" w:rsidRPr="00D207F1" w:rsidRDefault="007254ED" w:rsidP="00FD2BCE">
            <w:pPr>
              <w:spacing w:after="0" w:line="300" w:lineRule="atLeast"/>
              <w:rPr>
                <w:rFonts w:ascii="Times New Roman" w:eastAsia="Times New Roman" w:hAnsi="Times New Roman"/>
                <w:sz w:val="24"/>
                <w:szCs w:val="24"/>
              </w:rPr>
            </w:pPr>
            <w:hyperlink r:id="rId96" w:history="1">
              <w:r w:rsidRPr="00D207F1">
                <w:rPr>
                  <w:rStyle w:val="Hyperlink"/>
                  <w:rFonts w:ascii="Times New Roman" w:eastAsia="Times New Roman" w:hAnsi="Times New Roman"/>
                  <w:color w:val="auto"/>
                  <w:sz w:val="24"/>
                  <w:szCs w:val="24"/>
                </w:rPr>
                <w:t>International movement of seeds</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38</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eastAsia="Times New Roman" w:hAnsi="Times New Roman"/>
                <w:sz w:val="24"/>
                <w:szCs w:val="24"/>
              </w:rPr>
              <w:t>Thương mại quốc tế đối với gỗ</w:t>
            </w:r>
          </w:p>
          <w:p w:rsidR="007254ED" w:rsidRPr="00D207F1" w:rsidRDefault="007254ED" w:rsidP="00FD2BCE">
            <w:pPr>
              <w:spacing w:after="0" w:line="300" w:lineRule="atLeast"/>
              <w:rPr>
                <w:rFonts w:ascii="Times New Roman" w:eastAsia="Times New Roman" w:hAnsi="Times New Roman"/>
                <w:sz w:val="24"/>
                <w:szCs w:val="24"/>
              </w:rPr>
            </w:pPr>
            <w:hyperlink r:id="rId97" w:history="1">
              <w:r w:rsidRPr="00D207F1">
                <w:rPr>
                  <w:rStyle w:val="Hyperlink"/>
                  <w:rFonts w:ascii="Times New Roman" w:eastAsia="Times New Roman" w:hAnsi="Times New Roman"/>
                  <w:color w:val="auto"/>
                  <w:sz w:val="24"/>
                  <w:szCs w:val="24"/>
                </w:rPr>
                <w:t>International movement of wood</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39</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shd w:val="clear" w:color="auto" w:fill="F9F9F9"/>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eastAsia="Times New Roman" w:hAnsi="Times New Roman"/>
                <w:sz w:val="24"/>
                <w:szCs w:val="24"/>
              </w:rPr>
              <w:t>Thương mại quốc tế đối với giá thể đi theo vật liệu làm giống</w:t>
            </w:r>
          </w:p>
          <w:p w:rsidR="007254ED" w:rsidRPr="00D207F1" w:rsidRDefault="007254ED" w:rsidP="00FD2BCE">
            <w:pPr>
              <w:spacing w:after="0" w:line="300" w:lineRule="atLeast"/>
              <w:rPr>
                <w:rFonts w:ascii="Times New Roman" w:eastAsia="Times New Roman" w:hAnsi="Times New Roman"/>
                <w:sz w:val="24"/>
                <w:szCs w:val="24"/>
              </w:rPr>
            </w:pPr>
            <w:hyperlink r:id="rId98" w:history="1">
              <w:r w:rsidRPr="00D207F1">
                <w:rPr>
                  <w:rStyle w:val="Hyperlink"/>
                  <w:rFonts w:ascii="Times New Roman" w:eastAsia="Times New Roman" w:hAnsi="Times New Roman"/>
                  <w:color w:val="auto"/>
                  <w:sz w:val="24"/>
                  <w:szCs w:val="24"/>
                </w:rPr>
                <w:t>International movement of growing media in association with plants for planting</w:t>
              </w:r>
            </w:hyperlink>
          </w:p>
        </w:tc>
        <w:tc>
          <w:tcPr>
            <w:tcW w:w="4050" w:type="dxa"/>
            <w:tcBorders>
              <w:top w:val="single" w:sz="2" w:space="0" w:color="auto"/>
              <w:left w:val="single" w:sz="2" w:space="0" w:color="auto"/>
              <w:bottom w:val="single" w:sz="2" w:space="0" w:color="auto"/>
              <w:right w:val="single" w:sz="2" w:space="0" w:color="auto"/>
            </w:tcBorders>
            <w:shd w:val="clear" w:color="auto" w:fill="F9F9F9"/>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40</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BC637D"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numPr>
                <w:ilvl w:val="0"/>
                <w:numId w:val="4"/>
              </w:numPr>
              <w:spacing w:after="0" w:line="240" w:lineRule="auto"/>
              <w:ind w:left="0" w:firstLine="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BC637D" w:rsidRDefault="007254ED" w:rsidP="00FD2BCE">
            <w:pPr>
              <w:spacing w:after="0" w:line="240" w:lineRule="auto"/>
              <w:rPr>
                <w:rFonts w:ascii="Times New Roman" w:hAnsi="Times New Roman"/>
                <w:sz w:val="24"/>
                <w:szCs w:val="24"/>
              </w:rPr>
            </w:pPr>
          </w:p>
        </w:tc>
        <w:tc>
          <w:tcPr>
            <w:tcW w:w="7740" w:type="dxa"/>
            <w:tcBorders>
              <w:top w:val="single" w:sz="2" w:space="0" w:color="auto"/>
              <w:left w:val="single" w:sz="2" w:space="0" w:color="auto"/>
              <w:bottom w:val="single" w:sz="2" w:space="0" w:color="auto"/>
              <w:right w:val="single" w:sz="2" w:space="0" w:color="auto"/>
            </w:tcBorders>
          </w:tcPr>
          <w:p w:rsidR="007254ED" w:rsidRPr="00D207F1" w:rsidRDefault="007254ED" w:rsidP="00FD2BCE">
            <w:pPr>
              <w:spacing w:after="0" w:line="300" w:lineRule="atLeast"/>
              <w:rPr>
                <w:rFonts w:ascii="Times New Roman" w:eastAsia="Times New Roman" w:hAnsi="Times New Roman"/>
                <w:sz w:val="24"/>
                <w:szCs w:val="24"/>
              </w:rPr>
            </w:pPr>
            <w:r w:rsidRPr="00D207F1">
              <w:rPr>
                <w:rFonts w:ascii="Times New Roman" w:eastAsia="Times New Roman" w:hAnsi="Times New Roman"/>
                <w:sz w:val="24"/>
                <w:szCs w:val="24"/>
              </w:rPr>
              <w:t>Thương mại quốc tế đối với phương tiện vận chuyển</w:t>
            </w:r>
          </w:p>
          <w:p w:rsidR="007254ED" w:rsidRPr="00D207F1" w:rsidRDefault="007254ED" w:rsidP="00FD2BCE">
            <w:pPr>
              <w:spacing w:after="0" w:line="300" w:lineRule="atLeast"/>
              <w:rPr>
                <w:rFonts w:ascii="Times New Roman" w:eastAsia="Times New Roman" w:hAnsi="Times New Roman"/>
                <w:sz w:val="24"/>
                <w:szCs w:val="24"/>
              </w:rPr>
            </w:pPr>
            <w:hyperlink r:id="rId99" w:history="1">
              <w:r w:rsidRPr="00D207F1">
                <w:rPr>
                  <w:rStyle w:val="Hyperlink"/>
                  <w:rFonts w:ascii="Times New Roman" w:eastAsia="Times New Roman" w:hAnsi="Times New Roman"/>
                  <w:color w:val="auto"/>
                  <w:sz w:val="24"/>
                  <w:szCs w:val="24"/>
                </w:rPr>
                <w:t>International movement of used vehicles, machinery and equipment</w:t>
              </w:r>
            </w:hyperlink>
          </w:p>
        </w:tc>
        <w:tc>
          <w:tcPr>
            <w:tcW w:w="4050" w:type="dxa"/>
            <w:tcBorders>
              <w:top w:val="single" w:sz="2" w:space="0" w:color="auto"/>
              <w:left w:val="single" w:sz="2" w:space="0" w:color="auto"/>
              <w:bottom w:val="single" w:sz="2" w:space="0" w:color="auto"/>
              <w:right w:val="single" w:sz="2" w:space="0" w:color="auto"/>
            </w:tcBorders>
          </w:tcPr>
          <w:p w:rsidR="007254ED" w:rsidRPr="00BC637D" w:rsidRDefault="007254ED" w:rsidP="00FD2BCE">
            <w:pPr>
              <w:spacing w:after="0" w:line="300" w:lineRule="atLeast"/>
              <w:jc w:val="both"/>
              <w:rPr>
                <w:rFonts w:ascii="Times New Roman" w:eastAsia="Times New Roman" w:hAnsi="Times New Roman"/>
                <w:color w:val="000000"/>
                <w:sz w:val="24"/>
                <w:szCs w:val="24"/>
              </w:rPr>
            </w:pPr>
            <w:r w:rsidRPr="00BC637D">
              <w:rPr>
                <w:rFonts w:ascii="Times New Roman" w:eastAsia="Times New Roman" w:hAnsi="Times New Roman"/>
                <w:color w:val="000000"/>
                <w:sz w:val="24"/>
                <w:szCs w:val="24"/>
              </w:rPr>
              <w:t>ISPM 41</w:t>
            </w:r>
          </w:p>
        </w:tc>
        <w:tc>
          <w:tcPr>
            <w:tcW w:w="1805" w:type="dxa"/>
            <w:tcBorders>
              <w:top w:val="single" w:sz="4" w:space="0" w:color="auto"/>
              <w:left w:val="single" w:sz="4" w:space="0" w:color="auto"/>
              <w:bottom w:val="single" w:sz="4" w:space="0" w:color="auto"/>
              <w:right w:val="single" w:sz="4" w:space="0" w:color="auto"/>
            </w:tcBorders>
          </w:tcPr>
          <w:p w:rsidR="007254ED" w:rsidRPr="00BC637D"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jc w:val="center"/>
              <w:rPr>
                <w:rFonts w:ascii="Times New Roman" w:hAnsi="Times New Roman"/>
                <w:b/>
                <w:sz w:val="24"/>
                <w:szCs w:val="24"/>
              </w:rPr>
            </w:pPr>
            <w:r w:rsidRPr="00CA0272">
              <w:rPr>
                <w:rFonts w:ascii="Times New Roman" w:hAnsi="Times New Roman"/>
                <w:b/>
                <w:sz w:val="24"/>
                <w:szCs w:val="24"/>
              </w:rPr>
              <w:t xml:space="preserve">IV. </w:t>
            </w:r>
          </w:p>
        </w:tc>
        <w:tc>
          <w:tcPr>
            <w:tcW w:w="8708" w:type="dxa"/>
            <w:gridSpan w:val="2"/>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jc w:val="both"/>
              <w:rPr>
                <w:rFonts w:ascii="Times New Roman" w:eastAsia="Times New Roman" w:hAnsi="Times New Roman"/>
                <w:b/>
                <w:color w:val="000000"/>
                <w:sz w:val="24"/>
                <w:szCs w:val="24"/>
              </w:rPr>
            </w:pPr>
            <w:r w:rsidRPr="00CA0272">
              <w:rPr>
                <w:rFonts w:ascii="Times New Roman" w:hAnsi="Times New Roman"/>
                <w:b/>
                <w:sz w:val="24"/>
                <w:szCs w:val="24"/>
              </w:rPr>
              <w:t>AN TOÀN THỰC PHẨM</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jc w:val="both"/>
              <w:rPr>
                <w:rFonts w:ascii="Times New Roman" w:eastAsia="Times New Roman" w:hAnsi="Times New Roman"/>
                <w:b/>
                <w:color w:val="000000"/>
                <w:sz w:val="24"/>
                <w:szCs w:val="24"/>
              </w:rPr>
            </w:pPr>
          </w:p>
        </w:tc>
        <w:tc>
          <w:tcPr>
            <w:tcW w:w="1805" w:type="dxa"/>
            <w:vMerge w:val="restart"/>
            <w:tcBorders>
              <w:top w:val="single" w:sz="4" w:space="0" w:color="auto"/>
              <w:left w:val="single" w:sz="4" w:space="0" w:color="auto"/>
              <w:right w:val="single" w:sz="4" w:space="0" w:color="auto"/>
            </w:tcBorders>
          </w:tcPr>
          <w:p w:rsidR="007254ED" w:rsidRPr="00CA0272" w:rsidRDefault="007254ED" w:rsidP="00FD2BCE">
            <w:pPr>
              <w:pStyle w:val="ListParagraph"/>
              <w:ind w:left="0"/>
              <w:jc w:val="both"/>
              <w:rPr>
                <w:szCs w:val="24"/>
              </w:rPr>
            </w:pPr>
            <w:r w:rsidRPr="00CA0272">
              <w:rPr>
                <w:szCs w:val="24"/>
              </w:rPr>
              <w:t>Thông tư số 50/2016/TT-BYT ngày 30/12/2016 của Bộ Y tế Quy định giới hạn tối đa dư lượng thuốc bảo vệ thực vật trong thực phẩm</w:t>
            </w: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 xml:space="preserve">Quy chuẩn kỹ thuật quốc gia đối giới hạn ô nhiễm độc tố vi nấm trong thực phẩm </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QCVN số 8-1:2011/BYT</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Quy chuẩn kỹ thuật quốc gia đối giới hạn ô nhiễm kim loại nặng trong thực phẩm</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QCVN số 8-2:2011/BYT</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Quy chuẩn kỹ thuật quốc gia đối với ô nhiễm vi sinh vật trong thực phẩm.</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QCVN 8-3: 2012/BYT</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Thực phẩm chiếu xạ – Yêu cầu chung</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TCVN 7247:2008 (CODEX STAN 106-1983, Rev. 1-2003)</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Tiêu chuẩn chung đối với các chất nhiễm bẩn và các độc tố trong thực phẩm</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TCVN 4832:2009</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quy chuẩn kỹ thuật quốc gia về cà phê nhân – các chỉ tiêu vệ sinh an toàn thực phẩm</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QCVN 01-26: 2010/BNNPTNT</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quy chuẩn kỹ thuật quốc gia về nhân hạt điều – các chỉ tiêu vệ sinh an toàn thực phẩm</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QCVN 01-27:2010/BNNPTNT</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quy chuẩn kỹ thuật quốc gia đối với các sản phẩm đồ uống không cồn</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QCVN 6-2:2010/BYT</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chè (Camellia sinensis (L.) O. Kuntze) túi  lọc</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TCVN 7974:2008</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r w:rsidR="007254ED" w:rsidRPr="00CA0272" w:rsidTr="00FD2BCE">
        <w:tc>
          <w:tcPr>
            <w:tcW w:w="675"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numPr>
                <w:ilvl w:val="0"/>
                <w:numId w:val="5"/>
              </w:numPr>
              <w:spacing w:after="0" w:line="240" w:lineRule="auto"/>
              <w:ind w:hanging="720"/>
              <w:jc w:val="center"/>
              <w:rPr>
                <w:rFonts w:ascii="Times New Roman" w:hAnsi="Times New Roman"/>
                <w:sz w:val="24"/>
                <w:szCs w:val="24"/>
              </w:rPr>
            </w:pPr>
          </w:p>
        </w:tc>
        <w:tc>
          <w:tcPr>
            <w:tcW w:w="968"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spacing w:after="0" w:line="240" w:lineRule="auto"/>
              <w:rPr>
                <w:rFonts w:ascii="Times New Roman" w:hAnsi="Times New Roman"/>
                <w:sz w:val="24"/>
                <w:szCs w:val="24"/>
              </w:rPr>
            </w:pPr>
          </w:p>
        </w:tc>
        <w:tc>
          <w:tcPr>
            <w:tcW w:w="7740" w:type="dxa"/>
            <w:tcBorders>
              <w:top w:val="single" w:sz="4" w:space="0" w:color="auto"/>
              <w:left w:val="single" w:sz="4" w:space="0" w:color="auto"/>
              <w:bottom w:val="single" w:sz="4" w:space="0" w:color="auto"/>
              <w:right w:val="single" w:sz="4" w:space="0" w:color="auto"/>
            </w:tcBorders>
            <w:shd w:val="clear" w:color="auto" w:fill="auto"/>
          </w:tcPr>
          <w:p w:rsidR="007254ED" w:rsidRPr="00CA0272" w:rsidRDefault="007254ED" w:rsidP="00FD2BCE">
            <w:pPr>
              <w:pStyle w:val="ListParagraph"/>
              <w:ind w:left="0"/>
              <w:jc w:val="both"/>
              <w:rPr>
                <w:szCs w:val="24"/>
              </w:rPr>
            </w:pPr>
            <w:r w:rsidRPr="00CA0272">
              <w:rPr>
                <w:szCs w:val="24"/>
              </w:rPr>
              <w:t>gạo trắng – yêu cầu kỹ thuật</w:t>
            </w:r>
          </w:p>
        </w:tc>
        <w:tc>
          <w:tcPr>
            <w:tcW w:w="4050" w:type="dxa"/>
            <w:tcBorders>
              <w:top w:val="single" w:sz="4" w:space="0" w:color="auto"/>
              <w:left w:val="single" w:sz="4" w:space="0" w:color="auto"/>
              <w:bottom w:val="single" w:sz="4" w:space="0" w:color="auto"/>
              <w:right w:val="single" w:sz="4" w:space="0" w:color="auto"/>
            </w:tcBorders>
            <w:shd w:val="clear" w:color="auto" w:fill="auto"/>
            <w:vAlign w:val="center"/>
          </w:tcPr>
          <w:p w:rsidR="007254ED" w:rsidRPr="00CA0272" w:rsidRDefault="007254ED" w:rsidP="00FD2BCE">
            <w:pPr>
              <w:spacing w:after="0" w:line="240" w:lineRule="auto"/>
              <w:rPr>
                <w:rFonts w:ascii="Times New Roman" w:eastAsia="Times New Roman" w:hAnsi="Times New Roman"/>
                <w:color w:val="000000"/>
                <w:sz w:val="24"/>
                <w:szCs w:val="24"/>
              </w:rPr>
            </w:pPr>
            <w:r w:rsidRPr="00CA0272">
              <w:rPr>
                <w:rFonts w:ascii="Times New Roman" w:hAnsi="Times New Roman"/>
                <w:sz w:val="24"/>
                <w:szCs w:val="24"/>
              </w:rPr>
              <w:t>TCVN 5644:2008</w:t>
            </w:r>
          </w:p>
        </w:tc>
        <w:tc>
          <w:tcPr>
            <w:tcW w:w="1805" w:type="dxa"/>
            <w:vMerge/>
            <w:tcBorders>
              <w:left w:val="single" w:sz="4" w:space="0" w:color="auto"/>
              <w:right w:val="single" w:sz="4" w:space="0" w:color="auto"/>
            </w:tcBorders>
          </w:tcPr>
          <w:p w:rsidR="007254ED" w:rsidRPr="00CA0272" w:rsidRDefault="007254ED" w:rsidP="00FD2BCE">
            <w:pPr>
              <w:spacing w:after="0" w:line="240" w:lineRule="auto"/>
              <w:rPr>
                <w:rFonts w:ascii="Times New Roman" w:hAnsi="Times New Roman"/>
                <w:sz w:val="24"/>
                <w:szCs w:val="24"/>
              </w:rPr>
            </w:pPr>
          </w:p>
        </w:tc>
      </w:tr>
    </w:tbl>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Pr="00CA0272" w:rsidRDefault="007254ED" w:rsidP="007254ED">
      <w:pPr>
        <w:rPr>
          <w:sz w:val="24"/>
          <w:szCs w:val="24"/>
        </w:rPr>
      </w:pPr>
    </w:p>
    <w:p w:rsidR="007254ED" w:rsidRDefault="007254ED" w:rsidP="007254ED"/>
    <w:p w:rsidR="007254ED" w:rsidRDefault="007254ED" w:rsidP="007254ED"/>
    <w:p w:rsidR="007254ED" w:rsidRDefault="007254ED" w:rsidP="007254ED"/>
    <w:p w:rsidR="009237A2" w:rsidRDefault="009237A2"/>
    <w:sectPr w:rsidR="009237A2" w:rsidSect="00E56CC3">
      <w:footerReference w:type="default" r:id="rId100"/>
      <w:pgSz w:w="16840" w:h="11907" w:orient="landscape" w:code="9"/>
      <w:pgMar w:top="993" w:right="1134" w:bottom="900" w:left="1134" w:header="72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CC3" w:rsidRPr="00E56CC3" w:rsidRDefault="007254ED">
    <w:pPr>
      <w:pStyle w:val="Footer"/>
      <w:jc w:val="right"/>
      <w:rPr>
        <w:rFonts w:ascii="Times New Roman" w:hAnsi="Times New Roman"/>
      </w:rPr>
    </w:pPr>
    <w:r w:rsidRPr="00E56CC3">
      <w:rPr>
        <w:rFonts w:ascii="Times New Roman" w:hAnsi="Times New Roman"/>
      </w:rPr>
      <w:fldChar w:fldCharType="begin"/>
    </w:r>
    <w:r w:rsidRPr="00E56CC3">
      <w:rPr>
        <w:rFonts w:ascii="Times New Roman" w:hAnsi="Times New Roman"/>
      </w:rPr>
      <w:instrText xml:space="preserve"> PAGE   \* MERGEFORMAT </w:instrText>
    </w:r>
    <w:r w:rsidRPr="00E56CC3">
      <w:rPr>
        <w:rFonts w:ascii="Times New Roman" w:hAnsi="Times New Roman"/>
      </w:rPr>
      <w:fldChar w:fldCharType="separate"/>
    </w:r>
    <w:r>
      <w:rPr>
        <w:rFonts w:ascii="Times New Roman" w:hAnsi="Times New Roman"/>
        <w:noProof/>
      </w:rPr>
      <w:t>1</w:t>
    </w:r>
    <w:r w:rsidRPr="00E56CC3">
      <w:rPr>
        <w:rFonts w:ascii="Times New Roman" w:hAnsi="Times New Roman"/>
        <w:noProof/>
      </w:rPr>
      <w:fldChar w:fldCharType="end"/>
    </w:r>
  </w:p>
  <w:p w:rsidR="00E56CC3" w:rsidRDefault="007254ED">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C0F2F"/>
    <w:multiLevelType w:val="hybridMultilevel"/>
    <w:tmpl w:val="759C4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82187B"/>
    <w:multiLevelType w:val="hybridMultilevel"/>
    <w:tmpl w:val="9EDE26AA"/>
    <w:lvl w:ilvl="0" w:tplc="FDD8D226">
      <w:start w:val="1"/>
      <w:numFmt w:val="decimal"/>
      <w:lvlText w:val="%1."/>
      <w:lvlJc w:val="left"/>
      <w:pPr>
        <w:ind w:left="1081" w:hanging="360"/>
      </w:pPr>
      <w:rPr>
        <w:rFonts w:hint="default"/>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2">
    <w:nsid w:val="55BD0C55"/>
    <w:multiLevelType w:val="hybridMultilevel"/>
    <w:tmpl w:val="8AFC5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E74830"/>
    <w:multiLevelType w:val="hybridMultilevel"/>
    <w:tmpl w:val="2A8EF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A0047A"/>
    <w:multiLevelType w:val="hybridMultilevel"/>
    <w:tmpl w:val="2A8EF0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compat/>
  <w:rsids>
    <w:rsidRoot w:val="007254ED"/>
    <w:rsid w:val="000C324E"/>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70162"/>
    <w:rsid w:val="00677708"/>
    <w:rsid w:val="006B2AED"/>
    <w:rsid w:val="006B5093"/>
    <w:rsid w:val="006B6715"/>
    <w:rsid w:val="006D25D3"/>
    <w:rsid w:val="006D48A4"/>
    <w:rsid w:val="007079F3"/>
    <w:rsid w:val="007254ED"/>
    <w:rsid w:val="008129AE"/>
    <w:rsid w:val="0085659D"/>
    <w:rsid w:val="008A4F2C"/>
    <w:rsid w:val="008D354D"/>
    <w:rsid w:val="009237A2"/>
    <w:rsid w:val="0095595B"/>
    <w:rsid w:val="0096147F"/>
    <w:rsid w:val="009F30C9"/>
    <w:rsid w:val="00A47B95"/>
    <w:rsid w:val="00A95CC5"/>
    <w:rsid w:val="00AA70D6"/>
    <w:rsid w:val="00B222FF"/>
    <w:rsid w:val="00B70F95"/>
    <w:rsid w:val="00BD4964"/>
    <w:rsid w:val="00C3352C"/>
    <w:rsid w:val="00CC7022"/>
    <w:rsid w:val="00D11E68"/>
    <w:rsid w:val="00D22C2B"/>
    <w:rsid w:val="00DC7603"/>
    <w:rsid w:val="00DF5DC8"/>
    <w:rsid w:val="00E21A23"/>
    <w:rsid w:val="00E451C8"/>
    <w:rsid w:val="00E540D5"/>
    <w:rsid w:val="00E953C4"/>
    <w:rsid w:val="00EC2CA8"/>
    <w:rsid w:val="00ED1914"/>
    <w:rsid w:val="00EE4A17"/>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54ED"/>
    <w:pPr>
      <w:spacing w:before="0" w:after="200" w:line="276" w:lineRule="auto"/>
      <w:ind w:firstLine="0"/>
      <w:jc w:val="left"/>
    </w:pPr>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7254ED"/>
  </w:style>
  <w:style w:type="character" w:styleId="Hyperlink">
    <w:name w:val="Hyperlink"/>
    <w:uiPriority w:val="99"/>
    <w:semiHidden/>
    <w:unhideWhenUsed/>
    <w:rsid w:val="007254ED"/>
    <w:rPr>
      <w:color w:val="0000FF"/>
      <w:u w:val="single"/>
    </w:rPr>
  </w:style>
  <w:style w:type="paragraph" w:styleId="Header">
    <w:name w:val="header"/>
    <w:basedOn w:val="Normal"/>
    <w:link w:val="HeaderChar"/>
    <w:uiPriority w:val="99"/>
    <w:unhideWhenUsed/>
    <w:rsid w:val="007254ED"/>
    <w:pPr>
      <w:tabs>
        <w:tab w:val="center" w:pos="4680"/>
        <w:tab w:val="right" w:pos="9360"/>
      </w:tabs>
    </w:pPr>
    <w:rPr>
      <w:lang/>
    </w:rPr>
  </w:style>
  <w:style w:type="character" w:customStyle="1" w:styleId="HeaderChar">
    <w:name w:val="Header Char"/>
    <w:basedOn w:val="DefaultParagraphFont"/>
    <w:link w:val="Header"/>
    <w:uiPriority w:val="99"/>
    <w:rsid w:val="007254ED"/>
    <w:rPr>
      <w:rFonts w:ascii="Calibri" w:eastAsia="Calibri" w:hAnsi="Calibri" w:cs="Times New Roman"/>
      <w:sz w:val="22"/>
      <w:lang/>
    </w:rPr>
  </w:style>
  <w:style w:type="paragraph" w:styleId="Footer">
    <w:name w:val="footer"/>
    <w:basedOn w:val="Normal"/>
    <w:link w:val="FooterChar"/>
    <w:uiPriority w:val="99"/>
    <w:unhideWhenUsed/>
    <w:rsid w:val="007254ED"/>
    <w:pPr>
      <w:tabs>
        <w:tab w:val="center" w:pos="4680"/>
        <w:tab w:val="right" w:pos="9360"/>
      </w:tabs>
    </w:pPr>
    <w:rPr>
      <w:lang/>
    </w:rPr>
  </w:style>
  <w:style w:type="character" w:customStyle="1" w:styleId="FooterChar">
    <w:name w:val="Footer Char"/>
    <w:basedOn w:val="DefaultParagraphFont"/>
    <w:link w:val="Footer"/>
    <w:uiPriority w:val="99"/>
    <w:rsid w:val="007254ED"/>
    <w:rPr>
      <w:rFonts w:ascii="Calibri" w:eastAsia="Calibri" w:hAnsi="Calibri" w:cs="Times New Roman"/>
      <w:sz w:val="22"/>
      <w:lang/>
    </w:rPr>
  </w:style>
  <w:style w:type="paragraph" w:styleId="ListParagraph">
    <w:name w:val="List Paragraph"/>
    <w:basedOn w:val="Normal"/>
    <w:uiPriority w:val="34"/>
    <w:qFormat/>
    <w:rsid w:val="007254ED"/>
    <w:pPr>
      <w:spacing w:after="80"/>
      <w:ind w:left="720"/>
      <w:contextualSpacing/>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ippc.int/en/publications/599/" TargetMode="External"/><Relationship Id="rId21" Type="http://schemas.openxmlformats.org/officeDocument/2006/relationships/hyperlink" Target="https://www.ippc.int/en/publications/606/" TargetMode="External"/><Relationship Id="rId34" Type="http://schemas.openxmlformats.org/officeDocument/2006/relationships/hyperlink" Target="https://www.ippc.int/en/publications/2457/" TargetMode="External"/><Relationship Id="rId42" Type="http://schemas.openxmlformats.org/officeDocument/2006/relationships/hyperlink" Target="https://www.ippc.int/en/publications/82349/" TargetMode="External"/><Relationship Id="rId47" Type="http://schemas.openxmlformats.org/officeDocument/2006/relationships/hyperlink" Target="https://www.ippc.int/en/publications/83447/" TargetMode="External"/><Relationship Id="rId50" Type="http://schemas.openxmlformats.org/officeDocument/2006/relationships/hyperlink" Target="https://www.ippc.int/en/publications/84161/" TargetMode="External"/><Relationship Id="rId55" Type="http://schemas.openxmlformats.org/officeDocument/2006/relationships/hyperlink" Target="https://www.ippc.int/en/publications/591/" TargetMode="External"/><Relationship Id="rId63" Type="http://schemas.openxmlformats.org/officeDocument/2006/relationships/hyperlink" Target="https://www.ippc.int/en/publications/634/" TargetMode="External"/><Relationship Id="rId68" Type="http://schemas.openxmlformats.org/officeDocument/2006/relationships/hyperlink" Target="https://www.ippc.int/en/publications/624/" TargetMode="External"/><Relationship Id="rId76" Type="http://schemas.openxmlformats.org/officeDocument/2006/relationships/hyperlink" Target="https://www.ippc.int/en/publications/82519/" TargetMode="External"/><Relationship Id="rId84" Type="http://schemas.openxmlformats.org/officeDocument/2006/relationships/hyperlink" Target="https://www.ippc.int/en/publications/84355/" TargetMode="External"/><Relationship Id="rId89" Type="http://schemas.openxmlformats.org/officeDocument/2006/relationships/hyperlink" Target="https://www.ippc.int/en/publications/588/" TargetMode="External"/><Relationship Id="rId97" Type="http://schemas.openxmlformats.org/officeDocument/2006/relationships/hyperlink" Target="https://www.ippc.int/en/publications/84341/" TargetMode="External"/><Relationship Id="rId7" Type="http://schemas.openxmlformats.org/officeDocument/2006/relationships/hyperlink" Target="https://www.ippc.int/en/publications/600/" TargetMode="External"/><Relationship Id="rId71" Type="http://schemas.openxmlformats.org/officeDocument/2006/relationships/hyperlink" Target="https://www.ippc.int/en/publications/80921/" TargetMode="External"/><Relationship Id="rId92" Type="http://schemas.openxmlformats.org/officeDocument/2006/relationships/hyperlink" Target="https://www.ippc.int/en/publications/617/" TargetMode="External"/><Relationship Id="rId2" Type="http://schemas.openxmlformats.org/officeDocument/2006/relationships/styles" Target="styles.xml"/><Relationship Id="rId16" Type="http://schemas.openxmlformats.org/officeDocument/2006/relationships/hyperlink" Target="https://www.ippc.int/en/publications/609/" TargetMode="External"/><Relationship Id="rId29" Type="http://schemas.openxmlformats.org/officeDocument/2006/relationships/hyperlink" Target="https://www.ippc.int/en/publications/595/" TargetMode="External"/><Relationship Id="rId11" Type="http://schemas.openxmlformats.org/officeDocument/2006/relationships/hyperlink" Target="https://www.ippc.int/en/publications/613/" TargetMode="External"/><Relationship Id="rId24" Type="http://schemas.openxmlformats.org/officeDocument/2006/relationships/hyperlink" Target="https://www.ippc.int/en/publications/602/" TargetMode="External"/><Relationship Id="rId32" Type="http://schemas.openxmlformats.org/officeDocument/2006/relationships/hyperlink" Target="https://www.ippc.int/en/publications/637/" TargetMode="External"/><Relationship Id="rId37" Type="http://schemas.openxmlformats.org/officeDocument/2006/relationships/hyperlink" Target="https://www.ippc.int/en/publications/8073/" TargetMode="External"/><Relationship Id="rId40" Type="http://schemas.openxmlformats.org/officeDocument/2006/relationships/hyperlink" Target="https://www.ippc.int/en/publications/82347/" TargetMode="External"/><Relationship Id="rId45" Type="http://schemas.openxmlformats.org/officeDocument/2006/relationships/hyperlink" Target="https://www.ippc.int/en/publications/83445/" TargetMode="External"/><Relationship Id="rId53" Type="http://schemas.openxmlformats.org/officeDocument/2006/relationships/hyperlink" Target="https://www.ippc.int/en/publications/84970/" TargetMode="External"/><Relationship Id="rId58" Type="http://schemas.openxmlformats.org/officeDocument/2006/relationships/hyperlink" Target="https://www.ippc.int/en/publications/629/" TargetMode="External"/><Relationship Id="rId66" Type="http://schemas.openxmlformats.org/officeDocument/2006/relationships/hyperlink" Target="https://www.ippc.int/en/publications/620/" TargetMode="External"/><Relationship Id="rId74" Type="http://schemas.openxmlformats.org/officeDocument/2006/relationships/hyperlink" Target="https://www.ippc.int/en/publications/80924/" TargetMode="External"/><Relationship Id="rId79" Type="http://schemas.openxmlformats.org/officeDocument/2006/relationships/hyperlink" Target="https://www.ippc.int/en/publications/84350/" TargetMode="External"/><Relationship Id="rId87" Type="http://schemas.openxmlformats.org/officeDocument/2006/relationships/hyperlink" Target="https://www.ippc.int/en/publications/590/" TargetMode="External"/><Relationship Id="rId102" Type="http://schemas.openxmlformats.org/officeDocument/2006/relationships/theme" Target="theme/theme1.xml"/><Relationship Id="rId5" Type="http://schemas.openxmlformats.org/officeDocument/2006/relationships/hyperlink" Target="https://www.ippc.int/en/publications/596/" TargetMode="External"/><Relationship Id="rId61" Type="http://schemas.openxmlformats.org/officeDocument/2006/relationships/hyperlink" Target="https://www.ippc.int/en/publications/632/" TargetMode="External"/><Relationship Id="rId82" Type="http://schemas.openxmlformats.org/officeDocument/2006/relationships/hyperlink" Target="https://www.ippc.int/en/publications/84353/" TargetMode="External"/><Relationship Id="rId90" Type="http://schemas.openxmlformats.org/officeDocument/2006/relationships/hyperlink" Target="https://www.ippc.int/en/publications/587/" TargetMode="External"/><Relationship Id="rId95" Type="http://schemas.openxmlformats.org/officeDocument/2006/relationships/hyperlink" Target="https://www.ippc.int/en/publications/82520/" TargetMode="External"/><Relationship Id="rId19" Type="http://schemas.openxmlformats.org/officeDocument/2006/relationships/hyperlink" Target="https://www.ippc.int/en/publications/640/" TargetMode="External"/><Relationship Id="rId14" Type="http://schemas.openxmlformats.org/officeDocument/2006/relationships/hyperlink" Target="https://www.ippc.int/en/publications/610/" TargetMode="External"/><Relationship Id="rId22" Type="http://schemas.openxmlformats.org/officeDocument/2006/relationships/hyperlink" Target="https://www.ippc.int/en/publications/604/" TargetMode="External"/><Relationship Id="rId27" Type="http://schemas.openxmlformats.org/officeDocument/2006/relationships/hyperlink" Target="https://www.ippc.int/en/publications/598/" TargetMode="External"/><Relationship Id="rId30" Type="http://schemas.openxmlformats.org/officeDocument/2006/relationships/hyperlink" Target="https://www.ippc.int/en/publications/594/" TargetMode="External"/><Relationship Id="rId35" Type="http://schemas.openxmlformats.org/officeDocument/2006/relationships/hyperlink" Target="https://www.ippc.int/en/publications/2577/" TargetMode="External"/><Relationship Id="rId43" Type="http://schemas.openxmlformats.org/officeDocument/2006/relationships/hyperlink" Target="https://www.ippc.int/en/publications/83443/" TargetMode="External"/><Relationship Id="rId48" Type="http://schemas.openxmlformats.org/officeDocument/2006/relationships/hyperlink" Target="https://www.ippc.int/en/publications/84155/" TargetMode="External"/><Relationship Id="rId56" Type="http://schemas.openxmlformats.org/officeDocument/2006/relationships/hyperlink" Target="https://www.ippc.int/en/publications/627/" TargetMode="External"/><Relationship Id="rId64" Type="http://schemas.openxmlformats.org/officeDocument/2006/relationships/hyperlink" Target="https://www.ippc.int/en/publications/618/" TargetMode="External"/><Relationship Id="rId69" Type="http://schemas.openxmlformats.org/officeDocument/2006/relationships/hyperlink" Target="https://www.ippc.int/en/publications/625/" TargetMode="External"/><Relationship Id="rId77" Type="http://schemas.openxmlformats.org/officeDocument/2006/relationships/hyperlink" Target="https://www.ippc.int/en/publications/84348/" TargetMode="External"/><Relationship Id="rId100" Type="http://schemas.openxmlformats.org/officeDocument/2006/relationships/footer" Target="footer1.xml"/><Relationship Id="rId8" Type="http://schemas.openxmlformats.org/officeDocument/2006/relationships/hyperlink" Target="https://www.ippc.int/en/publications/614/" TargetMode="External"/><Relationship Id="rId51" Type="http://schemas.openxmlformats.org/officeDocument/2006/relationships/hyperlink" Target="https://www.ippc.int/en/publications/84157/" TargetMode="External"/><Relationship Id="rId72" Type="http://schemas.openxmlformats.org/officeDocument/2006/relationships/hyperlink" Target="https://www.ippc.int/en/publications/80922/" TargetMode="External"/><Relationship Id="rId80" Type="http://schemas.openxmlformats.org/officeDocument/2006/relationships/hyperlink" Target="https://www.ippc.int/en/publications/84351/" TargetMode="External"/><Relationship Id="rId85" Type="http://schemas.openxmlformats.org/officeDocument/2006/relationships/hyperlink" Target="https://www.ippc.int/en/publications/84356/" TargetMode="External"/><Relationship Id="rId93" Type="http://schemas.openxmlformats.org/officeDocument/2006/relationships/hyperlink" Target="https://www.ippc.int/en/publications/635/" TargetMode="External"/><Relationship Id="rId98" Type="http://schemas.openxmlformats.org/officeDocument/2006/relationships/hyperlink" Target="https://www.ippc.int/en/publications/84342/" TargetMode="External"/><Relationship Id="rId3" Type="http://schemas.openxmlformats.org/officeDocument/2006/relationships/settings" Target="settings.xml"/><Relationship Id="rId12" Type="http://schemas.openxmlformats.org/officeDocument/2006/relationships/hyperlink" Target="https://www.ippc.int/en/publications/612/" TargetMode="External"/><Relationship Id="rId17" Type="http://schemas.openxmlformats.org/officeDocument/2006/relationships/hyperlink" Target="https://www.ippc.int/en/publications/608/" TargetMode="External"/><Relationship Id="rId25" Type="http://schemas.openxmlformats.org/officeDocument/2006/relationships/hyperlink" Target="https://www.ippc.int/en/publications/601/" TargetMode="External"/><Relationship Id="rId33" Type="http://schemas.openxmlformats.org/officeDocument/2006/relationships/hyperlink" Target="https://www.ippc.int/en/publications/638/" TargetMode="External"/><Relationship Id="rId38" Type="http://schemas.openxmlformats.org/officeDocument/2006/relationships/hyperlink" Target="https://www.ippc.int/en/publications/81501/" TargetMode="External"/><Relationship Id="rId46" Type="http://schemas.openxmlformats.org/officeDocument/2006/relationships/hyperlink" Target="https://www.ippc.int/en/publications/83446/" TargetMode="External"/><Relationship Id="rId59" Type="http://schemas.openxmlformats.org/officeDocument/2006/relationships/hyperlink" Target="https://www.ippc.int/en/publications/630/" TargetMode="External"/><Relationship Id="rId67" Type="http://schemas.openxmlformats.org/officeDocument/2006/relationships/hyperlink" Target="https://www.ippc.int/en/publications/623/" TargetMode="External"/><Relationship Id="rId20" Type="http://schemas.openxmlformats.org/officeDocument/2006/relationships/hyperlink" Target="https://www.ippc.int/en/publications/605/" TargetMode="External"/><Relationship Id="rId41" Type="http://schemas.openxmlformats.org/officeDocument/2006/relationships/hyperlink" Target="https://www.ippc.int/en/publications/82348/" TargetMode="External"/><Relationship Id="rId54" Type="http://schemas.openxmlformats.org/officeDocument/2006/relationships/hyperlink" Target="https://www.ippc.int/en/publications/84996/" TargetMode="External"/><Relationship Id="rId62" Type="http://schemas.openxmlformats.org/officeDocument/2006/relationships/hyperlink" Target="https://www.ippc.int/en/publications/633/" TargetMode="External"/><Relationship Id="rId70" Type="http://schemas.openxmlformats.org/officeDocument/2006/relationships/hyperlink" Target="https://www.ippc.int/en/publications/2501/" TargetMode="External"/><Relationship Id="rId75" Type="http://schemas.openxmlformats.org/officeDocument/2006/relationships/hyperlink" Target="https://www.ippc.int/en/publications/82518/" TargetMode="External"/><Relationship Id="rId83" Type="http://schemas.openxmlformats.org/officeDocument/2006/relationships/hyperlink" Target="https://www.ippc.int/en/publications/84354/" TargetMode="External"/><Relationship Id="rId88" Type="http://schemas.openxmlformats.org/officeDocument/2006/relationships/hyperlink" Target="https://www.ippc.int/en/publications/589/" TargetMode="External"/><Relationship Id="rId91" Type="http://schemas.openxmlformats.org/officeDocument/2006/relationships/hyperlink" Target="https://www.ippc.int/en/publications/616/" TargetMode="External"/><Relationship Id="rId96" Type="http://schemas.openxmlformats.org/officeDocument/2006/relationships/hyperlink" Target="https://www.ippc.int/en/publications/84340/" TargetMode="External"/><Relationship Id="rId1" Type="http://schemas.openxmlformats.org/officeDocument/2006/relationships/numbering" Target="numbering.xml"/><Relationship Id="rId6" Type="http://schemas.openxmlformats.org/officeDocument/2006/relationships/hyperlink" Target="https://www.ippc.int/en/publications/592/" TargetMode="External"/><Relationship Id="rId15" Type="http://schemas.openxmlformats.org/officeDocument/2006/relationships/hyperlink" Target="https://www.ippc.int/en/publications/639/" TargetMode="External"/><Relationship Id="rId23" Type="http://schemas.openxmlformats.org/officeDocument/2006/relationships/hyperlink" Target="https://www.ippc.int/en/publications/603/" TargetMode="External"/><Relationship Id="rId28" Type="http://schemas.openxmlformats.org/officeDocument/2006/relationships/hyperlink" Target="https://www.ippc.int/en/publications/597/" TargetMode="External"/><Relationship Id="rId36" Type="http://schemas.openxmlformats.org/officeDocument/2006/relationships/hyperlink" Target="https://www.ippc.int/en/publications/2578/" TargetMode="External"/><Relationship Id="rId49" Type="http://schemas.openxmlformats.org/officeDocument/2006/relationships/hyperlink" Target="https://www.ippc.int/en/publications/84156/" TargetMode="External"/><Relationship Id="rId57" Type="http://schemas.openxmlformats.org/officeDocument/2006/relationships/hyperlink" Target="https://www.ippc.int/en/publications/628/" TargetMode="External"/><Relationship Id="rId10" Type="http://schemas.openxmlformats.org/officeDocument/2006/relationships/hyperlink" Target="https://www.ippc.int/en/publications/615/" TargetMode="External"/><Relationship Id="rId31" Type="http://schemas.openxmlformats.org/officeDocument/2006/relationships/hyperlink" Target="https://www.ippc.int/en/publications/586/" TargetMode="External"/><Relationship Id="rId44" Type="http://schemas.openxmlformats.org/officeDocument/2006/relationships/hyperlink" Target="https://www.ippc.int/en/publications/83444/" TargetMode="External"/><Relationship Id="rId52" Type="http://schemas.openxmlformats.org/officeDocument/2006/relationships/hyperlink" Target="https://www.ippc.int/en/publications/84182/" TargetMode="External"/><Relationship Id="rId60" Type="http://schemas.openxmlformats.org/officeDocument/2006/relationships/hyperlink" Target="https://www.ippc.int/en/publications/631/" TargetMode="External"/><Relationship Id="rId65" Type="http://schemas.openxmlformats.org/officeDocument/2006/relationships/hyperlink" Target="https://www.ippc.int/en/publications/619/" TargetMode="External"/><Relationship Id="rId73" Type="http://schemas.openxmlformats.org/officeDocument/2006/relationships/hyperlink" Target="https://www.ippc.int/en/publications/80923/" TargetMode="External"/><Relationship Id="rId78" Type="http://schemas.openxmlformats.org/officeDocument/2006/relationships/hyperlink" Target="https://www.ippc.int/en/publications/84349/" TargetMode="External"/><Relationship Id="rId81" Type="http://schemas.openxmlformats.org/officeDocument/2006/relationships/hyperlink" Target="https://www.ippc.int/en/publications/84352/" TargetMode="External"/><Relationship Id="rId86" Type="http://schemas.openxmlformats.org/officeDocument/2006/relationships/hyperlink" Target="https://www.ippc.int/en/publications/84357/" TargetMode="External"/><Relationship Id="rId94" Type="http://schemas.openxmlformats.org/officeDocument/2006/relationships/hyperlink" Target="https://www.ippc.int/en/publications/636/" TargetMode="External"/><Relationship Id="rId99" Type="http://schemas.openxmlformats.org/officeDocument/2006/relationships/hyperlink" Target="https://www.ippc.int/en/publications/84343/"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ippc.int/en/publications/622/" TargetMode="External"/><Relationship Id="rId13" Type="http://schemas.openxmlformats.org/officeDocument/2006/relationships/hyperlink" Target="https://www.ippc.int/en/publications/611/" TargetMode="External"/><Relationship Id="rId18" Type="http://schemas.openxmlformats.org/officeDocument/2006/relationships/hyperlink" Target="https://www.ippc.int/en/publications/607/" TargetMode="External"/><Relationship Id="rId39" Type="http://schemas.openxmlformats.org/officeDocument/2006/relationships/hyperlink" Target="https://www.ippc.int/en/publications/815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6195</Words>
  <Characters>35314</Characters>
  <Application>Microsoft Office Word</Application>
  <DocSecurity>0</DocSecurity>
  <Lines>294</Lines>
  <Paragraphs>82</Paragraphs>
  <ScaleCrop>false</ScaleCrop>
  <Company/>
  <LinksUpToDate>false</LinksUpToDate>
  <CharactersWithSpaces>41427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2018-04-27T06:54:00Z</dcterms:created>
  <dcterms:modified xsi:type="dcterms:W3CDTF">2018-04-27T06:54:00Z</dcterms:modified>
</cp:coreProperties>
</file>