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3B" w:rsidRDefault="008F743B" w:rsidP="00914E8C">
      <w:pPr>
        <w:spacing w:before="120" w:after="120" w:line="240" w:lineRule="auto"/>
        <w:rPr>
          <w:rFonts w:ascii="Times New Roman" w:hAnsi="Times New Roman" w:cs="Times New Roman"/>
          <w:b/>
          <w:sz w:val="28"/>
          <w:szCs w:val="28"/>
          <w:lang w:val="en-US"/>
        </w:rPr>
      </w:pPr>
      <w:r w:rsidRPr="007274AC">
        <w:rPr>
          <w:rFonts w:ascii="Times New Roman" w:hAnsi="Times New Roman" w:cs="Times New Roman"/>
          <w:b/>
          <w:sz w:val="28"/>
          <w:szCs w:val="28"/>
          <w:lang w:val="en-US"/>
        </w:rPr>
        <w:t xml:space="preserve">PHỤ LỤC </w:t>
      </w:r>
      <w:r w:rsidR="001A4F6A">
        <w:rPr>
          <w:rFonts w:ascii="Times New Roman" w:hAnsi="Times New Roman" w:cs="Times New Roman"/>
          <w:b/>
          <w:sz w:val="28"/>
          <w:szCs w:val="28"/>
          <w:lang w:val="en-US"/>
        </w:rPr>
        <w:t>5</w:t>
      </w:r>
    </w:p>
    <w:p w:rsidR="00C63574" w:rsidRPr="00B30B2C" w:rsidRDefault="00C63574" w:rsidP="00B30B2C">
      <w:pPr>
        <w:spacing w:before="120" w:after="0"/>
        <w:jc w:val="center"/>
        <w:rPr>
          <w:rFonts w:ascii="Times New Roman" w:hAnsi="Times New Roman" w:cs="Times New Roman"/>
          <w:b/>
          <w:sz w:val="28"/>
          <w:szCs w:val="28"/>
        </w:rPr>
      </w:pPr>
      <w:r w:rsidRPr="00B30B2C">
        <w:rPr>
          <w:rFonts w:ascii="Times New Roman" w:hAnsi="Times New Roman" w:cs="Times New Roman"/>
          <w:b/>
          <w:sz w:val="28"/>
          <w:szCs w:val="28"/>
        </w:rPr>
        <w:t>ĐỀ XUẤT PHƯƠNG ÁN CẮT GIẢM, ĐƠN GIẢN ĐIỀU KIỆN ĐẦU TƯ, KINH DOANH</w:t>
      </w:r>
    </w:p>
    <w:p w:rsidR="008F743B" w:rsidRPr="00B30B2C" w:rsidRDefault="00C63574" w:rsidP="00E47DA6">
      <w:pPr>
        <w:spacing w:before="120" w:after="0"/>
        <w:jc w:val="center"/>
        <w:rPr>
          <w:rFonts w:ascii="Times New Roman" w:hAnsi="Times New Roman" w:cs="Times New Roman"/>
          <w:b/>
          <w:sz w:val="28"/>
          <w:szCs w:val="28"/>
        </w:rPr>
      </w:pPr>
      <w:r w:rsidRPr="00B30B2C">
        <w:rPr>
          <w:rFonts w:ascii="Times New Roman" w:hAnsi="Times New Roman" w:cs="Times New Roman"/>
          <w:b/>
          <w:sz w:val="28"/>
          <w:szCs w:val="28"/>
        </w:rPr>
        <w:t xml:space="preserve">THUỘC </w:t>
      </w:r>
      <w:r w:rsidR="00914E8C" w:rsidRPr="00C63574">
        <w:rPr>
          <w:rFonts w:ascii="Times New Roman" w:hAnsi="Times New Roman" w:cs="Times New Roman"/>
          <w:b/>
          <w:sz w:val="28"/>
          <w:szCs w:val="28"/>
        </w:rPr>
        <w:t>LĨNH VỰC</w:t>
      </w:r>
      <w:r w:rsidR="0025263E" w:rsidRPr="00C63574">
        <w:rPr>
          <w:rFonts w:ascii="Times New Roman" w:hAnsi="Times New Roman" w:cs="Times New Roman"/>
          <w:b/>
          <w:sz w:val="28"/>
          <w:szCs w:val="28"/>
        </w:rPr>
        <w:t xml:space="preserve"> </w:t>
      </w:r>
      <w:r w:rsidR="0063007B" w:rsidRPr="00C63574">
        <w:rPr>
          <w:rFonts w:ascii="Times New Roman" w:hAnsi="Times New Roman" w:cs="Times New Roman"/>
          <w:b/>
          <w:sz w:val="28"/>
          <w:szCs w:val="28"/>
        </w:rPr>
        <w:t xml:space="preserve">KẾ TOÁN, </w:t>
      </w:r>
      <w:r w:rsidR="00BE4639" w:rsidRPr="00C63574">
        <w:rPr>
          <w:rFonts w:ascii="Times New Roman" w:hAnsi="Times New Roman" w:cs="Times New Roman"/>
          <w:b/>
          <w:sz w:val="28"/>
          <w:szCs w:val="28"/>
        </w:rPr>
        <w:t>KIỂM TOÁN</w:t>
      </w:r>
    </w:p>
    <w:tbl>
      <w:tblPr>
        <w:tblpPr w:leftFromText="180" w:rightFromText="180" w:vertAnchor="text" w:horzAnchor="page" w:tblpX="1686" w:tblpY="46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59"/>
        <w:gridCol w:w="4951"/>
        <w:gridCol w:w="2137"/>
        <w:gridCol w:w="2835"/>
        <w:gridCol w:w="1984"/>
      </w:tblGrid>
      <w:tr w:rsidR="00CE14C8" w:rsidRPr="00801725" w:rsidTr="00623BFE">
        <w:tc>
          <w:tcPr>
            <w:tcW w:w="959" w:type="dxa"/>
            <w:vAlign w:val="center"/>
          </w:tcPr>
          <w:p w:rsidR="00CE14C8" w:rsidRPr="00801725" w:rsidRDefault="00CE14C8" w:rsidP="002D4F7B">
            <w:pPr>
              <w:spacing w:after="0" w:line="240" w:lineRule="auto"/>
              <w:jc w:val="center"/>
              <w:rPr>
                <w:rFonts w:asciiTheme="majorHAnsi" w:hAnsiTheme="majorHAnsi" w:cstheme="majorHAnsi"/>
                <w:b/>
                <w:sz w:val="28"/>
                <w:szCs w:val="28"/>
              </w:rPr>
            </w:pPr>
            <w:r w:rsidRPr="00801725">
              <w:rPr>
                <w:rFonts w:asciiTheme="majorHAnsi" w:hAnsiTheme="majorHAnsi" w:cstheme="majorHAnsi"/>
                <w:b/>
                <w:sz w:val="28"/>
                <w:szCs w:val="28"/>
              </w:rPr>
              <w:t>STT</w:t>
            </w:r>
          </w:p>
        </w:tc>
        <w:tc>
          <w:tcPr>
            <w:tcW w:w="1559" w:type="dxa"/>
            <w:vAlign w:val="center"/>
          </w:tcPr>
          <w:p w:rsidR="00CE14C8" w:rsidRPr="00801725" w:rsidRDefault="00CE14C8" w:rsidP="002D4F7B">
            <w:pPr>
              <w:spacing w:after="0" w:line="240" w:lineRule="auto"/>
              <w:jc w:val="center"/>
              <w:rPr>
                <w:rFonts w:asciiTheme="majorHAnsi" w:hAnsiTheme="majorHAnsi" w:cstheme="majorHAnsi"/>
                <w:b/>
                <w:sz w:val="28"/>
                <w:szCs w:val="28"/>
                <w:lang w:val="en-US"/>
              </w:rPr>
            </w:pPr>
            <w:r w:rsidRPr="00801725">
              <w:rPr>
                <w:rFonts w:asciiTheme="majorHAnsi" w:hAnsiTheme="majorHAnsi" w:cstheme="majorHAnsi"/>
                <w:b/>
                <w:sz w:val="28"/>
                <w:szCs w:val="28"/>
              </w:rPr>
              <w:t>Ngành, nghề</w:t>
            </w:r>
          </w:p>
        </w:tc>
        <w:tc>
          <w:tcPr>
            <w:tcW w:w="4951" w:type="dxa"/>
            <w:vAlign w:val="center"/>
          </w:tcPr>
          <w:p w:rsidR="00CE14C8" w:rsidRPr="00801725" w:rsidRDefault="00CE14C8" w:rsidP="002D4F7B">
            <w:pPr>
              <w:spacing w:after="0" w:line="240" w:lineRule="auto"/>
              <w:jc w:val="center"/>
              <w:rPr>
                <w:rFonts w:asciiTheme="majorHAnsi" w:hAnsiTheme="majorHAnsi" w:cstheme="majorHAnsi"/>
                <w:b/>
                <w:sz w:val="28"/>
                <w:szCs w:val="28"/>
                <w:lang w:val="en-US"/>
              </w:rPr>
            </w:pPr>
            <w:r w:rsidRPr="00801725">
              <w:rPr>
                <w:rFonts w:asciiTheme="majorHAnsi" w:hAnsiTheme="majorHAnsi" w:cstheme="majorHAnsi"/>
                <w:b/>
                <w:sz w:val="28"/>
                <w:szCs w:val="28"/>
              </w:rPr>
              <w:t>Điều kiện đầu tư kinh doanh</w:t>
            </w:r>
          </w:p>
        </w:tc>
        <w:tc>
          <w:tcPr>
            <w:tcW w:w="2137" w:type="dxa"/>
            <w:vAlign w:val="center"/>
          </w:tcPr>
          <w:p w:rsidR="00CE14C8" w:rsidRPr="00801725" w:rsidRDefault="00CE14C8" w:rsidP="002D4F7B">
            <w:pPr>
              <w:spacing w:after="0" w:line="240" w:lineRule="auto"/>
              <w:jc w:val="center"/>
              <w:rPr>
                <w:rFonts w:asciiTheme="majorHAnsi" w:hAnsiTheme="majorHAnsi" w:cstheme="majorHAnsi"/>
                <w:b/>
                <w:sz w:val="28"/>
                <w:szCs w:val="28"/>
              </w:rPr>
            </w:pPr>
            <w:r w:rsidRPr="00801725">
              <w:rPr>
                <w:rFonts w:asciiTheme="majorHAnsi" w:hAnsiTheme="majorHAnsi" w:cstheme="majorHAnsi"/>
                <w:b/>
                <w:sz w:val="28"/>
                <w:szCs w:val="28"/>
              </w:rPr>
              <w:t xml:space="preserve">Căn cứ pháp lý </w:t>
            </w:r>
          </w:p>
        </w:tc>
        <w:tc>
          <w:tcPr>
            <w:tcW w:w="2835" w:type="dxa"/>
            <w:vAlign w:val="center"/>
          </w:tcPr>
          <w:p w:rsidR="00CE14C8" w:rsidRPr="00801725" w:rsidRDefault="00D63688" w:rsidP="002D4F7B">
            <w:pPr>
              <w:spacing w:line="240" w:lineRule="auto"/>
              <w:jc w:val="center"/>
              <w:rPr>
                <w:rFonts w:asciiTheme="majorHAnsi" w:hAnsiTheme="majorHAnsi" w:cstheme="majorHAnsi"/>
                <w:b/>
                <w:sz w:val="28"/>
                <w:szCs w:val="28"/>
              </w:rPr>
            </w:pPr>
            <w:r w:rsidRPr="00801725">
              <w:rPr>
                <w:rFonts w:asciiTheme="majorHAnsi" w:hAnsiTheme="majorHAnsi" w:cstheme="majorHAnsi"/>
                <w:b/>
                <w:sz w:val="28"/>
                <w:szCs w:val="28"/>
              </w:rPr>
              <w:t>Đề xuất phương án, cắt giảm, đơn giản hoá</w:t>
            </w:r>
          </w:p>
        </w:tc>
        <w:tc>
          <w:tcPr>
            <w:tcW w:w="1984" w:type="dxa"/>
            <w:vAlign w:val="center"/>
          </w:tcPr>
          <w:p w:rsidR="00CE14C8" w:rsidRPr="00801725" w:rsidRDefault="00E16972" w:rsidP="002D4F7B">
            <w:pPr>
              <w:spacing w:line="240" w:lineRule="auto"/>
              <w:jc w:val="center"/>
              <w:rPr>
                <w:rFonts w:asciiTheme="majorHAnsi" w:hAnsiTheme="majorHAnsi" w:cstheme="majorHAnsi"/>
                <w:b/>
                <w:sz w:val="28"/>
                <w:szCs w:val="28"/>
                <w:lang w:val="en-US"/>
              </w:rPr>
            </w:pPr>
            <w:proofErr w:type="spellStart"/>
            <w:r w:rsidRPr="00801725">
              <w:rPr>
                <w:rFonts w:asciiTheme="majorHAnsi" w:hAnsiTheme="majorHAnsi" w:cstheme="majorHAnsi"/>
                <w:b/>
                <w:sz w:val="28"/>
                <w:szCs w:val="28"/>
                <w:lang w:val="en-US"/>
              </w:rPr>
              <w:t>Kiến</w:t>
            </w:r>
            <w:proofErr w:type="spellEnd"/>
            <w:r w:rsidRPr="00801725">
              <w:rPr>
                <w:rFonts w:asciiTheme="majorHAnsi" w:hAnsiTheme="majorHAnsi" w:cstheme="majorHAnsi"/>
                <w:b/>
                <w:sz w:val="28"/>
                <w:szCs w:val="28"/>
                <w:lang w:val="en-US"/>
              </w:rPr>
              <w:t xml:space="preserve"> </w:t>
            </w:r>
            <w:proofErr w:type="spellStart"/>
            <w:r w:rsidRPr="00801725">
              <w:rPr>
                <w:rFonts w:asciiTheme="majorHAnsi" w:hAnsiTheme="majorHAnsi" w:cstheme="majorHAnsi"/>
                <w:b/>
                <w:sz w:val="28"/>
                <w:szCs w:val="28"/>
                <w:lang w:val="en-US"/>
              </w:rPr>
              <w:t>nghị</w:t>
            </w:r>
            <w:proofErr w:type="spellEnd"/>
            <w:r w:rsidRPr="00801725">
              <w:rPr>
                <w:rFonts w:asciiTheme="majorHAnsi" w:hAnsiTheme="majorHAnsi" w:cstheme="majorHAnsi"/>
                <w:b/>
                <w:sz w:val="28"/>
                <w:szCs w:val="28"/>
                <w:lang w:val="en-US"/>
              </w:rPr>
              <w:t xml:space="preserve">, </w:t>
            </w:r>
            <w:proofErr w:type="spellStart"/>
            <w:r w:rsidRPr="00801725">
              <w:rPr>
                <w:rFonts w:asciiTheme="majorHAnsi" w:hAnsiTheme="majorHAnsi" w:cstheme="majorHAnsi"/>
                <w:b/>
                <w:sz w:val="28"/>
                <w:szCs w:val="28"/>
                <w:lang w:val="en-US"/>
              </w:rPr>
              <w:t>thực</w:t>
            </w:r>
            <w:proofErr w:type="spellEnd"/>
            <w:r w:rsidRPr="00801725">
              <w:rPr>
                <w:rFonts w:asciiTheme="majorHAnsi" w:hAnsiTheme="majorHAnsi" w:cstheme="majorHAnsi"/>
                <w:b/>
                <w:sz w:val="28"/>
                <w:szCs w:val="28"/>
                <w:lang w:val="en-US"/>
              </w:rPr>
              <w:t xml:space="preserve"> thi</w:t>
            </w:r>
          </w:p>
        </w:tc>
      </w:tr>
      <w:tr w:rsidR="002D793E" w:rsidRPr="00801725" w:rsidTr="00623BFE">
        <w:tc>
          <w:tcPr>
            <w:tcW w:w="959" w:type="dxa"/>
            <w:vAlign w:val="center"/>
          </w:tcPr>
          <w:p w:rsidR="002D793E" w:rsidRPr="00801725" w:rsidRDefault="002D793E" w:rsidP="002D4F7B">
            <w:pPr>
              <w:spacing w:after="0" w:line="240" w:lineRule="auto"/>
              <w:ind w:left="426"/>
              <w:jc w:val="both"/>
              <w:rPr>
                <w:rFonts w:asciiTheme="majorHAnsi" w:hAnsiTheme="majorHAnsi" w:cstheme="majorHAnsi"/>
                <w:b/>
                <w:color w:val="000000"/>
                <w:sz w:val="28"/>
                <w:szCs w:val="28"/>
                <w:lang w:val="en-US"/>
              </w:rPr>
            </w:pPr>
            <w:r w:rsidRPr="00801725">
              <w:rPr>
                <w:rFonts w:asciiTheme="majorHAnsi" w:hAnsiTheme="majorHAnsi" w:cstheme="majorHAnsi"/>
                <w:b/>
                <w:color w:val="000000"/>
                <w:sz w:val="28"/>
                <w:szCs w:val="28"/>
                <w:lang w:val="en-US"/>
              </w:rPr>
              <w:t>I</w:t>
            </w:r>
          </w:p>
        </w:tc>
        <w:tc>
          <w:tcPr>
            <w:tcW w:w="1559" w:type="dxa"/>
            <w:vAlign w:val="center"/>
          </w:tcPr>
          <w:p w:rsidR="002D793E" w:rsidRPr="00801725" w:rsidRDefault="002D793E" w:rsidP="002D4F7B">
            <w:pPr>
              <w:spacing w:after="0" w:line="240" w:lineRule="auto"/>
              <w:jc w:val="center"/>
              <w:rPr>
                <w:rFonts w:asciiTheme="majorHAnsi" w:hAnsiTheme="majorHAnsi" w:cstheme="majorHAnsi"/>
                <w:b/>
                <w:color w:val="000000"/>
                <w:sz w:val="28"/>
                <w:szCs w:val="28"/>
                <w:lang w:val="en-US"/>
              </w:rPr>
            </w:pPr>
            <w:r w:rsidRPr="00801725">
              <w:rPr>
                <w:rFonts w:asciiTheme="majorHAnsi" w:hAnsiTheme="majorHAnsi" w:cstheme="majorHAnsi"/>
                <w:b/>
                <w:color w:val="000000"/>
                <w:sz w:val="28"/>
                <w:szCs w:val="28"/>
              </w:rPr>
              <w:t>Kinh doanh dịch vụ k</w:t>
            </w:r>
            <w:r w:rsidRPr="00801725">
              <w:rPr>
                <w:rFonts w:asciiTheme="majorHAnsi" w:hAnsiTheme="majorHAnsi" w:cstheme="majorHAnsi"/>
                <w:b/>
                <w:color w:val="000000"/>
                <w:sz w:val="28"/>
                <w:szCs w:val="28"/>
                <w:lang w:val="en-US"/>
              </w:rPr>
              <w:t xml:space="preserve">ế </w:t>
            </w:r>
            <w:proofErr w:type="spellStart"/>
            <w:r w:rsidRPr="00801725">
              <w:rPr>
                <w:rFonts w:asciiTheme="majorHAnsi" w:hAnsiTheme="majorHAnsi" w:cstheme="majorHAnsi"/>
                <w:b/>
                <w:color w:val="000000"/>
                <w:sz w:val="28"/>
                <w:szCs w:val="28"/>
                <w:lang w:val="en-US"/>
              </w:rPr>
              <w:t>toán</w:t>
            </w:r>
            <w:proofErr w:type="spellEnd"/>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rPr>
            </w:pPr>
          </w:p>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rPr>
            </w:pPr>
            <w:r w:rsidRPr="00801725">
              <w:rPr>
                <w:rStyle w:val="Strong"/>
                <w:rFonts w:asciiTheme="majorHAnsi" w:hAnsiTheme="majorHAnsi" w:cstheme="majorHAnsi"/>
                <w:color w:val="333333"/>
                <w:sz w:val="28"/>
                <w:szCs w:val="28"/>
              </w:rPr>
              <w:t xml:space="preserve">A. </w:t>
            </w:r>
            <w:proofErr w:type="spellStart"/>
            <w:r w:rsidRPr="00801725">
              <w:rPr>
                <w:rStyle w:val="Strong"/>
                <w:rFonts w:asciiTheme="majorHAnsi" w:hAnsiTheme="majorHAnsi" w:cstheme="majorHAnsi"/>
                <w:color w:val="333333"/>
                <w:sz w:val="28"/>
                <w:szCs w:val="28"/>
              </w:rPr>
              <w:t>Điều</w:t>
            </w:r>
            <w:proofErr w:type="spellEnd"/>
            <w:r w:rsidRPr="00801725">
              <w:rPr>
                <w:rStyle w:val="Strong"/>
                <w:rFonts w:asciiTheme="majorHAnsi" w:hAnsiTheme="majorHAnsi" w:cstheme="majorHAnsi"/>
                <w:color w:val="333333"/>
                <w:sz w:val="28"/>
                <w:szCs w:val="28"/>
              </w:rPr>
              <w:t xml:space="preserve"> </w:t>
            </w:r>
            <w:proofErr w:type="spellStart"/>
            <w:r w:rsidRPr="00801725">
              <w:rPr>
                <w:rStyle w:val="Strong"/>
                <w:rFonts w:asciiTheme="majorHAnsi" w:hAnsiTheme="majorHAnsi" w:cstheme="majorHAnsi"/>
                <w:color w:val="333333"/>
                <w:sz w:val="28"/>
                <w:szCs w:val="28"/>
              </w:rPr>
              <w:t>kiện</w:t>
            </w:r>
            <w:proofErr w:type="spellEnd"/>
            <w:r w:rsidRPr="00801725">
              <w:rPr>
                <w:rStyle w:val="Strong"/>
                <w:rFonts w:asciiTheme="majorHAnsi" w:hAnsiTheme="majorHAnsi" w:cstheme="majorHAnsi"/>
                <w:color w:val="333333"/>
                <w:sz w:val="28"/>
                <w:szCs w:val="28"/>
              </w:rPr>
              <w:t xml:space="preserve"> </w:t>
            </w:r>
            <w:proofErr w:type="spellStart"/>
            <w:r w:rsidRPr="00801725">
              <w:rPr>
                <w:rStyle w:val="Strong"/>
                <w:rFonts w:asciiTheme="majorHAnsi" w:hAnsiTheme="majorHAnsi" w:cstheme="majorHAnsi"/>
                <w:color w:val="333333"/>
                <w:sz w:val="28"/>
                <w:szCs w:val="28"/>
              </w:rPr>
              <w:t>kinh</w:t>
            </w:r>
            <w:proofErr w:type="spellEnd"/>
            <w:r w:rsidRPr="00801725">
              <w:rPr>
                <w:rStyle w:val="Strong"/>
                <w:rFonts w:asciiTheme="majorHAnsi" w:hAnsiTheme="majorHAnsi" w:cstheme="majorHAnsi"/>
                <w:color w:val="333333"/>
                <w:sz w:val="28"/>
                <w:szCs w:val="28"/>
              </w:rPr>
              <w:t xml:space="preserve"> </w:t>
            </w:r>
            <w:proofErr w:type="spellStart"/>
            <w:r w:rsidRPr="00801725">
              <w:rPr>
                <w:rStyle w:val="Strong"/>
                <w:rFonts w:asciiTheme="majorHAnsi" w:hAnsiTheme="majorHAnsi" w:cstheme="majorHAnsi"/>
                <w:color w:val="333333"/>
                <w:sz w:val="28"/>
                <w:szCs w:val="28"/>
              </w:rPr>
              <w:t>doanh</w:t>
            </w:r>
            <w:proofErr w:type="spellEnd"/>
            <w:r w:rsidRPr="00801725">
              <w:rPr>
                <w:rStyle w:val="Strong"/>
                <w:rFonts w:asciiTheme="majorHAnsi" w:hAnsiTheme="majorHAnsi" w:cstheme="majorHAnsi"/>
                <w:color w:val="333333"/>
                <w:sz w:val="28"/>
                <w:szCs w:val="28"/>
              </w:rPr>
              <w:t xml:space="preserve"> </w:t>
            </w:r>
            <w:proofErr w:type="spellStart"/>
            <w:r w:rsidRPr="00801725">
              <w:rPr>
                <w:rStyle w:val="Strong"/>
                <w:rFonts w:asciiTheme="majorHAnsi" w:hAnsiTheme="majorHAnsi" w:cstheme="majorHAnsi"/>
                <w:color w:val="333333"/>
                <w:sz w:val="28"/>
                <w:szCs w:val="28"/>
              </w:rPr>
              <w:t>chung</w:t>
            </w:r>
            <w:proofErr w:type="spellEnd"/>
            <w:r w:rsidRPr="00801725">
              <w:rPr>
                <w:rStyle w:val="Strong"/>
                <w:rFonts w:asciiTheme="majorHAnsi" w:hAnsiTheme="majorHAnsi" w:cstheme="majorHAnsi"/>
                <w:color w:val="333333"/>
                <w:sz w:val="28"/>
                <w:szCs w:val="28"/>
              </w:rPr>
              <w:t>:</w:t>
            </w:r>
          </w:p>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nl-NL"/>
              </w:rPr>
            </w:pPr>
          </w:p>
        </w:tc>
        <w:tc>
          <w:tcPr>
            <w:tcW w:w="2137" w:type="dxa"/>
            <w:vAlign w:val="center"/>
          </w:tcPr>
          <w:p w:rsidR="002D793E" w:rsidRPr="00801725" w:rsidRDefault="002D793E" w:rsidP="002D4F7B">
            <w:pPr>
              <w:pStyle w:val="NormalWeb"/>
              <w:spacing w:before="0" w:beforeAutospacing="0" w:after="0" w:afterAutospacing="0"/>
              <w:jc w:val="both"/>
              <w:textAlignment w:val="baseline"/>
              <w:rPr>
                <w:rFonts w:asciiTheme="majorHAnsi" w:hAnsiTheme="majorHAnsi" w:cstheme="majorHAnsi"/>
                <w:color w:val="000000"/>
                <w:sz w:val="28"/>
                <w:szCs w:val="28"/>
                <w:lang w:val="nl-NL"/>
              </w:rPr>
            </w:pPr>
            <w:r w:rsidRPr="00801725">
              <w:rPr>
                <w:rFonts w:asciiTheme="majorHAnsi" w:hAnsiTheme="majorHAnsi" w:cstheme="majorHAnsi"/>
                <w:color w:val="000000"/>
                <w:sz w:val="28"/>
                <w:szCs w:val="28"/>
                <w:lang w:val="nl-NL"/>
              </w:rPr>
              <w:t>Khoản 1, 2, 3 Điều 60 Luật kế toán</w:t>
            </w:r>
          </w:p>
        </w:tc>
        <w:tc>
          <w:tcPr>
            <w:tcW w:w="2835"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shd w:val="clear" w:color="auto" w:fill="FFFFFF"/>
                <w:lang w:val="nl-NL"/>
              </w:rPr>
            </w:pPr>
          </w:p>
          <w:p w:rsidR="002D793E" w:rsidRPr="00801725" w:rsidRDefault="002D793E" w:rsidP="002D4F7B">
            <w:pPr>
              <w:spacing w:after="0" w:line="240" w:lineRule="auto"/>
              <w:jc w:val="both"/>
              <w:rPr>
                <w:rFonts w:asciiTheme="majorHAnsi" w:hAnsiTheme="majorHAnsi" w:cstheme="majorHAnsi"/>
                <w:b/>
                <w:color w:val="000000"/>
                <w:sz w:val="28"/>
                <w:szCs w:val="28"/>
                <w:shd w:val="clear" w:color="auto" w:fill="FFFFFF"/>
                <w:lang w:val="nl-NL"/>
              </w:rPr>
            </w:pPr>
          </w:p>
          <w:p w:rsidR="002D793E" w:rsidRPr="00801725" w:rsidRDefault="002D793E" w:rsidP="002D4F7B">
            <w:pPr>
              <w:spacing w:after="0" w:line="240" w:lineRule="auto"/>
              <w:jc w:val="both"/>
              <w:rPr>
                <w:rFonts w:asciiTheme="majorHAnsi" w:hAnsiTheme="majorHAnsi" w:cstheme="majorHAnsi"/>
                <w:b/>
                <w:color w:val="000000"/>
                <w:sz w:val="28"/>
                <w:szCs w:val="28"/>
                <w:shd w:val="clear" w:color="auto" w:fill="FFFFFF"/>
              </w:rPr>
            </w:pPr>
          </w:p>
        </w:tc>
        <w:tc>
          <w:tcPr>
            <w:tcW w:w="1984" w:type="dxa"/>
            <w:vAlign w:val="center"/>
          </w:tcPr>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lang w:val="nl-NL"/>
              </w:rPr>
            </w:pPr>
          </w:p>
        </w:tc>
      </w:tr>
      <w:tr w:rsidR="002D793E" w:rsidRPr="00801725" w:rsidTr="00623BFE">
        <w:tc>
          <w:tcPr>
            <w:tcW w:w="959" w:type="dxa"/>
            <w:vAlign w:val="center"/>
          </w:tcPr>
          <w:p w:rsidR="002D793E" w:rsidRPr="00801725" w:rsidRDefault="002D793E"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Style w:val="Strong"/>
                <w:rFonts w:asciiTheme="majorHAnsi" w:hAnsiTheme="majorHAnsi" w:cstheme="majorHAnsi"/>
                <w:b w:val="0"/>
                <w:color w:val="333333"/>
                <w:sz w:val="28"/>
                <w:szCs w:val="28"/>
                <w:lang w:val="nl-NL"/>
              </w:rPr>
              <w:t xml:space="preserve">a) </w:t>
            </w:r>
            <w:r w:rsidRPr="00801725">
              <w:rPr>
                <w:rStyle w:val="Strong"/>
                <w:rFonts w:asciiTheme="majorHAnsi" w:hAnsiTheme="majorHAnsi" w:cstheme="majorHAnsi"/>
                <w:b w:val="0"/>
                <w:color w:val="333333"/>
                <w:sz w:val="28"/>
                <w:szCs w:val="28"/>
                <w:lang w:val="vi-VN"/>
              </w:rPr>
              <w:t>Có Giấy chứng nhận đăng ký DN, Giấy chứng nhận đăng ký đầu tư;</w:t>
            </w:r>
          </w:p>
        </w:tc>
        <w:tc>
          <w:tcPr>
            <w:tcW w:w="2137" w:type="dxa"/>
            <w:vAlign w:val="center"/>
          </w:tcPr>
          <w:p w:rsidR="002D793E" w:rsidRPr="00801725" w:rsidRDefault="002F3CA4" w:rsidP="002D4F7B">
            <w:pPr>
              <w:pStyle w:val="NormalWeb"/>
              <w:spacing w:before="0" w:beforeAutospacing="0" w:after="0" w:afterAutospacing="0"/>
              <w:jc w:val="both"/>
              <w:textAlignment w:val="baseline"/>
              <w:rPr>
                <w:rFonts w:asciiTheme="majorHAnsi" w:hAnsiTheme="majorHAnsi" w:cstheme="majorHAnsi"/>
                <w:color w:val="000000"/>
                <w:sz w:val="28"/>
                <w:szCs w:val="28"/>
                <w:lang w:val="nl-NL"/>
              </w:rPr>
            </w:pPr>
            <w:r w:rsidRPr="00801725">
              <w:rPr>
                <w:rFonts w:asciiTheme="majorHAnsi" w:hAnsiTheme="majorHAnsi" w:cstheme="majorHAnsi"/>
                <w:color w:val="000000"/>
                <w:sz w:val="28"/>
                <w:szCs w:val="28"/>
                <w:lang w:val="nl-NL"/>
              </w:rPr>
              <w:t>Điểm a khoản 1, 2, 3 Điều 60 Luật kế toán</w:t>
            </w:r>
          </w:p>
        </w:tc>
        <w:tc>
          <w:tcPr>
            <w:tcW w:w="2835" w:type="dxa"/>
            <w:vAlign w:val="center"/>
          </w:tcPr>
          <w:p w:rsidR="002D793E" w:rsidRPr="00801725" w:rsidRDefault="00766F8F" w:rsidP="002D4F7B">
            <w:pPr>
              <w:spacing w:after="0" w:line="240" w:lineRule="auto"/>
              <w:jc w:val="both"/>
              <w:rPr>
                <w:rFonts w:asciiTheme="majorHAnsi" w:hAnsiTheme="majorHAnsi" w:cstheme="majorHAnsi"/>
                <w:color w:val="000000"/>
                <w:sz w:val="28"/>
                <w:szCs w:val="28"/>
                <w:shd w:val="clear" w:color="auto" w:fill="FFFFFF"/>
                <w:lang w:val="nl-NL"/>
              </w:rPr>
            </w:pPr>
            <w:r w:rsidRPr="00801725">
              <w:rPr>
                <w:rFonts w:asciiTheme="majorHAnsi" w:hAnsiTheme="majorHAnsi" w:cstheme="majorHAnsi"/>
                <w:color w:val="000000"/>
                <w:sz w:val="28"/>
                <w:szCs w:val="28"/>
                <w:shd w:val="clear" w:color="auto" w:fill="FFFFFF"/>
                <w:lang w:val="nl-NL"/>
              </w:rPr>
              <w:t>Đề nghị cắt giảm</w:t>
            </w:r>
            <w:r w:rsidR="002D793E" w:rsidRPr="00801725">
              <w:rPr>
                <w:rFonts w:asciiTheme="majorHAnsi" w:hAnsiTheme="majorHAnsi" w:cstheme="majorHAnsi"/>
                <w:color w:val="000000"/>
                <w:sz w:val="28"/>
                <w:szCs w:val="28"/>
                <w:shd w:val="clear" w:color="auto" w:fill="FFFFFF"/>
                <w:lang w:val="nl-NL"/>
              </w:rPr>
              <w:t xml:space="preserve"> điều kiện này</w:t>
            </w:r>
          </w:p>
        </w:tc>
        <w:tc>
          <w:tcPr>
            <w:tcW w:w="1984" w:type="dxa"/>
            <w:vAlign w:val="center"/>
          </w:tcPr>
          <w:p w:rsidR="002D793E" w:rsidRPr="00801725" w:rsidRDefault="00E16972" w:rsidP="002D4F7B">
            <w:pPr>
              <w:spacing w:after="0" w:line="240" w:lineRule="auto"/>
              <w:jc w:val="both"/>
              <w:rPr>
                <w:rFonts w:asciiTheme="majorHAnsi" w:hAnsiTheme="majorHAnsi" w:cstheme="majorHAnsi"/>
                <w:color w:val="000000"/>
                <w:sz w:val="28"/>
                <w:szCs w:val="28"/>
                <w:shd w:val="clear" w:color="auto" w:fill="FFFFFF"/>
                <w:lang w:val="nl-NL"/>
              </w:rPr>
            </w:pPr>
            <w:r w:rsidRPr="00801725">
              <w:rPr>
                <w:rFonts w:asciiTheme="majorHAnsi" w:hAnsiTheme="majorHAnsi" w:cstheme="majorHAnsi"/>
                <w:color w:val="000000"/>
                <w:sz w:val="28"/>
                <w:szCs w:val="28"/>
                <w:shd w:val="clear" w:color="auto" w:fill="FFFFFF"/>
                <w:lang w:val="nl-NL"/>
              </w:rPr>
              <w:t>Sửa điểm a khoản 1, 2, 3  Điều 60 Luật kế toán</w:t>
            </w:r>
          </w:p>
        </w:tc>
      </w:tr>
      <w:tr w:rsidR="002D793E" w:rsidRPr="00801725" w:rsidTr="00623BFE">
        <w:tc>
          <w:tcPr>
            <w:tcW w:w="959" w:type="dxa"/>
            <w:vAlign w:val="center"/>
          </w:tcPr>
          <w:p w:rsidR="002D793E" w:rsidRPr="00801725" w:rsidRDefault="002D793E" w:rsidP="002D4F7B">
            <w:pPr>
              <w:spacing w:after="0" w:line="240" w:lineRule="auto"/>
              <w:ind w:left="426"/>
              <w:jc w:val="both"/>
              <w:rPr>
                <w:rFonts w:asciiTheme="majorHAnsi" w:hAnsiTheme="majorHAnsi" w:cstheme="majorHAnsi"/>
                <w:b/>
                <w:color w:val="000000"/>
                <w:sz w:val="28"/>
                <w:szCs w:val="28"/>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Style w:val="Strong"/>
                <w:rFonts w:asciiTheme="majorHAnsi" w:hAnsiTheme="majorHAnsi" w:cstheme="majorHAnsi"/>
                <w:color w:val="333333"/>
                <w:sz w:val="28"/>
                <w:szCs w:val="28"/>
                <w:lang w:val="vi-VN"/>
              </w:rPr>
              <w:t>Đ. Điều kiện đối với chi nhánh doanh nghiệp nước ngoài:</w:t>
            </w:r>
          </w:p>
        </w:tc>
        <w:tc>
          <w:tcPr>
            <w:tcW w:w="2137" w:type="dxa"/>
            <w:vAlign w:val="center"/>
          </w:tcPr>
          <w:p w:rsidR="002D793E" w:rsidRPr="00801725" w:rsidRDefault="002D793E"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Khoản 4 Điều 60</w:t>
            </w:r>
          </w:p>
        </w:tc>
        <w:tc>
          <w:tcPr>
            <w:tcW w:w="2835" w:type="dxa"/>
            <w:vAlign w:val="center"/>
          </w:tcPr>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tc>
        <w:tc>
          <w:tcPr>
            <w:tcW w:w="1984" w:type="dxa"/>
            <w:vAlign w:val="center"/>
          </w:tcPr>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tc>
      </w:tr>
      <w:tr w:rsidR="002D793E" w:rsidRPr="00801725" w:rsidTr="00623BFE">
        <w:tc>
          <w:tcPr>
            <w:tcW w:w="959" w:type="dxa"/>
            <w:vAlign w:val="center"/>
          </w:tcPr>
          <w:p w:rsidR="002D793E" w:rsidRPr="00801725" w:rsidRDefault="002D793E"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Style w:val="Strong"/>
                <w:rFonts w:asciiTheme="majorHAnsi" w:hAnsiTheme="majorHAnsi" w:cstheme="majorHAnsi"/>
                <w:b w:val="0"/>
                <w:color w:val="333333"/>
                <w:sz w:val="28"/>
                <w:szCs w:val="28"/>
                <w:lang w:val="vi-VN"/>
              </w:rPr>
              <w:t>d) Doanh nghiệp nước ngoài phải có văn bản đảm bảo chịu mọi trách nhiệm, nghĩa vụ và cam kết của chi nhánh tại Việt Nam</w:t>
            </w:r>
          </w:p>
        </w:tc>
        <w:tc>
          <w:tcPr>
            <w:tcW w:w="2137" w:type="dxa"/>
            <w:vAlign w:val="center"/>
          </w:tcPr>
          <w:p w:rsidR="002D793E" w:rsidRPr="00801725" w:rsidRDefault="002F3CA4"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Điểm d khoản 4 Điều 60 Luật kế toán</w:t>
            </w:r>
          </w:p>
        </w:tc>
        <w:tc>
          <w:tcPr>
            <w:tcW w:w="2835" w:type="dxa"/>
            <w:vAlign w:val="center"/>
          </w:tcPr>
          <w:p w:rsidR="002D793E"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2D793E" w:rsidRPr="001A4F6A" w:rsidRDefault="00E16972" w:rsidP="002D4F7B">
            <w:pPr>
              <w:spacing w:after="0" w:line="240" w:lineRule="auto"/>
              <w:jc w:val="both"/>
              <w:rPr>
                <w:rFonts w:asciiTheme="majorHAnsi" w:hAnsiTheme="majorHAnsi" w:cstheme="majorHAnsi"/>
                <w:color w:val="000000"/>
                <w:sz w:val="28"/>
                <w:szCs w:val="28"/>
                <w:shd w:val="clear" w:color="auto" w:fill="FFFFFF"/>
              </w:rPr>
            </w:pPr>
            <w:r w:rsidRPr="001A4F6A">
              <w:rPr>
                <w:rFonts w:asciiTheme="majorHAnsi" w:hAnsiTheme="majorHAnsi" w:cstheme="majorHAnsi"/>
                <w:color w:val="000000"/>
                <w:sz w:val="28"/>
                <w:szCs w:val="28"/>
                <w:shd w:val="clear" w:color="auto" w:fill="FFFFFF"/>
              </w:rPr>
              <w:t>Sửa điểm d khoản 4 Điều 60 Luật kế toán</w:t>
            </w:r>
          </w:p>
        </w:tc>
      </w:tr>
      <w:tr w:rsidR="002D793E" w:rsidRPr="00801725" w:rsidTr="00623BFE">
        <w:tc>
          <w:tcPr>
            <w:tcW w:w="959" w:type="dxa"/>
            <w:vAlign w:val="center"/>
          </w:tcPr>
          <w:p w:rsidR="002D793E" w:rsidRPr="001A4F6A" w:rsidRDefault="002D793E" w:rsidP="002D4F7B">
            <w:pPr>
              <w:spacing w:after="0" w:line="240" w:lineRule="auto"/>
              <w:ind w:left="426"/>
              <w:jc w:val="both"/>
              <w:rPr>
                <w:rFonts w:asciiTheme="majorHAnsi" w:hAnsiTheme="majorHAnsi" w:cstheme="majorHAnsi"/>
                <w:b/>
                <w:color w:val="000000"/>
                <w:sz w:val="28"/>
                <w:szCs w:val="28"/>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Style w:val="Strong"/>
                <w:rFonts w:asciiTheme="majorHAnsi" w:hAnsiTheme="majorHAnsi" w:cstheme="majorHAnsi"/>
                <w:color w:val="333333"/>
                <w:sz w:val="28"/>
                <w:szCs w:val="28"/>
                <w:lang w:val="vi-VN"/>
              </w:rPr>
              <w:t>E. Điều kiện đối với hộ kinh doanh dịch vụ kế toán:</w:t>
            </w:r>
          </w:p>
        </w:tc>
        <w:tc>
          <w:tcPr>
            <w:tcW w:w="2137" w:type="dxa"/>
            <w:vAlign w:val="center"/>
          </w:tcPr>
          <w:p w:rsidR="002D793E" w:rsidRPr="00801725" w:rsidRDefault="002D793E"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Khoản 1 Điều 65</w:t>
            </w:r>
          </w:p>
        </w:tc>
        <w:tc>
          <w:tcPr>
            <w:tcW w:w="2835" w:type="dxa"/>
            <w:vAlign w:val="center"/>
          </w:tcPr>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tc>
        <w:tc>
          <w:tcPr>
            <w:tcW w:w="1984" w:type="dxa"/>
            <w:vAlign w:val="center"/>
          </w:tcPr>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tc>
      </w:tr>
      <w:tr w:rsidR="002D793E" w:rsidRPr="00801725" w:rsidTr="00623BFE">
        <w:tc>
          <w:tcPr>
            <w:tcW w:w="959" w:type="dxa"/>
            <w:vAlign w:val="center"/>
          </w:tcPr>
          <w:p w:rsidR="002D793E" w:rsidRPr="00801725" w:rsidRDefault="002D793E"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Style w:val="Strong"/>
                <w:rFonts w:asciiTheme="majorHAnsi" w:hAnsiTheme="majorHAnsi" w:cstheme="majorHAnsi"/>
                <w:b w:val="0"/>
                <w:color w:val="333333"/>
                <w:sz w:val="28"/>
                <w:szCs w:val="28"/>
                <w:lang w:val="vi-VN"/>
              </w:rPr>
              <w:t xml:space="preserve">a) </w:t>
            </w:r>
            <w:r w:rsidRPr="00801725">
              <w:rPr>
                <w:rFonts w:asciiTheme="majorHAnsi" w:hAnsiTheme="majorHAnsi" w:cstheme="majorHAnsi"/>
                <w:sz w:val="28"/>
                <w:szCs w:val="28"/>
                <w:lang w:val="nl-NL"/>
              </w:rPr>
              <w:t>Có Giấy chứng nhận đăng ký hộ kinh doanh;</w:t>
            </w:r>
          </w:p>
        </w:tc>
        <w:tc>
          <w:tcPr>
            <w:tcW w:w="2137" w:type="dxa"/>
            <w:vAlign w:val="center"/>
          </w:tcPr>
          <w:p w:rsidR="002D793E" w:rsidRPr="00801725" w:rsidRDefault="002F3CA4"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Điểm a khoản 1 Điều 65 Luật kế toán</w:t>
            </w:r>
          </w:p>
        </w:tc>
        <w:tc>
          <w:tcPr>
            <w:tcW w:w="2835" w:type="dxa"/>
            <w:vAlign w:val="center"/>
          </w:tcPr>
          <w:p w:rsidR="002D793E"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2D793E" w:rsidRPr="001A4F6A" w:rsidRDefault="00E16972" w:rsidP="002D4F7B">
            <w:pPr>
              <w:spacing w:after="0" w:line="240" w:lineRule="auto"/>
              <w:jc w:val="both"/>
              <w:rPr>
                <w:rFonts w:asciiTheme="majorHAnsi" w:hAnsiTheme="majorHAnsi" w:cstheme="majorHAnsi"/>
                <w:color w:val="000000"/>
                <w:sz w:val="28"/>
                <w:szCs w:val="28"/>
                <w:shd w:val="clear" w:color="auto" w:fill="FFFFFF"/>
              </w:rPr>
            </w:pPr>
            <w:r w:rsidRPr="001A4F6A">
              <w:rPr>
                <w:rFonts w:asciiTheme="majorHAnsi" w:hAnsiTheme="majorHAnsi" w:cstheme="majorHAnsi"/>
                <w:color w:val="000000"/>
                <w:sz w:val="28"/>
                <w:szCs w:val="28"/>
                <w:shd w:val="clear" w:color="auto" w:fill="FFFFFF"/>
              </w:rPr>
              <w:t>Sửa điểm a khoản 1 Điều 65 Luật kế toán</w:t>
            </w:r>
          </w:p>
        </w:tc>
      </w:tr>
      <w:tr w:rsidR="002D793E" w:rsidRPr="00801725" w:rsidTr="00623BFE">
        <w:tc>
          <w:tcPr>
            <w:tcW w:w="959" w:type="dxa"/>
            <w:vAlign w:val="center"/>
          </w:tcPr>
          <w:p w:rsidR="002D793E" w:rsidRPr="00801725" w:rsidRDefault="002D793E" w:rsidP="002D4F7B">
            <w:pPr>
              <w:spacing w:after="0" w:line="240" w:lineRule="auto"/>
              <w:ind w:left="426"/>
              <w:jc w:val="both"/>
              <w:rPr>
                <w:rFonts w:asciiTheme="majorHAnsi" w:hAnsiTheme="majorHAnsi" w:cstheme="majorHAnsi"/>
                <w:b/>
                <w:color w:val="000000"/>
                <w:sz w:val="28"/>
                <w:szCs w:val="28"/>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Style w:val="Strong"/>
                <w:rFonts w:asciiTheme="majorHAnsi" w:hAnsiTheme="majorHAnsi" w:cstheme="majorHAnsi"/>
                <w:color w:val="333333"/>
                <w:sz w:val="28"/>
                <w:szCs w:val="28"/>
                <w:lang w:val="vi-VN"/>
              </w:rPr>
              <w:t>G. Điều kiện đối với cung cấp dịch vụ kế toán qua biên giới của doanh nghiệp dịch vụ kế toán nước ngoài:</w:t>
            </w:r>
          </w:p>
        </w:tc>
        <w:tc>
          <w:tcPr>
            <w:tcW w:w="2137" w:type="dxa"/>
            <w:vAlign w:val="center"/>
          </w:tcPr>
          <w:p w:rsidR="002D793E" w:rsidRPr="00801725" w:rsidRDefault="002D793E"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Điều 30 Nghị định số 174</w:t>
            </w:r>
            <w:r w:rsidR="00762611" w:rsidRPr="00801725">
              <w:rPr>
                <w:rFonts w:asciiTheme="majorHAnsi" w:hAnsiTheme="majorHAnsi" w:cstheme="majorHAnsi"/>
                <w:color w:val="000000"/>
                <w:sz w:val="28"/>
                <w:szCs w:val="28"/>
                <w:lang w:val="vi-VN"/>
              </w:rPr>
              <w:t>/2016/NĐ-</w:t>
            </w:r>
            <w:r w:rsidR="00762611" w:rsidRPr="00801725">
              <w:rPr>
                <w:rFonts w:asciiTheme="majorHAnsi" w:hAnsiTheme="majorHAnsi" w:cstheme="majorHAnsi"/>
                <w:color w:val="000000"/>
                <w:sz w:val="28"/>
                <w:szCs w:val="28"/>
                <w:lang w:val="vi-VN"/>
              </w:rPr>
              <w:lastRenderedPageBreak/>
              <w:t>CP</w:t>
            </w:r>
          </w:p>
        </w:tc>
        <w:tc>
          <w:tcPr>
            <w:tcW w:w="2835" w:type="dxa"/>
            <w:vAlign w:val="center"/>
          </w:tcPr>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tc>
        <w:tc>
          <w:tcPr>
            <w:tcW w:w="1984" w:type="dxa"/>
            <w:vAlign w:val="center"/>
          </w:tcPr>
          <w:p w:rsidR="002D793E" w:rsidRPr="00801725" w:rsidRDefault="002D793E" w:rsidP="002D4F7B">
            <w:pPr>
              <w:spacing w:after="0" w:line="240" w:lineRule="auto"/>
              <w:jc w:val="both"/>
              <w:rPr>
                <w:rFonts w:asciiTheme="majorHAnsi" w:hAnsiTheme="majorHAnsi" w:cstheme="majorHAnsi"/>
                <w:color w:val="000000"/>
                <w:sz w:val="28"/>
                <w:szCs w:val="28"/>
                <w:shd w:val="clear" w:color="auto" w:fill="FFFFFF"/>
              </w:rPr>
            </w:pPr>
          </w:p>
        </w:tc>
      </w:tr>
      <w:tr w:rsidR="002D793E" w:rsidRPr="00801725" w:rsidTr="00623BFE">
        <w:tc>
          <w:tcPr>
            <w:tcW w:w="959" w:type="dxa"/>
            <w:vAlign w:val="center"/>
          </w:tcPr>
          <w:p w:rsidR="002D793E" w:rsidRPr="00801725" w:rsidRDefault="002D793E"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Style w:val="Strong"/>
                <w:rFonts w:asciiTheme="majorHAnsi" w:hAnsiTheme="majorHAnsi" w:cstheme="majorHAnsi"/>
                <w:b w:val="0"/>
                <w:color w:val="333333"/>
                <w:sz w:val="28"/>
                <w:szCs w:val="28"/>
                <w:lang w:val="vi-VN"/>
              </w:rPr>
              <w:t xml:space="preserve">b) </w:t>
            </w:r>
            <w:r w:rsidRPr="00801725">
              <w:rPr>
                <w:rFonts w:asciiTheme="majorHAnsi" w:hAnsiTheme="majorHAnsi" w:cstheme="majorHAnsi"/>
                <w:color w:val="000000"/>
                <w:sz w:val="28"/>
                <w:szCs w:val="28"/>
                <w:lang w:val="vi-VN"/>
              </w:rPr>
              <w:t>Có văn bản của cơ quan quản lý hành nghề dịch vụ kế toán nơi doanh nghiệp đóng trụ sở chính xác nhận không vi phạm các quy định </w:t>
            </w:r>
            <w:r w:rsidRPr="00801725">
              <w:rPr>
                <w:rFonts w:asciiTheme="majorHAnsi" w:hAnsiTheme="majorHAnsi" w:cstheme="majorHAnsi"/>
                <w:color w:val="000000"/>
                <w:sz w:val="28"/>
                <w:szCs w:val="28"/>
                <w:shd w:val="clear" w:color="auto" w:fill="FFFFFF"/>
                <w:lang w:val="vi-VN"/>
              </w:rPr>
              <w:t>về</w:t>
            </w:r>
            <w:r w:rsidRPr="00801725">
              <w:rPr>
                <w:rFonts w:asciiTheme="majorHAnsi" w:hAnsiTheme="majorHAnsi" w:cstheme="majorHAnsi"/>
                <w:color w:val="000000"/>
                <w:sz w:val="28"/>
                <w:szCs w:val="28"/>
                <w:lang w:val="vi-VN"/>
              </w:rPr>
              <w:t> hoạt động kinh doanh dịch vụ kế toán và quy định pháp luật khác của nước ngoài trong thời hạn 3 năm trước;</w:t>
            </w:r>
          </w:p>
        </w:tc>
        <w:tc>
          <w:tcPr>
            <w:tcW w:w="2137" w:type="dxa"/>
            <w:vAlign w:val="center"/>
          </w:tcPr>
          <w:p w:rsidR="002D793E" w:rsidRPr="00801725" w:rsidRDefault="002F3CA4"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Điểm b khoản 1 Điều 30 Nghị định số 174/2016/NĐ-CP</w:t>
            </w:r>
          </w:p>
        </w:tc>
        <w:tc>
          <w:tcPr>
            <w:tcW w:w="2835" w:type="dxa"/>
            <w:vAlign w:val="center"/>
          </w:tcPr>
          <w:p w:rsidR="002D793E"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2D793E" w:rsidRPr="001A4F6A" w:rsidRDefault="00E16972" w:rsidP="002D4F7B">
            <w:pPr>
              <w:spacing w:after="0" w:line="240" w:lineRule="auto"/>
              <w:jc w:val="both"/>
              <w:rPr>
                <w:rFonts w:asciiTheme="majorHAnsi" w:hAnsiTheme="majorHAnsi" w:cstheme="majorHAnsi"/>
                <w:color w:val="000000"/>
                <w:sz w:val="28"/>
                <w:szCs w:val="28"/>
                <w:shd w:val="clear" w:color="auto" w:fill="FFFFFF"/>
              </w:rPr>
            </w:pPr>
            <w:r w:rsidRPr="001A4F6A">
              <w:rPr>
                <w:rFonts w:asciiTheme="majorHAnsi" w:hAnsiTheme="majorHAnsi" w:cstheme="majorHAnsi"/>
                <w:color w:val="000000"/>
                <w:sz w:val="28"/>
                <w:szCs w:val="28"/>
                <w:shd w:val="clear" w:color="auto" w:fill="FFFFFF"/>
              </w:rPr>
              <w:t>Sửa điểm b khoản 1 Điều 30 Nghị định số 174/2016/NĐ-CP</w:t>
            </w:r>
          </w:p>
        </w:tc>
      </w:tr>
      <w:tr w:rsidR="002D793E" w:rsidRPr="00801725" w:rsidTr="00623BFE">
        <w:tc>
          <w:tcPr>
            <w:tcW w:w="959" w:type="dxa"/>
            <w:vAlign w:val="center"/>
          </w:tcPr>
          <w:p w:rsidR="002D793E" w:rsidRPr="00801725" w:rsidRDefault="002D793E"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Style w:val="Strong"/>
                <w:rFonts w:asciiTheme="majorHAnsi" w:hAnsiTheme="majorHAnsi" w:cstheme="majorHAnsi"/>
                <w:color w:val="333333"/>
                <w:sz w:val="28"/>
                <w:szCs w:val="28"/>
                <w:lang w:val="vi-VN"/>
              </w:rPr>
            </w:pPr>
            <w:r w:rsidRPr="00801725">
              <w:rPr>
                <w:rFonts w:asciiTheme="majorHAnsi" w:hAnsiTheme="majorHAnsi" w:cstheme="majorHAnsi"/>
                <w:color w:val="000000"/>
                <w:sz w:val="28"/>
                <w:szCs w:val="28"/>
                <w:lang w:val="vi-VN"/>
              </w:rPr>
              <w:t>d) Có mua bảo hiểm trách nhiệm nghề nghiệp cho các kế toán viên hành nghề tại Việt Nam;</w:t>
            </w:r>
          </w:p>
        </w:tc>
        <w:tc>
          <w:tcPr>
            <w:tcW w:w="2137" w:type="dxa"/>
            <w:vAlign w:val="center"/>
          </w:tcPr>
          <w:p w:rsidR="002D793E" w:rsidRPr="00801725" w:rsidRDefault="002F3CA4"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 xml:space="preserve">Điểm d khoản 1 Điều 30 </w:t>
            </w:r>
            <w:r w:rsidRPr="00801725">
              <w:rPr>
                <w:rFonts w:asciiTheme="majorHAnsi" w:hAnsiTheme="majorHAnsi" w:cstheme="majorHAnsi"/>
                <w:color w:val="000000"/>
                <w:sz w:val="28"/>
                <w:szCs w:val="28"/>
                <w:shd w:val="clear" w:color="auto" w:fill="FFFFFF"/>
                <w:lang w:val="vi-VN"/>
              </w:rPr>
              <w:t>Nghị định số 174/2016/NĐ-CP</w:t>
            </w:r>
          </w:p>
        </w:tc>
        <w:tc>
          <w:tcPr>
            <w:tcW w:w="2835" w:type="dxa"/>
            <w:vAlign w:val="center"/>
          </w:tcPr>
          <w:p w:rsidR="002D793E"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2D793E" w:rsidRPr="00801725" w:rsidRDefault="00E16972"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Sửa lại điểm d khoản 1 Điều 30 Nghị định số 174/2016/NĐ-CP</w:t>
            </w:r>
          </w:p>
        </w:tc>
      </w:tr>
      <w:tr w:rsidR="002D793E" w:rsidRPr="00801725" w:rsidTr="00623BFE">
        <w:tc>
          <w:tcPr>
            <w:tcW w:w="959" w:type="dxa"/>
            <w:vAlign w:val="center"/>
          </w:tcPr>
          <w:p w:rsidR="002D793E" w:rsidRPr="00801725" w:rsidRDefault="002D793E"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2D793E" w:rsidRPr="00801725" w:rsidRDefault="002D793E" w:rsidP="002D4F7B">
            <w:pPr>
              <w:spacing w:after="0" w:line="240" w:lineRule="auto"/>
              <w:jc w:val="both"/>
              <w:rPr>
                <w:rFonts w:asciiTheme="majorHAnsi" w:hAnsiTheme="majorHAnsi" w:cstheme="majorHAnsi"/>
                <w:b/>
                <w:color w:val="000000"/>
                <w:sz w:val="28"/>
                <w:szCs w:val="28"/>
              </w:rPr>
            </w:pPr>
          </w:p>
        </w:tc>
        <w:tc>
          <w:tcPr>
            <w:tcW w:w="4951" w:type="dxa"/>
            <w:vAlign w:val="center"/>
          </w:tcPr>
          <w:p w:rsidR="002D793E" w:rsidRPr="00801725" w:rsidRDefault="002D793E"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đ) Không bị xử phạt vi phạm hành chính trong việc cung cấp dịch vụ kế toán qua biên giới tại Việt Nam trong thời hạn 12 tháng.</w:t>
            </w:r>
          </w:p>
        </w:tc>
        <w:tc>
          <w:tcPr>
            <w:tcW w:w="2137" w:type="dxa"/>
            <w:vAlign w:val="center"/>
          </w:tcPr>
          <w:p w:rsidR="002D793E" w:rsidRPr="00801725" w:rsidRDefault="002F3CA4" w:rsidP="002D4F7B">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 xml:space="preserve">Điểm đ khoản 1 Điều 30 </w:t>
            </w:r>
            <w:r w:rsidRPr="00801725">
              <w:rPr>
                <w:rFonts w:asciiTheme="majorHAnsi" w:hAnsiTheme="majorHAnsi" w:cstheme="majorHAnsi"/>
                <w:color w:val="000000"/>
                <w:sz w:val="28"/>
                <w:szCs w:val="28"/>
                <w:shd w:val="clear" w:color="auto" w:fill="FFFFFF"/>
                <w:lang w:val="vi-VN"/>
              </w:rPr>
              <w:t>Nghị định số 174/2016/NĐ-CP</w:t>
            </w:r>
          </w:p>
        </w:tc>
        <w:tc>
          <w:tcPr>
            <w:tcW w:w="2835" w:type="dxa"/>
            <w:vAlign w:val="center"/>
          </w:tcPr>
          <w:p w:rsidR="002D793E"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2D793E" w:rsidRPr="00801725" w:rsidRDefault="00E16972"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Sửa lại điểm đ khoản 1 Điều 30 Nghị định số 174/2016/NĐ-CP</w:t>
            </w:r>
          </w:p>
        </w:tc>
      </w:tr>
      <w:tr w:rsidR="00C80C6B" w:rsidRPr="00801725" w:rsidTr="00623BFE">
        <w:tc>
          <w:tcPr>
            <w:tcW w:w="959" w:type="dxa"/>
            <w:vAlign w:val="center"/>
          </w:tcPr>
          <w:p w:rsidR="00C80C6B" w:rsidRPr="00801725" w:rsidRDefault="00C80C6B" w:rsidP="002D4F7B">
            <w:pPr>
              <w:spacing w:after="0" w:line="240" w:lineRule="auto"/>
              <w:ind w:left="426"/>
              <w:jc w:val="both"/>
              <w:rPr>
                <w:rFonts w:asciiTheme="majorHAnsi" w:hAnsiTheme="majorHAnsi" w:cstheme="majorHAnsi"/>
                <w:b/>
                <w:color w:val="000000"/>
                <w:sz w:val="28"/>
                <w:szCs w:val="28"/>
                <w:lang w:val="en-US"/>
              </w:rPr>
            </w:pPr>
            <w:r w:rsidRPr="00801725">
              <w:rPr>
                <w:rFonts w:asciiTheme="majorHAnsi" w:hAnsiTheme="majorHAnsi" w:cstheme="majorHAnsi"/>
                <w:b/>
                <w:color w:val="000000"/>
                <w:sz w:val="28"/>
                <w:szCs w:val="28"/>
                <w:lang w:val="en-US"/>
              </w:rPr>
              <w:t>II</w:t>
            </w:r>
          </w:p>
        </w:tc>
        <w:tc>
          <w:tcPr>
            <w:tcW w:w="1559" w:type="dxa"/>
            <w:vAlign w:val="center"/>
          </w:tcPr>
          <w:p w:rsidR="00C80C6B" w:rsidRPr="00801725" w:rsidRDefault="00C80C6B" w:rsidP="002D4F7B">
            <w:pPr>
              <w:spacing w:after="0" w:line="240" w:lineRule="auto"/>
              <w:jc w:val="center"/>
              <w:rPr>
                <w:rFonts w:asciiTheme="majorHAnsi" w:hAnsiTheme="majorHAnsi" w:cstheme="majorHAnsi"/>
                <w:b/>
                <w:color w:val="000000"/>
                <w:sz w:val="28"/>
                <w:szCs w:val="28"/>
              </w:rPr>
            </w:pPr>
            <w:r w:rsidRPr="00801725">
              <w:rPr>
                <w:rFonts w:asciiTheme="majorHAnsi" w:hAnsiTheme="majorHAnsi" w:cstheme="majorHAnsi"/>
                <w:b/>
                <w:color w:val="000000"/>
                <w:sz w:val="28"/>
                <w:szCs w:val="28"/>
              </w:rPr>
              <w:t>Kinh doanh dịch vụ kiểm toán</w:t>
            </w:r>
          </w:p>
        </w:tc>
        <w:tc>
          <w:tcPr>
            <w:tcW w:w="4951" w:type="dxa"/>
            <w:vAlign w:val="center"/>
          </w:tcPr>
          <w:p w:rsidR="00C80C6B" w:rsidRPr="00801725" w:rsidRDefault="00C80C6B" w:rsidP="002D4F7B">
            <w:pPr>
              <w:pStyle w:val="NormalWeb"/>
              <w:shd w:val="clear" w:color="auto" w:fill="FFFFFF"/>
              <w:spacing w:before="0" w:beforeAutospacing="0" w:after="0" w:afterAutospacing="0"/>
              <w:jc w:val="both"/>
              <w:rPr>
                <w:rFonts w:asciiTheme="majorHAnsi" w:hAnsiTheme="majorHAnsi" w:cstheme="majorHAnsi"/>
                <w:color w:val="FF0000"/>
                <w:sz w:val="28"/>
                <w:szCs w:val="28"/>
              </w:rPr>
            </w:pPr>
            <w:r w:rsidRPr="00801725">
              <w:rPr>
                <w:rFonts w:asciiTheme="majorHAnsi" w:hAnsiTheme="majorHAnsi" w:cstheme="majorHAnsi"/>
                <w:b/>
                <w:bCs/>
                <w:color w:val="000000"/>
                <w:sz w:val="28"/>
                <w:szCs w:val="28"/>
                <w:lang w:val="vi-VN"/>
              </w:rPr>
              <w:t xml:space="preserve">A. Điều kiện </w:t>
            </w:r>
            <w:proofErr w:type="spellStart"/>
            <w:r w:rsidRPr="00801725">
              <w:rPr>
                <w:rFonts w:asciiTheme="majorHAnsi" w:hAnsiTheme="majorHAnsi" w:cstheme="majorHAnsi"/>
                <w:b/>
                <w:bCs/>
                <w:color w:val="000000"/>
                <w:sz w:val="28"/>
                <w:szCs w:val="28"/>
              </w:rPr>
              <w:t>chung</w:t>
            </w:r>
            <w:proofErr w:type="spellEnd"/>
          </w:p>
        </w:tc>
        <w:tc>
          <w:tcPr>
            <w:tcW w:w="2137" w:type="dxa"/>
            <w:vAlign w:val="center"/>
          </w:tcPr>
          <w:p w:rsidR="00C80C6B" w:rsidRPr="00801725" w:rsidRDefault="00C80C6B"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sz w:val="28"/>
                <w:szCs w:val="28"/>
                <w:lang w:val="nl-NL"/>
              </w:rPr>
              <w:t>Khoản 1, 2, 3 Điều 21 Luật kiểm toán độc lập</w:t>
            </w:r>
          </w:p>
        </w:tc>
        <w:tc>
          <w:tcPr>
            <w:tcW w:w="2835" w:type="dxa"/>
            <w:vAlign w:val="center"/>
          </w:tcPr>
          <w:p w:rsidR="00C80C6B" w:rsidRPr="00801725" w:rsidRDefault="00C80C6B"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p>
        </w:tc>
        <w:tc>
          <w:tcPr>
            <w:tcW w:w="1984" w:type="dxa"/>
            <w:vAlign w:val="center"/>
          </w:tcPr>
          <w:p w:rsidR="00C80C6B" w:rsidRPr="00801725" w:rsidRDefault="00C80C6B"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p>
        </w:tc>
      </w:tr>
      <w:tr w:rsidR="00C80C6B" w:rsidRPr="00801725" w:rsidTr="00623BFE">
        <w:tc>
          <w:tcPr>
            <w:tcW w:w="959" w:type="dxa"/>
            <w:vAlign w:val="center"/>
          </w:tcPr>
          <w:p w:rsidR="00C80C6B" w:rsidRPr="00801725" w:rsidRDefault="00C80C6B"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C80C6B" w:rsidRPr="00801725" w:rsidRDefault="00C80C6B" w:rsidP="002D4F7B">
            <w:pPr>
              <w:spacing w:after="0" w:line="240" w:lineRule="auto"/>
              <w:jc w:val="both"/>
              <w:rPr>
                <w:rFonts w:asciiTheme="majorHAnsi" w:hAnsiTheme="majorHAnsi" w:cstheme="majorHAnsi"/>
                <w:b/>
                <w:color w:val="000000"/>
                <w:sz w:val="28"/>
                <w:szCs w:val="28"/>
              </w:rPr>
            </w:pPr>
          </w:p>
        </w:tc>
        <w:tc>
          <w:tcPr>
            <w:tcW w:w="4951" w:type="dxa"/>
            <w:vAlign w:val="center"/>
          </w:tcPr>
          <w:p w:rsidR="00C80C6B" w:rsidRPr="00801725" w:rsidRDefault="00C80C6B" w:rsidP="002D4F7B">
            <w:pPr>
              <w:spacing w:after="0" w:line="240" w:lineRule="auto"/>
              <w:jc w:val="both"/>
              <w:rPr>
                <w:rFonts w:asciiTheme="majorHAnsi" w:eastAsia="Times New Roman" w:hAnsiTheme="majorHAnsi" w:cstheme="majorHAnsi"/>
                <w:color w:val="000000"/>
                <w:sz w:val="28"/>
                <w:szCs w:val="28"/>
              </w:rPr>
            </w:pPr>
            <w:r w:rsidRPr="00801725">
              <w:rPr>
                <w:rFonts w:asciiTheme="majorHAnsi" w:eastAsia="Times New Roman" w:hAnsiTheme="majorHAnsi" w:cstheme="majorHAnsi"/>
                <w:color w:val="000000"/>
                <w:sz w:val="28"/>
                <w:szCs w:val="28"/>
              </w:rPr>
              <w:t>a) Có Giấy chứng nhận đăng ký kinh doanh, Giấy chứng nhận đăng ký doanh nghiệp hoặc Giấy chứng nhận đầu tư theo quy định của pháp luật.</w:t>
            </w:r>
          </w:p>
        </w:tc>
        <w:tc>
          <w:tcPr>
            <w:tcW w:w="2137" w:type="dxa"/>
            <w:vAlign w:val="center"/>
          </w:tcPr>
          <w:p w:rsidR="00C80C6B" w:rsidRPr="00801725" w:rsidRDefault="00F5575A"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Điểm a Khoản 1, Điểm a Khoản 2, Điểm a Khoản 3 Điều 21 Luật </w:t>
            </w:r>
            <w:r w:rsidR="00023BD1" w:rsidRPr="00801725">
              <w:rPr>
                <w:rFonts w:asciiTheme="majorHAnsi" w:hAnsiTheme="majorHAnsi" w:cstheme="majorHAnsi"/>
                <w:color w:val="000000"/>
                <w:sz w:val="28"/>
                <w:szCs w:val="28"/>
                <w:shd w:val="clear" w:color="auto" w:fill="FFFFFF"/>
              </w:rPr>
              <w:t>KTĐL</w:t>
            </w:r>
          </w:p>
        </w:tc>
        <w:tc>
          <w:tcPr>
            <w:tcW w:w="2835" w:type="dxa"/>
            <w:vAlign w:val="center"/>
          </w:tcPr>
          <w:p w:rsidR="00C80C6B"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C80C6B" w:rsidRPr="00801725" w:rsidRDefault="00CD2567"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Sửa </w:t>
            </w:r>
            <w:r w:rsidR="00BE5D05" w:rsidRPr="00801725">
              <w:rPr>
                <w:rFonts w:asciiTheme="majorHAnsi" w:hAnsiTheme="majorHAnsi" w:cstheme="majorHAnsi"/>
                <w:color w:val="000000"/>
                <w:sz w:val="28"/>
                <w:szCs w:val="28"/>
                <w:shd w:val="clear" w:color="auto" w:fill="FFFFFF"/>
              </w:rPr>
              <w:t xml:space="preserve">Điểm a Khoản 1, Điểm a Khoản 2, Điểm a Khoản 3 Điều 21 Luật </w:t>
            </w:r>
            <w:r w:rsidR="002D364E" w:rsidRPr="00801725">
              <w:rPr>
                <w:rFonts w:asciiTheme="majorHAnsi" w:hAnsiTheme="majorHAnsi" w:cstheme="majorHAnsi"/>
                <w:color w:val="000000"/>
                <w:sz w:val="28"/>
                <w:szCs w:val="28"/>
                <w:shd w:val="clear" w:color="auto" w:fill="FFFFFF"/>
              </w:rPr>
              <w:t>KTĐL</w:t>
            </w:r>
          </w:p>
        </w:tc>
      </w:tr>
      <w:tr w:rsidR="00C80C6B" w:rsidRPr="00801725" w:rsidTr="00623BFE">
        <w:tc>
          <w:tcPr>
            <w:tcW w:w="959" w:type="dxa"/>
            <w:vAlign w:val="center"/>
          </w:tcPr>
          <w:p w:rsidR="00C80C6B" w:rsidRPr="00801725" w:rsidRDefault="00C80C6B" w:rsidP="002D4F7B">
            <w:pPr>
              <w:spacing w:after="0" w:line="240" w:lineRule="auto"/>
              <w:ind w:left="426"/>
              <w:jc w:val="both"/>
              <w:rPr>
                <w:rFonts w:asciiTheme="majorHAnsi" w:hAnsiTheme="majorHAnsi" w:cstheme="majorHAnsi"/>
                <w:color w:val="000000"/>
                <w:sz w:val="28"/>
                <w:szCs w:val="28"/>
              </w:rPr>
            </w:pPr>
          </w:p>
        </w:tc>
        <w:tc>
          <w:tcPr>
            <w:tcW w:w="1559" w:type="dxa"/>
            <w:vAlign w:val="center"/>
          </w:tcPr>
          <w:p w:rsidR="00C80C6B" w:rsidRPr="00801725" w:rsidRDefault="00C80C6B" w:rsidP="002D4F7B">
            <w:pPr>
              <w:spacing w:after="0" w:line="240" w:lineRule="auto"/>
              <w:jc w:val="both"/>
              <w:rPr>
                <w:rFonts w:asciiTheme="majorHAnsi" w:hAnsiTheme="majorHAnsi" w:cstheme="majorHAnsi"/>
                <w:b/>
                <w:color w:val="000000"/>
                <w:sz w:val="28"/>
                <w:szCs w:val="28"/>
              </w:rPr>
            </w:pPr>
          </w:p>
        </w:tc>
        <w:tc>
          <w:tcPr>
            <w:tcW w:w="4951" w:type="dxa"/>
            <w:vAlign w:val="center"/>
          </w:tcPr>
          <w:p w:rsidR="00C80C6B" w:rsidRPr="00801725" w:rsidRDefault="00C80C6B" w:rsidP="002D4F7B">
            <w:pPr>
              <w:spacing w:after="0" w:line="240" w:lineRule="auto"/>
              <w:jc w:val="both"/>
              <w:rPr>
                <w:rFonts w:asciiTheme="majorHAnsi" w:eastAsia="Times New Roman" w:hAnsiTheme="majorHAnsi" w:cstheme="majorHAnsi"/>
                <w:bCs/>
                <w:color w:val="000000"/>
                <w:sz w:val="28"/>
                <w:szCs w:val="28"/>
              </w:rPr>
            </w:pPr>
            <w:r w:rsidRPr="00801725">
              <w:rPr>
                <w:rFonts w:asciiTheme="majorHAnsi" w:eastAsia="Times New Roman" w:hAnsiTheme="majorHAnsi" w:cstheme="majorHAnsi"/>
                <w:b/>
                <w:bCs/>
                <w:color w:val="000000"/>
                <w:sz w:val="28"/>
                <w:szCs w:val="28"/>
              </w:rPr>
              <w:t>C. Điều kiện với Công ty TNHH</w:t>
            </w:r>
          </w:p>
        </w:tc>
        <w:tc>
          <w:tcPr>
            <w:tcW w:w="2137" w:type="dxa"/>
            <w:vAlign w:val="center"/>
          </w:tcPr>
          <w:p w:rsidR="00C80C6B" w:rsidRPr="00801725" w:rsidRDefault="00C80C6B" w:rsidP="002D4F7B">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801725">
              <w:rPr>
                <w:rFonts w:asciiTheme="majorHAnsi" w:hAnsiTheme="majorHAnsi" w:cstheme="majorHAnsi"/>
                <w:sz w:val="28"/>
                <w:szCs w:val="28"/>
                <w:lang w:val="nl-NL"/>
              </w:rPr>
              <w:t xml:space="preserve">Khoản 1 Điều 21 </w:t>
            </w:r>
            <w:r w:rsidRPr="00801725">
              <w:rPr>
                <w:rFonts w:asciiTheme="majorHAnsi" w:hAnsiTheme="majorHAnsi" w:cstheme="majorHAnsi"/>
                <w:sz w:val="28"/>
                <w:szCs w:val="28"/>
                <w:lang w:val="nl-NL"/>
              </w:rPr>
              <w:lastRenderedPageBreak/>
              <w:t>Luật kiểm toán độc lập, Điều 5, Điều 6, Điều 7 Khoản 1 Điều 11 Nghị định số 17/2012/NĐ-CP</w:t>
            </w:r>
          </w:p>
        </w:tc>
        <w:tc>
          <w:tcPr>
            <w:tcW w:w="2835"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p>
        </w:tc>
        <w:tc>
          <w:tcPr>
            <w:tcW w:w="1984"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p>
        </w:tc>
      </w:tr>
      <w:tr w:rsidR="00C80C6B" w:rsidRPr="00801725" w:rsidTr="00623BFE">
        <w:tc>
          <w:tcPr>
            <w:tcW w:w="959" w:type="dxa"/>
            <w:vAlign w:val="center"/>
          </w:tcPr>
          <w:p w:rsidR="00C80C6B" w:rsidRPr="00801725" w:rsidRDefault="00C80C6B" w:rsidP="002D4F7B">
            <w:pPr>
              <w:pStyle w:val="ListParagraph"/>
              <w:numPr>
                <w:ilvl w:val="0"/>
                <w:numId w:val="2"/>
              </w:numPr>
              <w:spacing w:after="0" w:line="240" w:lineRule="auto"/>
              <w:rPr>
                <w:rFonts w:asciiTheme="majorHAnsi" w:hAnsiTheme="majorHAnsi" w:cstheme="majorHAnsi"/>
                <w:color w:val="000000"/>
                <w:szCs w:val="28"/>
                <w:lang w:val="vi-VN"/>
              </w:rPr>
            </w:pPr>
          </w:p>
        </w:tc>
        <w:tc>
          <w:tcPr>
            <w:tcW w:w="1559" w:type="dxa"/>
            <w:vAlign w:val="center"/>
          </w:tcPr>
          <w:p w:rsidR="00C80C6B" w:rsidRPr="00801725" w:rsidRDefault="00C80C6B" w:rsidP="002D4F7B">
            <w:pPr>
              <w:spacing w:after="0" w:line="240" w:lineRule="auto"/>
              <w:jc w:val="both"/>
              <w:rPr>
                <w:rFonts w:asciiTheme="majorHAnsi" w:hAnsiTheme="majorHAnsi" w:cstheme="majorHAnsi"/>
                <w:b/>
                <w:color w:val="000000"/>
                <w:sz w:val="28"/>
                <w:szCs w:val="28"/>
              </w:rPr>
            </w:pPr>
          </w:p>
        </w:tc>
        <w:tc>
          <w:tcPr>
            <w:tcW w:w="4951" w:type="dxa"/>
            <w:vAlign w:val="center"/>
          </w:tcPr>
          <w:p w:rsidR="00C80C6B" w:rsidRPr="00801725" w:rsidRDefault="00C80C6B" w:rsidP="002D4F7B">
            <w:pPr>
              <w:spacing w:after="0" w:line="240" w:lineRule="auto"/>
              <w:jc w:val="both"/>
              <w:rPr>
                <w:rFonts w:asciiTheme="majorHAnsi" w:eastAsia="Times New Roman" w:hAnsiTheme="majorHAnsi" w:cstheme="majorHAnsi"/>
                <w:color w:val="000000"/>
                <w:sz w:val="28"/>
                <w:szCs w:val="28"/>
              </w:rPr>
            </w:pPr>
            <w:r w:rsidRPr="00801725">
              <w:rPr>
                <w:rFonts w:asciiTheme="majorHAnsi" w:eastAsia="Times New Roman" w:hAnsiTheme="majorHAnsi" w:cstheme="majorHAnsi"/>
                <w:color w:val="000000"/>
                <w:sz w:val="28"/>
                <w:szCs w:val="28"/>
              </w:rPr>
              <w:t xml:space="preserve">Phần vốn góp của thành viên là tổ chức (nếu có) không được vượt quá mức 35% vốn điều lệ. </w:t>
            </w:r>
            <w:r w:rsidRPr="00801725">
              <w:rPr>
                <w:rFonts w:asciiTheme="majorHAnsi" w:hAnsiTheme="majorHAnsi" w:cstheme="majorHAnsi"/>
                <w:sz w:val="28"/>
                <w:szCs w:val="28"/>
              </w:rPr>
              <w:t>Đại diện của thành viên là tổ chức phải là KTV hành nghề và không được đồng thời góp vốn với tư cách cá nhân.</w:t>
            </w:r>
          </w:p>
        </w:tc>
        <w:tc>
          <w:tcPr>
            <w:tcW w:w="2137" w:type="dxa"/>
            <w:vAlign w:val="center"/>
          </w:tcPr>
          <w:p w:rsidR="00C80C6B" w:rsidRPr="00801725" w:rsidRDefault="002F3CA4"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Điểm đ </w:t>
            </w:r>
            <w:r w:rsidR="00D32100" w:rsidRPr="00801725">
              <w:rPr>
                <w:rFonts w:asciiTheme="majorHAnsi" w:hAnsiTheme="majorHAnsi" w:cstheme="majorHAnsi"/>
                <w:color w:val="000000"/>
                <w:sz w:val="28"/>
                <w:szCs w:val="28"/>
                <w:shd w:val="clear" w:color="auto" w:fill="FFFFFF"/>
              </w:rPr>
              <w:t>K</w:t>
            </w:r>
            <w:r w:rsidRPr="00801725">
              <w:rPr>
                <w:rFonts w:asciiTheme="majorHAnsi" w:hAnsiTheme="majorHAnsi" w:cstheme="majorHAnsi"/>
                <w:color w:val="000000"/>
                <w:sz w:val="28"/>
                <w:szCs w:val="28"/>
                <w:shd w:val="clear" w:color="auto" w:fill="FFFFFF"/>
              </w:rPr>
              <w:t>hoản 1 Điều 21 Luật KTĐL</w:t>
            </w:r>
            <w:r w:rsidR="002D364E" w:rsidRPr="00801725">
              <w:rPr>
                <w:rFonts w:asciiTheme="majorHAnsi" w:hAnsiTheme="majorHAnsi" w:cstheme="majorHAnsi"/>
                <w:color w:val="000000"/>
                <w:sz w:val="28"/>
                <w:szCs w:val="28"/>
                <w:shd w:val="clear" w:color="auto" w:fill="FFFFFF"/>
              </w:rPr>
              <w:t xml:space="preserve"> và </w:t>
            </w:r>
            <w:r w:rsidR="003A128E" w:rsidRPr="00801725">
              <w:rPr>
                <w:rFonts w:asciiTheme="majorHAnsi" w:hAnsiTheme="majorHAnsi" w:cstheme="majorHAnsi"/>
                <w:color w:val="000000"/>
                <w:sz w:val="28"/>
                <w:szCs w:val="28"/>
                <w:shd w:val="clear" w:color="auto" w:fill="FFFFFF"/>
              </w:rPr>
              <w:t>Khoản 2, Khoản 3 Điều 6 Nghị định số 17/2012/NĐ-CP</w:t>
            </w:r>
          </w:p>
        </w:tc>
        <w:tc>
          <w:tcPr>
            <w:tcW w:w="2835" w:type="dxa"/>
            <w:vAlign w:val="center"/>
          </w:tcPr>
          <w:p w:rsidR="00C80C6B" w:rsidRPr="00801725" w:rsidRDefault="00C80C6B" w:rsidP="002D4F7B">
            <w:pPr>
              <w:spacing w:after="0" w:line="240" w:lineRule="auto"/>
              <w:jc w:val="both"/>
              <w:rPr>
                <w:rFonts w:asciiTheme="majorHAnsi" w:hAnsiTheme="majorHAnsi" w:cstheme="majorHAnsi"/>
                <w:sz w:val="28"/>
                <w:szCs w:val="28"/>
                <w:shd w:val="clear" w:color="auto" w:fill="FFFFFF"/>
              </w:rPr>
            </w:pPr>
            <w:r w:rsidRPr="00801725">
              <w:rPr>
                <w:rFonts w:asciiTheme="majorHAnsi" w:hAnsiTheme="majorHAnsi" w:cstheme="majorHAnsi"/>
                <w:sz w:val="28"/>
                <w:szCs w:val="28"/>
              </w:rPr>
              <w:t xml:space="preserve">Bỏ quy định </w:t>
            </w:r>
            <w:r w:rsidRPr="00801725">
              <w:rPr>
                <w:rFonts w:asciiTheme="majorHAnsi" w:hAnsiTheme="majorHAnsi" w:cstheme="majorHAnsi"/>
                <w:i/>
                <w:sz w:val="28"/>
                <w:szCs w:val="28"/>
              </w:rPr>
              <w:t>“Đại diện của thành viên là tổ chức phải là KTV hành nghề và không được đồng thời góp vốn với tư cách cá nhân”.</w:t>
            </w:r>
          </w:p>
        </w:tc>
        <w:tc>
          <w:tcPr>
            <w:tcW w:w="1984" w:type="dxa"/>
            <w:vAlign w:val="center"/>
          </w:tcPr>
          <w:p w:rsidR="00C80C6B" w:rsidRPr="00801725" w:rsidRDefault="002F3CA4"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Sửa điểm đ </w:t>
            </w:r>
            <w:r w:rsidR="00441251" w:rsidRPr="00801725">
              <w:rPr>
                <w:rFonts w:asciiTheme="majorHAnsi" w:hAnsiTheme="majorHAnsi" w:cstheme="majorHAnsi"/>
                <w:color w:val="000000"/>
                <w:sz w:val="28"/>
                <w:szCs w:val="28"/>
                <w:shd w:val="clear" w:color="auto" w:fill="FFFFFF"/>
              </w:rPr>
              <w:t>K</w:t>
            </w:r>
            <w:r w:rsidRPr="00801725">
              <w:rPr>
                <w:rFonts w:asciiTheme="majorHAnsi" w:hAnsiTheme="majorHAnsi" w:cstheme="majorHAnsi"/>
                <w:color w:val="000000"/>
                <w:sz w:val="28"/>
                <w:szCs w:val="28"/>
                <w:shd w:val="clear" w:color="auto" w:fill="FFFFFF"/>
              </w:rPr>
              <w:t>hoản 1 Điều 21 Luật KTĐL</w:t>
            </w:r>
            <w:r w:rsidR="009D26F2" w:rsidRPr="00801725">
              <w:rPr>
                <w:rFonts w:asciiTheme="majorHAnsi" w:hAnsiTheme="majorHAnsi" w:cstheme="majorHAnsi"/>
                <w:color w:val="000000"/>
                <w:sz w:val="28"/>
                <w:szCs w:val="28"/>
                <w:shd w:val="clear" w:color="auto" w:fill="FFFFFF"/>
              </w:rPr>
              <w:t xml:space="preserve"> và Khoản 2, Khoản 3 Điều 6 Nghị định số 17/2012/NĐ-CP</w:t>
            </w:r>
          </w:p>
        </w:tc>
      </w:tr>
      <w:tr w:rsidR="00C80C6B" w:rsidRPr="00801725" w:rsidTr="00623BFE">
        <w:tc>
          <w:tcPr>
            <w:tcW w:w="959" w:type="dxa"/>
            <w:vAlign w:val="center"/>
          </w:tcPr>
          <w:p w:rsidR="00C80C6B" w:rsidRPr="00801725" w:rsidRDefault="00C80C6B" w:rsidP="002D4F7B">
            <w:pPr>
              <w:spacing w:after="0" w:line="240" w:lineRule="auto"/>
              <w:ind w:left="426"/>
              <w:jc w:val="both"/>
              <w:rPr>
                <w:rFonts w:asciiTheme="majorHAnsi" w:hAnsiTheme="majorHAnsi" w:cstheme="majorHAnsi"/>
                <w:color w:val="000000"/>
                <w:sz w:val="28"/>
                <w:szCs w:val="28"/>
              </w:rPr>
            </w:pPr>
          </w:p>
        </w:tc>
        <w:tc>
          <w:tcPr>
            <w:tcW w:w="1559" w:type="dxa"/>
            <w:vAlign w:val="center"/>
          </w:tcPr>
          <w:p w:rsidR="00C80C6B" w:rsidRPr="00801725" w:rsidRDefault="00C80C6B" w:rsidP="002D4F7B">
            <w:pPr>
              <w:spacing w:after="0" w:line="240" w:lineRule="auto"/>
              <w:jc w:val="both"/>
              <w:rPr>
                <w:rFonts w:asciiTheme="majorHAnsi" w:hAnsiTheme="majorHAnsi" w:cstheme="majorHAnsi"/>
                <w:b/>
                <w:color w:val="000000"/>
                <w:sz w:val="28"/>
                <w:szCs w:val="28"/>
              </w:rPr>
            </w:pPr>
          </w:p>
        </w:tc>
        <w:tc>
          <w:tcPr>
            <w:tcW w:w="4951" w:type="dxa"/>
            <w:vAlign w:val="center"/>
          </w:tcPr>
          <w:p w:rsidR="00C80C6B" w:rsidRPr="00801725" w:rsidRDefault="00C80C6B" w:rsidP="002D4F7B">
            <w:pPr>
              <w:pStyle w:val="NormalWeb"/>
              <w:shd w:val="clear" w:color="auto" w:fill="FFFFFF"/>
              <w:spacing w:before="0" w:beforeAutospacing="0" w:after="0" w:afterAutospacing="0"/>
              <w:jc w:val="both"/>
              <w:rPr>
                <w:rFonts w:asciiTheme="majorHAnsi" w:hAnsiTheme="majorHAnsi" w:cstheme="majorHAnsi"/>
                <w:b/>
                <w:bCs/>
                <w:color w:val="000000"/>
                <w:sz w:val="28"/>
                <w:szCs w:val="28"/>
                <w:lang w:val="vi-VN"/>
              </w:rPr>
            </w:pPr>
            <w:r w:rsidRPr="00801725">
              <w:rPr>
                <w:rFonts w:asciiTheme="majorHAnsi" w:hAnsiTheme="majorHAnsi" w:cstheme="majorHAnsi"/>
                <w:b/>
                <w:bCs/>
                <w:color w:val="000000"/>
                <w:sz w:val="28"/>
                <w:szCs w:val="28"/>
                <w:lang w:val="vi-VN"/>
              </w:rPr>
              <w:t>E. Điều kiện đối với Chi nhánh doanh nghiệp kiểm toán nước ngoài tại Việt Nam</w:t>
            </w:r>
          </w:p>
        </w:tc>
        <w:tc>
          <w:tcPr>
            <w:tcW w:w="2137"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eastAsia="Times New Roman" w:hAnsiTheme="majorHAnsi" w:cstheme="majorHAnsi"/>
                <w:sz w:val="28"/>
                <w:szCs w:val="28"/>
                <w:lang w:val="nl-NL"/>
              </w:rPr>
              <w:t>Khoản 4 Điều 21 Luật kiểm toán độc lập, Điều 8 Nghị định số 17/2012/NĐ-CP</w:t>
            </w:r>
          </w:p>
        </w:tc>
        <w:tc>
          <w:tcPr>
            <w:tcW w:w="2835"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p>
        </w:tc>
        <w:tc>
          <w:tcPr>
            <w:tcW w:w="1984"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p>
        </w:tc>
      </w:tr>
      <w:tr w:rsidR="00C80C6B" w:rsidRPr="00801725" w:rsidTr="00623BFE">
        <w:tc>
          <w:tcPr>
            <w:tcW w:w="959" w:type="dxa"/>
            <w:vAlign w:val="center"/>
          </w:tcPr>
          <w:p w:rsidR="00C80C6B" w:rsidRPr="00801725" w:rsidRDefault="00C80C6B"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C80C6B" w:rsidRPr="00801725" w:rsidRDefault="00C80C6B" w:rsidP="002D4F7B">
            <w:pPr>
              <w:spacing w:after="0" w:line="240" w:lineRule="auto"/>
              <w:jc w:val="both"/>
              <w:rPr>
                <w:rFonts w:asciiTheme="majorHAnsi" w:hAnsiTheme="majorHAnsi" w:cstheme="majorHAnsi"/>
                <w:b/>
                <w:color w:val="000000"/>
                <w:sz w:val="28"/>
                <w:szCs w:val="28"/>
              </w:rPr>
            </w:pPr>
          </w:p>
        </w:tc>
        <w:tc>
          <w:tcPr>
            <w:tcW w:w="4951" w:type="dxa"/>
            <w:vAlign w:val="center"/>
          </w:tcPr>
          <w:p w:rsidR="00C80C6B" w:rsidRPr="00801725" w:rsidRDefault="00C80C6B" w:rsidP="002D4F7B">
            <w:pPr>
              <w:spacing w:after="0" w:line="240" w:lineRule="auto"/>
              <w:jc w:val="both"/>
              <w:rPr>
                <w:rFonts w:asciiTheme="majorHAnsi" w:eastAsia="Times New Roman" w:hAnsiTheme="majorHAnsi" w:cstheme="majorHAnsi"/>
                <w:color w:val="000000"/>
                <w:sz w:val="28"/>
                <w:szCs w:val="28"/>
              </w:rPr>
            </w:pPr>
            <w:r w:rsidRPr="00801725">
              <w:rPr>
                <w:rFonts w:asciiTheme="majorHAnsi" w:eastAsia="Times New Roman" w:hAnsiTheme="majorHAnsi" w:cstheme="majorHAnsi"/>
                <w:color w:val="000000"/>
                <w:sz w:val="28"/>
                <w:szCs w:val="28"/>
              </w:rPr>
              <w:t>d) Doanh nghiệp kiểm toán nước ngoài phải có văn bản gửi Bộ Tài chính bảo đảm chịu trách nhiệm về mọi nghĩa vụ và cam kết của chi nhánh doanh nghiệp kiểm toán nước ngoài tại Việt Nam.</w:t>
            </w:r>
          </w:p>
        </w:tc>
        <w:tc>
          <w:tcPr>
            <w:tcW w:w="2137" w:type="dxa"/>
            <w:vAlign w:val="center"/>
          </w:tcPr>
          <w:p w:rsidR="00C80C6B" w:rsidRPr="00801725" w:rsidRDefault="002F3CA4"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Điểm d </w:t>
            </w:r>
            <w:r w:rsidR="00810AB1" w:rsidRPr="00801725">
              <w:rPr>
                <w:rFonts w:asciiTheme="majorHAnsi" w:hAnsiTheme="majorHAnsi" w:cstheme="majorHAnsi"/>
                <w:color w:val="000000"/>
                <w:sz w:val="28"/>
                <w:szCs w:val="28"/>
                <w:shd w:val="clear" w:color="auto" w:fill="FFFFFF"/>
              </w:rPr>
              <w:t>K</w:t>
            </w:r>
            <w:r w:rsidRPr="00801725">
              <w:rPr>
                <w:rFonts w:asciiTheme="majorHAnsi" w:hAnsiTheme="majorHAnsi" w:cstheme="majorHAnsi"/>
                <w:color w:val="000000"/>
                <w:sz w:val="28"/>
                <w:szCs w:val="28"/>
                <w:shd w:val="clear" w:color="auto" w:fill="FFFFFF"/>
              </w:rPr>
              <w:t>hoản 4 Điều 21 Luật KTĐL</w:t>
            </w:r>
          </w:p>
        </w:tc>
        <w:tc>
          <w:tcPr>
            <w:tcW w:w="2835"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Bỏ quy định này (Không xem là điều kiện mà là nghĩa vụ của doanh nghiệp)</w:t>
            </w:r>
          </w:p>
        </w:tc>
        <w:tc>
          <w:tcPr>
            <w:tcW w:w="1984" w:type="dxa"/>
            <w:vAlign w:val="center"/>
          </w:tcPr>
          <w:p w:rsidR="00C80C6B" w:rsidRPr="00801725" w:rsidRDefault="002F3CA4"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Sửa điểm d </w:t>
            </w:r>
            <w:r w:rsidR="00810AB1" w:rsidRPr="00801725">
              <w:rPr>
                <w:rFonts w:asciiTheme="majorHAnsi" w:hAnsiTheme="majorHAnsi" w:cstheme="majorHAnsi"/>
                <w:color w:val="000000"/>
                <w:sz w:val="28"/>
                <w:szCs w:val="28"/>
                <w:shd w:val="clear" w:color="auto" w:fill="FFFFFF"/>
              </w:rPr>
              <w:t>K</w:t>
            </w:r>
            <w:r w:rsidRPr="00801725">
              <w:rPr>
                <w:rFonts w:asciiTheme="majorHAnsi" w:hAnsiTheme="majorHAnsi" w:cstheme="majorHAnsi"/>
                <w:color w:val="000000"/>
                <w:sz w:val="28"/>
                <w:szCs w:val="28"/>
                <w:shd w:val="clear" w:color="auto" w:fill="FFFFFF"/>
              </w:rPr>
              <w:t>hoản 4 Điều 21 Luật KTĐL</w:t>
            </w:r>
          </w:p>
        </w:tc>
      </w:tr>
      <w:tr w:rsidR="00C80C6B" w:rsidRPr="00801725" w:rsidTr="00623BFE">
        <w:tc>
          <w:tcPr>
            <w:tcW w:w="959" w:type="dxa"/>
            <w:vAlign w:val="center"/>
          </w:tcPr>
          <w:p w:rsidR="00C80C6B" w:rsidRPr="00801725" w:rsidRDefault="00C80C6B" w:rsidP="002D4F7B">
            <w:pPr>
              <w:spacing w:after="0" w:line="240" w:lineRule="auto"/>
              <w:ind w:left="426"/>
              <w:jc w:val="both"/>
              <w:rPr>
                <w:rFonts w:asciiTheme="majorHAnsi" w:hAnsiTheme="majorHAnsi" w:cstheme="majorHAnsi"/>
                <w:color w:val="000000"/>
                <w:sz w:val="28"/>
                <w:szCs w:val="28"/>
              </w:rPr>
            </w:pPr>
          </w:p>
        </w:tc>
        <w:tc>
          <w:tcPr>
            <w:tcW w:w="1559" w:type="dxa"/>
            <w:vAlign w:val="center"/>
          </w:tcPr>
          <w:p w:rsidR="00C80C6B" w:rsidRPr="00801725" w:rsidRDefault="00C80C6B" w:rsidP="002D4F7B">
            <w:pPr>
              <w:spacing w:after="0" w:line="240" w:lineRule="auto"/>
              <w:jc w:val="both"/>
              <w:rPr>
                <w:rFonts w:asciiTheme="majorHAnsi" w:hAnsiTheme="majorHAnsi" w:cstheme="majorHAnsi"/>
                <w:b/>
                <w:color w:val="000000"/>
                <w:sz w:val="28"/>
                <w:szCs w:val="28"/>
              </w:rPr>
            </w:pPr>
          </w:p>
        </w:tc>
        <w:tc>
          <w:tcPr>
            <w:tcW w:w="4951"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rPr>
            </w:pPr>
            <w:bookmarkStart w:id="0" w:name="dieu_5"/>
            <w:r w:rsidRPr="00801725">
              <w:rPr>
                <w:rFonts w:asciiTheme="majorHAnsi" w:hAnsiTheme="majorHAnsi" w:cstheme="majorHAnsi"/>
                <w:b/>
                <w:bCs/>
                <w:color w:val="000000"/>
                <w:sz w:val="28"/>
                <w:szCs w:val="28"/>
              </w:rPr>
              <w:t>F. Điều kiện đối với tổ chức kiểm toán được chấp thuận</w:t>
            </w:r>
            <w:bookmarkEnd w:id="0"/>
            <w:r w:rsidRPr="00801725">
              <w:rPr>
                <w:rFonts w:asciiTheme="majorHAnsi" w:hAnsiTheme="majorHAnsi" w:cstheme="majorHAnsi"/>
                <w:b/>
                <w:bCs/>
                <w:color w:val="000000"/>
                <w:sz w:val="28"/>
                <w:szCs w:val="28"/>
              </w:rPr>
              <w:t xml:space="preserve"> kiểm toán cho đơn vị có lợi ích công chúng</w:t>
            </w:r>
          </w:p>
        </w:tc>
        <w:tc>
          <w:tcPr>
            <w:tcW w:w="2137"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eastAsia="Times New Roman" w:hAnsiTheme="majorHAnsi" w:cstheme="majorHAnsi"/>
                <w:sz w:val="28"/>
                <w:szCs w:val="28"/>
                <w:lang w:val="nl-NL"/>
              </w:rPr>
              <w:t>Điều 5 Nghị định số 84/2016/NĐ-CP</w:t>
            </w:r>
          </w:p>
        </w:tc>
        <w:tc>
          <w:tcPr>
            <w:tcW w:w="2835"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p>
        </w:tc>
        <w:tc>
          <w:tcPr>
            <w:tcW w:w="1984"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shd w:val="clear" w:color="auto" w:fill="FFFFFF"/>
              </w:rPr>
            </w:pPr>
          </w:p>
        </w:tc>
      </w:tr>
      <w:tr w:rsidR="00C80C6B" w:rsidRPr="00801725" w:rsidTr="00623BFE">
        <w:tc>
          <w:tcPr>
            <w:tcW w:w="959" w:type="dxa"/>
            <w:vAlign w:val="center"/>
          </w:tcPr>
          <w:p w:rsidR="00C80C6B" w:rsidRPr="00801725" w:rsidRDefault="00C80C6B"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C80C6B" w:rsidRPr="00801725" w:rsidRDefault="00C80C6B" w:rsidP="002D4F7B">
            <w:pPr>
              <w:spacing w:after="0" w:line="240" w:lineRule="auto"/>
              <w:jc w:val="both"/>
              <w:rPr>
                <w:rFonts w:asciiTheme="majorHAnsi" w:hAnsiTheme="majorHAnsi" w:cstheme="majorHAnsi"/>
                <w:color w:val="000000"/>
                <w:sz w:val="28"/>
                <w:szCs w:val="28"/>
              </w:rPr>
            </w:pPr>
          </w:p>
        </w:tc>
        <w:tc>
          <w:tcPr>
            <w:tcW w:w="4951" w:type="dxa"/>
            <w:vAlign w:val="center"/>
          </w:tcPr>
          <w:p w:rsidR="00C80C6B" w:rsidRPr="00801725" w:rsidRDefault="00C80C6B"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a) Có Giấy chứng nhận đủ Điều kiện kinh doanh dịch vụ kiểm toán.</w:t>
            </w:r>
          </w:p>
        </w:tc>
        <w:tc>
          <w:tcPr>
            <w:tcW w:w="2137" w:type="dxa"/>
            <w:vAlign w:val="center"/>
          </w:tcPr>
          <w:p w:rsidR="00C80C6B" w:rsidRPr="00801725" w:rsidRDefault="00762611"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Điểm a </w:t>
            </w:r>
            <w:r w:rsidR="007479F2" w:rsidRPr="00801725">
              <w:rPr>
                <w:rFonts w:asciiTheme="majorHAnsi" w:hAnsiTheme="majorHAnsi" w:cstheme="majorHAnsi"/>
                <w:color w:val="000000"/>
                <w:sz w:val="28"/>
                <w:szCs w:val="28"/>
                <w:shd w:val="clear" w:color="auto" w:fill="FFFFFF"/>
              </w:rPr>
              <w:t>K</w:t>
            </w:r>
            <w:r w:rsidRPr="00801725">
              <w:rPr>
                <w:rFonts w:asciiTheme="majorHAnsi" w:hAnsiTheme="majorHAnsi" w:cstheme="majorHAnsi"/>
                <w:color w:val="000000"/>
                <w:sz w:val="28"/>
                <w:szCs w:val="28"/>
                <w:shd w:val="clear" w:color="auto" w:fill="FFFFFF"/>
              </w:rPr>
              <w:t>hoản 1</w:t>
            </w:r>
            <w:r w:rsidR="00926B54" w:rsidRPr="00801725">
              <w:rPr>
                <w:rFonts w:asciiTheme="majorHAnsi" w:hAnsiTheme="majorHAnsi" w:cstheme="majorHAnsi"/>
                <w:color w:val="000000"/>
                <w:sz w:val="28"/>
                <w:szCs w:val="28"/>
                <w:shd w:val="clear" w:color="auto" w:fill="FFFFFF"/>
              </w:rPr>
              <w:t xml:space="preserve"> và Khoản 2</w:t>
            </w:r>
            <w:r w:rsidRPr="00801725">
              <w:rPr>
                <w:rFonts w:asciiTheme="majorHAnsi" w:hAnsiTheme="majorHAnsi" w:cstheme="majorHAnsi"/>
                <w:color w:val="000000"/>
                <w:sz w:val="28"/>
                <w:szCs w:val="28"/>
                <w:shd w:val="clear" w:color="auto" w:fill="FFFFFF"/>
              </w:rPr>
              <w:t xml:space="preserve"> Điều 5 Nghị định 84/2016/NĐ-CP</w:t>
            </w:r>
          </w:p>
        </w:tc>
        <w:tc>
          <w:tcPr>
            <w:tcW w:w="2835" w:type="dxa"/>
            <w:vAlign w:val="center"/>
          </w:tcPr>
          <w:p w:rsidR="00C80C6B"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 xml:space="preserve">Đề nghị cắt giảm điều kiện này </w:t>
            </w:r>
            <w:r w:rsidR="00C80C6B" w:rsidRPr="00801725">
              <w:rPr>
                <w:rFonts w:asciiTheme="majorHAnsi" w:hAnsiTheme="majorHAnsi" w:cstheme="majorHAnsi"/>
                <w:color w:val="000000"/>
                <w:sz w:val="28"/>
                <w:szCs w:val="28"/>
                <w:shd w:val="clear" w:color="auto" w:fill="FFFFFF"/>
              </w:rPr>
              <w:t xml:space="preserve">(Chuyển sang quy định về hồ sơ đăng ký thực hiện kiểm toán </w:t>
            </w:r>
            <w:r w:rsidR="00C80C6B" w:rsidRPr="00801725">
              <w:rPr>
                <w:rFonts w:asciiTheme="majorHAnsi" w:hAnsiTheme="majorHAnsi" w:cstheme="majorHAnsi"/>
                <w:color w:val="000000"/>
                <w:sz w:val="28"/>
                <w:szCs w:val="28"/>
                <w:shd w:val="clear" w:color="auto" w:fill="FFFFFF"/>
              </w:rPr>
              <w:lastRenderedPageBreak/>
              <w:t>cho đơn vị có lợi ích công chúng)</w:t>
            </w:r>
          </w:p>
        </w:tc>
        <w:tc>
          <w:tcPr>
            <w:tcW w:w="1984" w:type="dxa"/>
            <w:vAlign w:val="center"/>
          </w:tcPr>
          <w:p w:rsidR="00C80C6B" w:rsidRPr="00801725" w:rsidRDefault="002F3CA4"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lastRenderedPageBreak/>
              <w:t>Sửa</w:t>
            </w:r>
            <w:r w:rsidR="00762611" w:rsidRPr="00801725">
              <w:rPr>
                <w:rFonts w:asciiTheme="majorHAnsi" w:hAnsiTheme="majorHAnsi" w:cstheme="majorHAnsi"/>
                <w:color w:val="000000"/>
                <w:sz w:val="28"/>
                <w:szCs w:val="28"/>
                <w:shd w:val="clear" w:color="auto" w:fill="FFFFFF"/>
              </w:rPr>
              <w:t xml:space="preserve"> Điểm a </w:t>
            </w:r>
            <w:r w:rsidRPr="00801725">
              <w:rPr>
                <w:rFonts w:asciiTheme="majorHAnsi" w:hAnsiTheme="majorHAnsi" w:cstheme="majorHAnsi"/>
                <w:color w:val="000000"/>
                <w:sz w:val="28"/>
                <w:szCs w:val="28"/>
                <w:shd w:val="clear" w:color="auto" w:fill="FFFFFF"/>
              </w:rPr>
              <w:t xml:space="preserve"> </w:t>
            </w:r>
            <w:r w:rsidR="008F04DC" w:rsidRPr="00801725">
              <w:rPr>
                <w:rFonts w:asciiTheme="majorHAnsi" w:hAnsiTheme="majorHAnsi" w:cstheme="majorHAnsi"/>
                <w:color w:val="000000"/>
                <w:sz w:val="28"/>
                <w:szCs w:val="28"/>
                <w:shd w:val="clear" w:color="auto" w:fill="FFFFFF"/>
              </w:rPr>
              <w:t>K</w:t>
            </w:r>
            <w:r w:rsidR="00762611" w:rsidRPr="00801725">
              <w:rPr>
                <w:rFonts w:asciiTheme="majorHAnsi" w:hAnsiTheme="majorHAnsi" w:cstheme="majorHAnsi"/>
                <w:color w:val="000000"/>
                <w:sz w:val="28"/>
                <w:szCs w:val="28"/>
                <w:shd w:val="clear" w:color="auto" w:fill="FFFFFF"/>
              </w:rPr>
              <w:t xml:space="preserve">hoản 1 </w:t>
            </w:r>
            <w:r w:rsidR="008F04DC" w:rsidRPr="00801725">
              <w:rPr>
                <w:rFonts w:asciiTheme="majorHAnsi" w:hAnsiTheme="majorHAnsi" w:cstheme="majorHAnsi"/>
                <w:color w:val="000000"/>
                <w:sz w:val="28"/>
                <w:szCs w:val="28"/>
                <w:shd w:val="clear" w:color="auto" w:fill="FFFFFF"/>
              </w:rPr>
              <w:t xml:space="preserve">và Khoản 2 </w:t>
            </w:r>
            <w:r w:rsidR="00762611" w:rsidRPr="00801725">
              <w:rPr>
                <w:rFonts w:asciiTheme="majorHAnsi" w:hAnsiTheme="majorHAnsi" w:cstheme="majorHAnsi"/>
                <w:color w:val="000000"/>
                <w:sz w:val="28"/>
                <w:szCs w:val="28"/>
                <w:shd w:val="clear" w:color="auto" w:fill="FFFFFF"/>
              </w:rPr>
              <w:t xml:space="preserve">Điều 5 </w:t>
            </w:r>
            <w:r w:rsidRPr="00801725">
              <w:rPr>
                <w:rFonts w:asciiTheme="majorHAnsi" w:hAnsiTheme="majorHAnsi" w:cstheme="majorHAnsi"/>
                <w:color w:val="000000"/>
                <w:sz w:val="28"/>
                <w:szCs w:val="28"/>
                <w:shd w:val="clear" w:color="auto" w:fill="FFFFFF"/>
              </w:rPr>
              <w:t xml:space="preserve">Nghị định </w:t>
            </w:r>
            <w:r w:rsidRPr="00801725">
              <w:rPr>
                <w:rFonts w:asciiTheme="majorHAnsi" w:hAnsiTheme="majorHAnsi" w:cstheme="majorHAnsi"/>
                <w:color w:val="000000"/>
                <w:sz w:val="28"/>
                <w:szCs w:val="28"/>
                <w:shd w:val="clear" w:color="auto" w:fill="FFFFFF"/>
              </w:rPr>
              <w:lastRenderedPageBreak/>
              <w:t>84/2016/NĐ-CP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c) Có số lượng kiểm toán viên hành nghề từ 15 người trở lên, trong đó có Giám đốc hoặc Tổng Giám đốc.</w:t>
            </w:r>
          </w:p>
        </w:tc>
        <w:tc>
          <w:tcPr>
            <w:tcW w:w="2137"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Điểm c Khoản 1 Điều 5 Nghị định 84/2016/NĐ-CP</w:t>
            </w:r>
          </w:p>
        </w:tc>
        <w:tc>
          <w:tcPr>
            <w:tcW w:w="2835"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Sửa lại điều kiện này như sau: bỏ cụm từ “trong đó có Giám đốc hoặc Tổng Giám đốc”</w:t>
            </w:r>
          </w:p>
        </w:tc>
        <w:tc>
          <w:tcPr>
            <w:tcW w:w="1984"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Sửa Điểm c Khoản 1 Điều 5 Nghị định 84/2016/NĐ-CP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Trường hợp tổ chức kiểm toán đã được chấp thuận trong năm nộp hồ sơ thì phải có thêm điều kiện là đã phát hành báo cáo kiểm toán về báo cáo tài chính năm (hoặc báo cáo soát xét báo cáo tài chính) cho tối thiểu 20 đơn vị có lợi ích công chúng thuộc lĩnh vực chứng khoán.</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c Khoản 2 Điều 5 Nghị định 84/2016/NĐ-CP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AB53D0" w:rsidRPr="001A4F6A" w:rsidRDefault="00AB53D0"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Sửa Điểm c Khoản 2 Điều 5 Nghị định 84/2016/NĐ-CP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e) Có hệ thống kiểm soát chất lượng được xây dựng phù hợp với quy định của chuẩn mực kiểm toán Việt Nam.</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e Khoản 1 và Khoản 2 Điều 5 Nghị định 84/2016/NĐ-CP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shd w:val="clear" w:color="auto" w:fill="FFFFFF"/>
              </w:rPr>
            </w:pPr>
            <w:r w:rsidRPr="001A4F6A">
              <w:rPr>
                <w:rFonts w:asciiTheme="majorHAnsi" w:hAnsiTheme="majorHAnsi" w:cstheme="majorHAnsi"/>
                <w:color w:val="000000"/>
                <w:sz w:val="28"/>
                <w:szCs w:val="28"/>
                <w:shd w:val="clear" w:color="auto" w:fill="FFFFFF"/>
              </w:rPr>
              <w:t xml:space="preserve">Sửa </w:t>
            </w:r>
            <w:r w:rsidRPr="00801725">
              <w:rPr>
                <w:rFonts w:asciiTheme="majorHAnsi" w:hAnsiTheme="majorHAnsi" w:cstheme="majorHAnsi"/>
                <w:color w:val="000000"/>
                <w:sz w:val="28"/>
                <w:szCs w:val="28"/>
                <w:shd w:val="clear" w:color="auto" w:fill="FFFFFF"/>
              </w:rPr>
              <w:t xml:space="preserve">Điểm </w:t>
            </w:r>
            <w:r w:rsidRPr="001A4F6A">
              <w:rPr>
                <w:rFonts w:asciiTheme="majorHAnsi" w:hAnsiTheme="majorHAnsi" w:cstheme="majorHAnsi"/>
                <w:color w:val="000000"/>
                <w:sz w:val="28"/>
                <w:szCs w:val="28"/>
                <w:shd w:val="clear" w:color="auto" w:fill="FFFFFF"/>
              </w:rPr>
              <w:t>e</w:t>
            </w:r>
            <w:r w:rsidRPr="00801725">
              <w:rPr>
                <w:rFonts w:asciiTheme="majorHAnsi" w:hAnsiTheme="majorHAnsi" w:cstheme="majorHAnsi"/>
                <w:color w:val="000000"/>
                <w:sz w:val="28"/>
                <w:szCs w:val="28"/>
                <w:shd w:val="clear" w:color="auto" w:fill="FFFFFF"/>
              </w:rPr>
              <w:t xml:space="preserve">  </w:t>
            </w:r>
            <w:r w:rsidRPr="001A4F6A">
              <w:rPr>
                <w:rFonts w:asciiTheme="majorHAnsi" w:hAnsiTheme="majorHAnsi" w:cstheme="majorHAnsi"/>
                <w:color w:val="000000"/>
                <w:sz w:val="28"/>
                <w:szCs w:val="28"/>
                <w:shd w:val="clear" w:color="auto" w:fill="FFFFFF"/>
              </w:rPr>
              <w:t>K</w:t>
            </w:r>
            <w:r w:rsidRPr="00801725">
              <w:rPr>
                <w:rFonts w:asciiTheme="majorHAnsi" w:hAnsiTheme="majorHAnsi" w:cstheme="majorHAnsi"/>
                <w:color w:val="000000"/>
                <w:sz w:val="28"/>
                <w:szCs w:val="28"/>
                <w:shd w:val="clear" w:color="auto" w:fill="FFFFFF"/>
              </w:rPr>
              <w:t xml:space="preserve">hoản 1 </w:t>
            </w:r>
            <w:r w:rsidRPr="001A4F6A">
              <w:rPr>
                <w:rFonts w:asciiTheme="majorHAnsi" w:hAnsiTheme="majorHAnsi" w:cstheme="majorHAnsi"/>
                <w:color w:val="000000"/>
                <w:sz w:val="28"/>
                <w:szCs w:val="28"/>
                <w:shd w:val="clear" w:color="auto" w:fill="FFFFFF"/>
              </w:rPr>
              <w:t xml:space="preserve">và Khoản 2 </w:t>
            </w:r>
            <w:r w:rsidRPr="00801725">
              <w:rPr>
                <w:rFonts w:asciiTheme="majorHAnsi" w:hAnsiTheme="majorHAnsi" w:cstheme="majorHAnsi"/>
                <w:color w:val="000000"/>
                <w:sz w:val="28"/>
                <w:szCs w:val="28"/>
                <w:shd w:val="clear" w:color="auto" w:fill="FFFFFF"/>
              </w:rPr>
              <w:t>Điều 5 Nghị định 84/2016/NĐ-CP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g) Đã thực hiện bảo hiểm trách nhiệm nghề nghiệp hoặc trích lập quỹ dự phòng rủi ro nghề nghiệp theo quy định.</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g khoản 1 và Khoản 2 Điều 5 Nghị định 84/2016/NĐ-CP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 xml:space="preserve">Đề nghị cắt giảm điều kiện này </w:t>
            </w:r>
            <w:r w:rsidR="00AB53D0" w:rsidRPr="00801725">
              <w:rPr>
                <w:rFonts w:asciiTheme="majorHAnsi" w:hAnsiTheme="majorHAnsi" w:cstheme="majorHAnsi"/>
                <w:color w:val="000000"/>
                <w:sz w:val="28"/>
                <w:szCs w:val="28"/>
                <w:shd w:val="clear" w:color="auto" w:fill="FFFFFF"/>
              </w:rPr>
              <w:t>(Không xem là điều kiện mà là nghĩa vụ của doanh nghiệp)</w:t>
            </w:r>
          </w:p>
        </w:tc>
        <w:tc>
          <w:tcPr>
            <w:tcW w:w="1984"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Sửa Điểm g  khoản 1 và Khoản 2 Điều 5 Nghị định 84/2016/NĐ-CP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h) Không thuộc các trường hợp không được xem xét, chấp thuận theo quy định.</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h khoản 1 và Khoản 2 Điều 5 Nghị định 84/2016/NĐ-CP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 xml:space="preserve">Đề nghị cắt giảm điều kiện này </w:t>
            </w:r>
            <w:r w:rsidR="00AB53D0" w:rsidRPr="00801725">
              <w:rPr>
                <w:rFonts w:asciiTheme="majorHAnsi" w:hAnsiTheme="majorHAnsi" w:cstheme="majorHAnsi"/>
                <w:color w:val="000000"/>
                <w:sz w:val="28"/>
                <w:szCs w:val="28"/>
                <w:shd w:val="clear" w:color="auto" w:fill="FFFFFF"/>
              </w:rPr>
              <w:t xml:space="preserve">(Đưa sang quy định về các trường hợp không được xem xét, chấp thuận mà </w:t>
            </w:r>
            <w:r w:rsidR="00AB53D0" w:rsidRPr="00801725">
              <w:rPr>
                <w:rFonts w:asciiTheme="majorHAnsi" w:hAnsiTheme="majorHAnsi" w:cstheme="majorHAnsi"/>
                <w:color w:val="000000"/>
                <w:sz w:val="28"/>
                <w:szCs w:val="28"/>
                <w:shd w:val="clear" w:color="auto" w:fill="FFFFFF"/>
              </w:rPr>
              <w:lastRenderedPageBreak/>
              <w:t>không tính là điều kiện)</w:t>
            </w:r>
          </w:p>
        </w:tc>
        <w:tc>
          <w:tcPr>
            <w:tcW w:w="1984"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lastRenderedPageBreak/>
              <w:t>Sửa Điểm h  khoản 1 và Khoản 2 Điều 5 Nghị định 84/2016/NĐ-</w:t>
            </w:r>
            <w:r w:rsidRPr="00801725">
              <w:rPr>
                <w:rFonts w:asciiTheme="majorHAnsi" w:hAnsiTheme="majorHAnsi" w:cstheme="majorHAnsi"/>
                <w:color w:val="000000"/>
                <w:sz w:val="28"/>
                <w:szCs w:val="28"/>
                <w:shd w:val="clear" w:color="auto" w:fill="FFFFFF"/>
              </w:rPr>
              <w:lastRenderedPageBreak/>
              <w:t>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00000"/>
                <w:sz w:val="28"/>
                <w:szCs w:val="28"/>
                <w:lang w:val="vi-VN"/>
              </w:rPr>
              <w:t>i) Nộp đầy đủ, đúng thời hạn hồ sơ đăng ký thực hiện kiểm toán theo quy định.</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i  khoản 1 và Khoản 2 Điều 5 Nghị định 84/2016/NĐ-CP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 xml:space="preserve">Đề nghị cắt giảm điều kiện này </w:t>
            </w:r>
            <w:r w:rsidR="00AB53D0" w:rsidRPr="00801725">
              <w:rPr>
                <w:rFonts w:asciiTheme="majorHAnsi" w:hAnsiTheme="majorHAnsi" w:cstheme="majorHAnsi"/>
                <w:color w:val="000000"/>
                <w:sz w:val="28"/>
                <w:szCs w:val="28"/>
                <w:shd w:val="clear" w:color="auto" w:fill="FFFFFF"/>
              </w:rPr>
              <w:t>(Chuyển sang quy định về hồ sơ đăng ký thực hiện kiểm toán cho đơn vị có lợi ích công chúng)</w:t>
            </w:r>
          </w:p>
        </w:tc>
        <w:tc>
          <w:tcPr>
            <w:tcW w:w="1984"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Sửa Điểm i  khoản 1 và Khoản 2 </w:t>
            </w:r>
            <w:bookmarkStart w:id="1" w:name="_GoBack"/>
            <w:bookmarkEnd w:id="1"/>
            <w:r w:rsidRPr="00801725">
              <w:rPr>
                <w:rFonts w:asciiTheme="majorHAnsi" w:hAnsiTheme="majorHAnsi" w:cstheme="majorHAnsi"/>
                <w:color w:val="000000"/>
                <w:sz w:val="28"/>
                <w:szCs w:val="28"/>
                <w:shd w:val="clear" w:color="auto" w:fill="FFFFFF"/>
              </w:rPr>
              <w:t>Điều 5 Nghị định 84/2016/NĐ-CP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801725">
              <w:rPr>
                <w:rFonts w:asciiTheme="majorHAnsi" w:hAnsiTheme="majorHAnsi" w:cstheme="majorHAnsi"/>
                <w:color w:val="060000"/>
                <w:sz w:val="28"/>
                <w:szCs w:val="28"/>
                <w:lang w:val="vi-VN"/>
              </w:rPr>
              <w:t>b) Có văn bản của cơ quan quản lý hành nghề kiểm toán (cơ quan quản lý nhà nước về kiểm toán độc lập hoặc tổ chức nghề nghiệp) nơi doanh nghiệp đóng trụ sở chính cho phép cung cấp dịch vụ qua biên giới tại Việt Nam và xác nhận không vi phạm các quy định về hoạt động kiểm toán độc lập và quy định pháp luật khác của nước ngoài trong vòng 3 năm liền kề năm đề nghị cấp giấy chứng nhận được cung cấp dịch vụ kiểm toán qua biên giới.</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b  khoản 1 Điều 11 Nghị định 17/2012/NĐ-CP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p>
        </w:tc>
        <w:tc>
          <w:tcPr>
            <w:tcW w:w="1984"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 xml:space="preserve">Sửa Điểm </w:t>
            </w:r>
            <w:r w:rsidRPr="001A4F6A">
              <w:rPr>
                <w:rFonts w:asciiTheme="majorHAnsi" w:hAnsiTheme="majorHAnsi" w:cstheme="majorHAnsi"/>
                <w:color w:val="000000"/>
                <w:sz w:val="28"/>
                <w:szCs w:val="28"/>
                <w:shd w:val="clear" w:color="auto" w:fill="FFFFFF"/>
              </w:rPr>
              <w:t>b</w:t>
            </w:r>
            <w:r w:rsidRPr="00801725">
              <w:rPr>
                <w:rFonts w:asciiTheme="majorHAnsi" w:hAnsiTheme="majorHAnsi" w:cstheme="majorHAnsi"/>
                <w:color w:val="000000"/>
                <w:sz w:val="28"/>
                <w:szCs w:val="28"/>
                <w:shd w:val="clear" w:color="auto" w:fill="FFFFFF"/>
              </w:rPr>
              <w:t xml:space="preserve">  khoản 1 Điều </w:t>
            </w:r>
            <w:r w:rsidRPr="001A4F6A">
              <w:rPr>
                <w:rFonts w:asciiTheme="majorHAnsi" w:hAnsiTheme="majorHAnsi" w:cstheme="majorHAnsi"/>
                <w:color w:val="000000"/>
                <w:sz w:val="28"/>
                <w:szCs w:val="28"/>
                <w:shd w:val="clear" w:color="auto" w:fill="FFFFFF"/>
              </w:rPr>
              <w:t>11</w:t>
            </w:r>
            <w:r w:rsidRPr="00801725">
              <w:rPr>
                <w:rFonts w:asciiTheme="majorHAnsi" w:hAnsiTheme="majorHAnsi" w:cstheme="majorHAnsi"/>
                <w:color w:val="000000"/>
                <w:sz w:val="28"/>
                <w:szCs w:val="28"/>
                <w:shd w:val="clear" w:color="auto" w:fill="FFFFFF"/>
              </w:rPr>
              <w:t xml:space="preserve"> Nghị định </w:t>
            </w:r>
            <w:r w:rsidRPr="001A4F6A">
              <w:rPr>
                <w:rFonts w:asciiTheme="majorHAnsi" w:hAnsiTheme="majorHAnsi" w:cstheme="majorHAnsi"/>
                <w:color w:val="000000"/>
                <w:sz w:val="28"/>
                <w:szCs w:val="28"/>
                <w:shd w:val="clear" w:color="auto" w:fill="FFFFFF"/>
              </w:rPr>
              <w:t>17</w:t>
            </w:r>
            <w:r w:rsidRPr="00801725">
              <w:rPr>
                <w:rFonts w:asciiTheme="majorHAnsi" w:hAnsiTheme="majorHAnsi" w:cstheme="majorHAnsi"/>
                <w:color w:val="000000"/>
                <w:sz w:val="28"/>
                <w:szCs w:val="28"/>
                <w:shd w:val="clear" w:color="auto" w:fill="FFFFFF"/>
              </w:rPr>
              <w:t>/201</w:t>
            </w:r>
            <w:r w:rsidRPr="001A4F6A">
              <w:rPr>
                <w:rFonts w:asciiTheme="majorHAnsi" w:hAnsiTheme="majorHAnsi" w:cstheme="majorHAnsi"/>
                <w:color w:val="000000"/>
                <w:sz w:val="28"/>
                <w:szCs w:val="28"/>
                <w:shd w:val="clear" w:color="auto" w:fill="FFFFFF"/>
              </w:rPr>
              <w:t>2</w:t>
            </w:r>
            <w:r w:rsidRPr="00801725">
              <w:rPr>
                <w:rFonts w:asciiTheme="majorHAnsi" w:hAnsiTheme="majorHAnsi" w:cstheme="majorHAnsi"/>
                <w:color w:val="000000"/>
                <w:sz w:val="28"/>
                <w:szCs w:val="28"/>
                <w:shd w:val="clear" w:color="auto" w:fill="FFFFFF"/>
              </w:rPr>
              <w:t>/NĐ-CP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60000"/>
                <w:sz w:val="28"/>
                <w:szCs w:val="28"/>
                <w:lang w:val="vi-VN"/>
              </w:rPr>
            </w:pPr>
            <w:r w:rsidRPr="00801725">
              <w:rPr>
                <w:rFonts w:asciiTheme="majorHAnsi" w:hAnsiTheme="majorHAnsi" w:cstheme="majorHAnsi"/>
                <w:color w:val="060000"/>
                <w:sz w:val="28"/>
                <w:szCs w:val="28"/>
                <w:lang w:val="vi-VN"/>
              </w:rPr>
              <w:t>đ) Có mua bảo hiểm trách nhiệm nghề nghiệp cho các kiểm toán viên hành nghề tại Việt Nam.</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đ  khoản 1 Điều 11 Nghị định 17/2012/NĐ-CP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r w:rsidR="00AB53D0" w:rsidRPr="00801725">
              <w:rPr>
                <w:rFonts w:asciiTheme="majorHAnsi" w:hAnsiTheme="majorHAnsi" w:cstheme="majorHAnsi"/>
                <w:color w:val="000000"/>
                <w:sz w:val="28"/>
                <w:szCs w:val="28"/>
                <w:shd w:val="clear" w:color="auto" w:fill="FFFFFF"/>
              </w:rPr>
              <w:t>(Không xem là điều kiện mà là nghĩa vụ của doanh nghiệp)</w:t>
            </w:r>
          </w:p>
        </w:tc>
        <w:tc>
          <w:tcPr>
            <w:tcW w:w="1984"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Sửa Điểm đ  khoản 1 Điều 11 Nghị định 17/2012/NĐ-CP</w:t>
            </w:r>
          </w:p>
        </w:tc>
      </w:tr>
      <w:tr w:rsidR="00AB53D0" w:rsidRPr="00801725" w:rsidTr="00623BFE">
        <w:tc>
          <w:tcPr>
            <w:tcW w:w="959" w:type="dxa"/>
            <w:vAlign w:val="center"/>
          </w:tcPr>
          <w:p w:rsidR="00AB53D0" w:rsidRPr="00801725" w:rsidRDefault="00AB53D0" w:rsidP="002D4F7B">
            <w:pPr>
              <w:pStyle w:val="ListParagraph"/>
              <w:numPr>
                <w:ilvl w:val="0"/>
                <w:numId w:val="2"/>
              </w:numPr>
              <w:spacing w:after="0" w:line="240" w:lineRule="auto"/>
              <w:jc w:val="both"/>
              <w:rPr>
                <w:rFonts w:asciiTheme="majorHAnsi" w:hAnsiTheme="majorHAnsi" w:cstheme="majorHAnsi"/>
                <w:color w:val="000000"/>
                <w:szCs w:val="28"/>
                <w:lang w:val="vi-VN"/>
              </w:rPr>
            </w:pPr>
          </w:p>
        </w:tc>
        <w:tc>
          <w:tcPr>
            <w:tcW w:w="1559"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rPr>
            </w:pPr>
          </w:p>
        </w:tc>
        <w:tc>
          <w:tcPr>
            <w:tcW w:w="4951" w:type="dxa"/>
            <w:vAlign w:val="center"/>
          </w:tcPr>
          <w:p w:rsidR="00AB53D0" w:rsidRPr="00801725" w:rsidRDefault="00AB53D0" w:rsidP="002D4F7B">
            <w:pPr>
              <w:pStyle w:val="NormalWeb"/>
              <w:shd w:val="clear" w:color="auto" w:fill="FFFFFF"/>
              <w:spacing w:before="0" w:beforeAutospacing="0" w:after="0" w:afterAutospacing="0"/>
              <w:jc w:val="both"/>
              <w:rPr>
                <w:rFonts w:asciiTheme="majorHAnsi" w:hAnsiTheme="majorHAnsi" w:cstheme="majorHAnsi"/>
                <w:color w:val="060000"/>
                <w:sz w:val="28"/>
                <w:szCs w:val="28"/>
                <w:lang w:val="vi-VN"/>
              </w:rPr>
            </w:pPr>
            <w:r w:rsidRPr="00801725">
              <w:rPr>
                <w:rFonts w:asciiTheme="majorHAnsi" w:hAnsiTheme="majorHAnsi" w:cstheme="majorHAnsi"/>
                <w:color w:val="060000"/>
                <w:sz w:val="28"/>
                <w:szCs w:val="28"/>
                <w:lang w:val="vi-VN"/>
              </w:rPr>
              <w:t>g) Thực hiện đầy đủ nghĩa vụ báo cáo và các nghĩa vụ khác theo quy định.</w:t>
            </w:r>
          </w:p>
        </w:tc>
        <w:tc>
          <w:tcPr>
            <w:tcW w:w="2137" w:type="dxa"/>
            <w:vAlign w:val="center"/>
          </w:tcPr>
          <w:p w:rsidR="00AB53D0" w:rsidRPr="00801725" w:rsidRDefault="00AB53D0" w:rsidP="002D4F7B">
            <w:pPr>
              <w:spacing w:after="0" w:line="240" w:lineRule="auto"/>
              <w:jc w:val="both"/>
              <w:rPr>
                <w:rFonts w:asciiTheme="majorHAnsi" w:hAnsiTheme="majorHAnsi" w:cstheme="majorHAnsi"/>
                <w:b/>
                <w:color w:val="000000"/>
                <w:sz w:val="28"/>
                <w:szCs w:val="28"/>
                <w:shd w:val="clear" w:color="auto" w:fill="FFFFFF"/>
              </w:rPr>
            </w:pPr>
            <w:r w:rsidRPr="00801725">
              <w:rPr>
                <w:rFonts w:asciiTheme="majorHAnsi" w:hAnsiTheme="majorHAnsi" w:cstheme="majorHAnsi"/>
                <w:color w:val="000000"/>
                <w:sz w:val="28"/>
                <w:szCs w:val="28"/>
                <w:shd w:val="clear" w:color="auto" w:fill="FFFFFF"/>
              </w:rPr>
              <w:t>Điểm g  khoản 1 Điều 11 Nghị định 17/2012/NĐ-CP</w:t>
            </w:r>
          </w:p>
        </w:tc>
        <w:tc>
          <w:tcPr>
            <w:tcW w:w="2835" w:type="dxa"/>
            <w:vAlign w:val="center"/>
          </w:tcPr>
          <w:p w:rsidR="00AB53D0" w:rsidRPr="00801725" w:rsidRDefault="00D439DF"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lang w:val="nl-NL"/>
              </w:rPr>
              <w:t>Đề nghị cắt giảm điều kiện này</w:t>
            </w:r>
            <w:r w:rsidR="00271510" w:rsidRPr="00801725">
              <w:rPr>
                <w:rFonts w:asciiTheme="majorHAnsi" w:hAnsiTheme="majorHAnsi" w:cstheme="majorHAnsi"/>
                <w:color w:val="000000"/>
                <w:sz w:val="28"/>
                <w:szCs w:val="28"/>
                <w:shd w:val="clear" w:color="auto" w:fill="FFFFFF"/>
                <w:lang w:val="nl-NL"/>
              </w:rPr>
              <w:t xml:space="preserve"> </w:t>
            </w:r>
            <w:r w:rsidR="00AB53D0" w:rsidRPr="00801725">
              <w:rPr>
                <w:rFonts w:asciiTheme="majorHAnsi" w:hAnsiTheme="majorHAnsi" w:cstheme="majorHAnsi"/>
                <w:color w:val="000000"/>
                <w:sz w:val="28"/>
                <w:szCs w:val="28"/>
                <w:shd w:val="clear" w:color="auto" w:fill="FFFFFF"/>
              </w:rPr>
              <w:t>(</w:t>
            </w:r>
            <w:r w:rsidR="0067243A" w:rsidRPr="00801725">
              <w:rPr>
                <w:rFonts w:asciiTheme="majorHAnsi" w:hAnsiTheme="majorHAnsi" w:cstheme="majorHAnsi"/>
                <w:color w:val="000000"/>
                <w:sz w:val="28"/>
                <w:szCs w:val="28"/>
                <w:shd w:val="clear" w:color="auto" w:fill="FFFFFF"/>
              </w:rPr>
              <w:t>Vì đây l</w:t>
            </w:r>
            <w:r w:rsidR="00AB53D0" w:rsidRPr="00801725">
              <w:rPr>
                <w:rFonts w:asciiTheme="majorHAnsi" w:hAnsiTheme="majorHAnsi" w:cstheme="majorHAnsi"/>
                <w:color w:val="000000"/>
                <w:sz w:val="28"/>
                <w:szCs w:val="28"/>
                <w:shd w:val="clear" w:color="auto" w:fill="FFFFFF"/>
              </w:rPr>
              <w:t>à nghĩa vụ của doanh nghiệp mà không tính là điều kiện)</w:t>
            </w:r>
          </w:p>
        </w:tc>
        <w:tc>
          <w:tcPr>
            <w:tcW w:w="1984" w:type="dxa"/>
            <w:vAlign w:val="center"/>
          </w:tcPr>
          <w:p w:rsidR="00AB53D0" w:rsidRPr="00801725" w:rsidRDefault="00AB53D0" w:rsidP="002D4F7B">
            <w:pPr>
              <w:spacing w:after="0" w:line="240" w:lineRule="auto"/>
              <w:jc w:val="both"/>
              <w:rPr>
                <w:rFonts w:asciiTheme="majorHAnsi" w:hAnsiTheme="majorHAnsi" w:cstheme="majorHAnsi"/>
                <w:color w:val="000000"/>
                <w:sz w:val="28"/>
                <w:szCs w:val="28"/>
                <w:shd w:val="clear" w:color="auto" w:fill="FFFFFF"/>
              </w:rPr>
            </w:pPr>
            <w:r w:rsidRPr="00801725">
              <w:rPr>
                <w:rFonts w:asciiTheme="majorHAnsi" w:hAnsiTheme="majorHAnsi" w:cstheme="majorHAnsi"/>
                <w:color w:val="000000"/>
                <w:sz w:val="28"/>
                <w:szCs w:val="28"/>
                <w:shd w:val="clear" w:color="auto" w:fill="FFFFFF"/>
              </w:rPr>
              <w:t>Sửa Điểm g  khoản 1 Điều 11 Nghị định 17/2012/NĐ-CP</w:t>
            </w:r>
          </w:p>
        </w:tc>
      </w:tr>
    </w:tbl>
    <w:p w:rsidR="008F743B" w:rsidRPr="007274AC" w:rsidRDefault="008F743B" w:rsidP="00CD5460">
      <w:pPr>
        <w:jc w:val="center"/>
        <w:rPr>
          <w:rFonts w:ascii="Times New Roman" w:hAnsi="Times New Roman" w:cs="Times New Roman"/>
          <w:b/>
          <w:sz w:val="28"/>
          <w:szCs w:val="28"/>
        </w:rPr>
      </w:pPr>
    </w:p>
    <w:sectPr w:rsidR="008F743B" w:rsidRPr="007274AC" w:rsidSect="00E47DA6">
      <w:footerReference w:type="default" r:id="rId8"/>
      <w:pgSz w:w="16838" w:h="11906" w:orient="landscape"/>
      <w:pgMar w:top="851" w:right="964" w:bottom="964" w:left="1361" w:header="17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398" w:rsidRDefault="006F5398" w:rsidP="00B9473B">
      <w:pPr>
        <w:spacing w:after="0" w:line="240" w:lineRule="auto"/>
      </w:pPr>
      <w:r>
        <w:separator/>
      </w:r>
    </w:p>
  </w:endnote>
  <w:endnote w:type="continuationSeparator" w:id="0">
    <w:p w:rsidR="006F5398" w:rsidRDefault="006F5398" w:rsidP="00B94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8362"/>
      <w:docPartObj>
        <w:docPartGallery w:val="Page Numbers (Bottom of Page)"/>
        <w:docPartUnique/>
      </w:docPartObj>
    </w:sdtPr>
    <w:sdtContent>
      <w:p w:rsidR="00E47DA6" w:rsidRDefault="00054B19">
        <w:pPr>
          <w:pStyle w:val="Footer"/>
          <w:jc w:val="right"/>
        </w:pPr>
        <w:fldSimple w:instr=" PAGE   \* MERGEFORMAT ">
          <w:r w:rsidR="00B30B2C">
            <w:rPr>
              <w:noProof/>
            </w:rPr>
            <w:t>1</w:t>
          </w:r>
        </w:fldSimple>
      </w:p>
    </w:sdtContent>
  </w:sdt>
  <w:p w:rsidR="00784B76" w:rsidRDefault="00784B76" w:rsidP="0076261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398" w:rsidRDefault="006F5398" w:rsidP="00B9473B">
      <w:pPr>
        <w:spacing w:after="0" w:line="240" w:lineRule="auto"/>
      </w:pPr>
      <w:r>
        <w:separator/>
      </w:r>
    </w:p>
  </w:footnote>
  <w:footnote w:type="continuationSeparator" w:id="0">
    <w:p w:rsidR="006F5398" w:rsidRDefault="006F5398" w:rsidP="00B947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74D93"/>
    <w:multiLevelType w:val="hybridMultilevel"/>
    <w:tmpl w:val="933A9602"/>
    <w:lvl w:ilvl="0" w:tplc="042A000F">
      <w:start w:val="1"/>
      <w:numFmt w:val="decimal"/>
      <w:lvlText w:val="%1."/>
      <w:lvlJc w:val="left"/>
      <w:pPr>
        <w:ind w:left="786"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D2A3C7A"/>
    <w:multiLevelType w:val="hybridMultilevel"/>
    <w:tmpl w:val="E61C42E8"/>
    <w:lvl w:ilvl="0" w:tplc="4BD82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95FCF"/>
    <w:multiLevelType w:val="hybridMultilevel"/>
    <w:tmpl w:val="8BD849E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743B"/>
    <w:rsid w:val="0000418A"/>
    <w:rsid w:val="000043A3"/>
    <w:rsid w:val="00012CB6"/>
    <w:rsid w:val="0001691A"/>
    <w:rsid w:val="00021105"/>
    <w:rsid w:val="00022B34"/>
    <w:rsid w:val="00023BD1"/>
    <w:rsid w:val="000258DC"/>
    <w:rsid w:val="00027A04"/>
    <w:rsid w:val="00031C2D"/>
    <w:rsid w:val="00033656"/>
    <w:rsid w:val="00035EB6"/>
    <w:rsid w:val="00043A50"/>
    <w:rsid w:val="00053433"/>
    <w:rsid w:val="00054B19"/>
    <w:rsid w:val="0005579E"/>
    <w:rsid w:val="000610D5"/>
    <w:rsid w:val="00063F4C"/>
    <w:rsid w:val="00065E42"/>
    <w:rsid w:val="00071D6F"/>
    <w:rsid w:val="00074EBA"/>
    <w:rsid w:val="00076731"/>
    <w:rsid w:val="0008201A"/>
    <w:rsid w:val="000867C1"/>
    <w:rsid w:val="00087E31"/>
    <w:rsid w:val="00090C95"/>
    <w:rsid w:val="0009408F"/>
    <w:rsid w:val="0009629E"/>
    <w:rsid w:val="000A1B70"/>
    <w:rsid w:val="000A2A87"/>
    <w:rsid w:val="000B3EBD"/>
    <w:rsid w:val="000B568D"/>
    <w:rsid w:val="000B6A31"/>
    <w:rsid w:val="000C264D"/>
    <w:rsid w:val="000C2F06"/>
    <w:rsid w:val="000F06D9"/>
    <w:rsid w:val="000F2170"/>
    <w:rsid w:val="000F532A"/>
    <w:rsid w:val="000F5535"/>
    <w:rsid w:val="00102B02"/>
    <w:rsid w:val="00104AD0"/>
    <w:rsid w:val="00117EAD"/>
    <w:rsid w:val="001225B5"/>
    <w:rsid w:val="0012534A"/>
    <w:rsid w:val="00133A60"/>
    <w:rsid w:val="00136868"/>
    <w:rsid w:val="00141B16"/>
    <w:rsid w:val="00150557"/>
    <w:rsid w:val="00154A4B"/>
    <w:rsid w:val="001713D6"/>
    <w:rsid w:val="001809F8"/>
    <w:rsid w:val="00181E52"/>
    <w:rsid w:val="00184A9C"/>
    <w:rsid w:val="001850EC"/>
    <w:rsid w:val="00186B30"/>
    <w:rsid w:val="00187B14"/>
    <w:rsid w:val="00191DAC"/>
    <w:rsid w:val="0019342A"/>
    <w:rsid w:val="00193DCE"/>
    <w:rsid w:val="001941A7"/>
    <w:rsid w:val="00195B1D"/>
    <w:rsid w:val="001A29A5"/>
    <w:rsid w:val="001A4F6A"/>
    <w:rsid w:val="001A5EF0"/>
    <w:rsid w:val="001A63E9"/>
    <w:rsid w:val="001B4588"/>
    <w:rsid w:val="001B6374"/>
    <w:rsid w:val="001C10A9"/>
    <w:rsid w:val="001C17B8"/>
    <w:rsid w:val="001C566A"/>
    <w:rsid w:val="001D40A1"/>
    <w:rsid w:val="001D55ED"/>
    <w:rsid w:val="001D7305"/>
    <w:rsid w:val="001E2D2D"/>
    <w:rsid w:val="001E31E6"/>
    <w:rsid w:val="001E773B"/>
    <w:rsid w:val="001F0003"/>
    <w:rsid w:val="001F493A"/>
    <w:rsid w:val="0020076A"/>
    <w:rsid w:val="002160A2"/>
    <w:rsid w:val="00220EF2"/>
    <w:rsid w:val="0022573F"/>
    <w:rsid w:val="00226A5A"/>
    <w:rsid w:val="00230377"/>
    <w:rsid w:val="00233B8F"/>
    <w:rsid w:val="002409CB"/>
    <w:rsid w:val="002457EB"/>
    <w:rsid w:val="00247F1B"/>
    <w:rsid w:val="002500A4"/>
    <w:rsid w:val="00250E6C"/>
    <w:rsid w:val="0025263E"/>
    <w:rsid w:val="00262281"/>
    <w:rsid w:val="00264930"/>
    <w:rsid w:val="002651DA"/>
    <w:rsid w:val="00265EE1"/>
    <w:rsid w:val="00266330"/>
    <w:rsid w:val="00267577"/>
    <w:rsid w:val="00267C0F"/>
    <w:rsid w:val="00271510"/>
    <w:rsid w:val="00276C05"/>
    <w:rsid w:val="00283E71"/>
    <w:rsid w:val="0028477B"/>
    <w:rsid w:val="00284ED9"/>
    <w:rsid w:val="00285A1A"/>
    <w:rsid w:val="00285EEF"/>
    <w:rsid w:val="00286C68"/>
    <w:rsid w:val="0029028A"/>
    <w:rsid w:val="00291579"/>
    <w:rsid w:val="002928BE"/>
    <w:rsid w:val="00294F80"/>
    <w:rsid w:val="00295706"/>
    <w:rsid w:val="002A1746"/>
    <w:rsid w:val="002B53E2"/>
    <w:rsid w:val="002C05F1"/>
    <w:rsid w:val="002C3419"/>
    <w:rsid w:val="002C5481"/>
    <w:rsid w:val="002C78CE"/>
    <w:rsid w:val="002D364E"/>
    <w:rsid w:val="002D4F7B"/>
    <w:rsid w:val="002D793E"/>
    <w:rsid w:val="002E3144"/>
    <w:rsid w:val="002E4C66"/>
    <w:rsid w:val="002E5F2A"/>
    <w:rsid w:val="002F3BFF"/>
    <w:rsid w:val="002F3CA4"/>
    <w:rsid w:val="002F66FD"/>
    <w:rsid w:val="00306D9D"/>
    <w:rsid w:val="003202AA"/>
    <w:rsid w:val="00321466"/>
    <w:rsid w:val="00331221"/>
    <w:rsid w:val="0033179F"/>
    <w:rsid w:val="003348A8"/>
    <w:rsid w:val="00342313"/>
    <w:rsid w:val="003500BC"/>
    <w:rsid w:val="003502CE"/>
    <w:rsid w:val="00350D6D"/>
    <w:rsid w:val="00351253"/>
    <w:rsid w:val="00351285"/>
    <w:rsid w:val="00351EDB"/>
    <w:rsid w:val="003520DE"/>
    <w:rsid w:val="00353895"/>
    <w:rsid w:val="00354283"/>
    <w:rsid w:val="003560FF"/>
    <w:rsid w:val="003631E8"/>
    <w:rsid w:val="00375A2A"/>
    <w:rsid w:val="00382F52"/>
    <w:rsid w:val="003902AC"/>
    <w:rsid w:val="003924D0"/>
    <w:rsid w:val="003A128E"/>
    <w:rsid w:val="003A1FAE"/>
    <w:rsid w:val="003A62CC"/>
    <w:rsid w:val="003A6CE7"/>
    <w:rsid w:val="003A729E"/>
    <w:rsid w:val="003B13D4"/>
    <w:rsid w:val="003B6EF8"/>
    <w:rsid w:val="003C0EE2"/>
    <w:rsid w:val="003C2EF2"/>
    <w:rsid w:val="003D40EE"/>
    <w:rsid w:val="003D6F95"/>
    <w:rsid w:val="003E028C"/>
    <w:rsid w:val="003E2169"/>
    <w:rsid w:val="003E334C"/>
    <w:rsid w:val="003E34C0"/>
    <w:rsid w:val="003F337C"/>
    <w:rsid w:val="003F6C5E"/>
    <w:rsid w:val="00407CAC"/>
    <w:rsid w:val="004146C9"/>
    <w:rsid w:val="0041756E"/>
    <w:rsid w:val="00417AEA"/>
    <w:rsid w:val="00422938"/>
    <w:rsid w:val="00425014"/>
    <w:rsid w:val="00427D02"/>
    <w:rsid w:val="00430DD2"/>
    <w:rsid w:val="004353E8"/>
    <w:rsid w:val="00440A88"/>
    <w:rsid w:val="00441251"/>
    <w:rsid w:val="00443453"/>
    <w:rsid w:val="00443A93"/>
    <w:rsid w:val="00443BE4"/>
    <w:rsid w:val="00443C82"/>
    <w:rsid w:val="00444B56"/>
    <w:rsid w:val="00447962"/>
    <w:rsid w:val="004617B3"/>
    <w:rsid w:val="004618F5"/>
    <w:rsid w:val="00466C7A"/>
    <w:rsid w:val="00467372"/>
    <w:rsid w:val="00475F06"/>
    <w:rsid w:val="004848F1"/>
    <w:rsid w:val="00492735"/>
    <w:rsid w:val="00493F32"/>
    <w:rsid w:val="00495D9E"/>
    <w:rsid w:val="00496DCE"/>
    <w:rsid w:val="004974EE"/>
    <w:rsid w:val="004A3078"/>
    <w:rsid w:val="004A64B9"/>
    <w:rsid w:val="004A6C61"/>
    <w:rsid w:val="004A7409"/>
    <w:rsid w:val="004B4CFE"/>
    <w:rsid w:val="004C5701"/>
    <w:rsid w:val="004D3358"/>
    <w:rsid w:val="004D5371"/>
    <w:rsid w:val="004D5CA6"/>
    <w:rsid w:val="004E01D9"/>
    <w:rsid w:val="004E3554"/>
    <w:rsid w:val="004E3555"/>
    <w:rsid w:val="004E5346"/>
    <w:rsid w:val="004F2417"/>
    <w:rsid w:val="005016CB"/>
    <w:rsid w:val="00502C32"/>
    <w:rsid w:val="00511153"/>
    <w:rsid w:val="005129C7"/>
    <w:rsid w:val="0051303E"/>
    <w:rsid w:val="00515471"/>
    <w:rsid w:val="00517026"/>
    <w:rsid w:val="005303F3"/>
    <w:rsid w:val="00530A6D"/>
    <w:rsid w:val="00534618"/>
    <w:rsid w:val="00534C93"/>
    <w:rsid w:val="00543A41"/>
    <w:rsid w:val="00544D42"/>
    <w:rsid w:val="00550D5B"/>
    <w:rsid w:val="00551298"/>
    <w:rsid w:val="00552784"/>
    <w:rsid w:val="00555A1E"/>
    <w:rsid w:val="00570B14"/>
    <w:rsid w:val="00582CE9"/>
    <w:rsid w:val="005A37AD"/>
    <w:rsid w:val="005A6FD2"/>
    <w:rsid w:val="005B145E"/>
    <w:rsid w:val="005B4C3A"/>
    <w:rsid w:val="005B4C7D"/>
    <w:rsid w:val="005C7890"/>
    <w:rsid w:val="005D4DDF"/>
    <w:rsid w:val="005D7BD8"/>
    <w:rsid w:val="005E13A8"/>
    <w:rsid w:val="005E3741"/>
    <w:rsid w:val="005E7E56"/>
    <w:rsid w:val="005F274E"/>
    <w:rsid w:val="005F3728"/>
    <w:rsid w:val="006139A4"/>
    <w:rsid w:val="00613B95"/>
    <w:rsid w:val="006208D4"/>
    <w:rsid w:val="00623BFE"/>
    <w:rsid w:val="00624173"/>
    <w:rsid w:val="00625E9F"/>
    <w:rsid w:val="0063007B"/>
    <w:rsid w:val="006326C7"/>
    <w:rsid w:val="00636B14"/>
    <w:rsid w:val="00643594"/>
    <w:rsid w:val="00643925"/>
    <w:rsid w:val="006447F9"/>
    <w:rsid w:val="006507B0"/>
    <w:rsid w:val="006520A7"/>
    <w:rsid w:val="00662288"/>
    <w:rsid w:val="00666821"/>
    <w:rsid w:val="0067243A"/>
    <w:rsid w:val="00672BFE"/>
    <w:rsid w:val="00680152"/>
    <w:rsid w:val="00685C14"/>
    <w:rsid w:val="0069293F"/>
    <w:rsid w:val="00694F05"/>
    <w:rsid w:val="006A5AAB"/>
    <w:rsid w:val="006B3258"/>
    <w:rsid w:val="006C4B18"/>
    <w:rsid w:val="006C6E8E"/>
    <w:rsid w:val="006D1BA5"/>
    <w:rsid w:val="006D2A3D"/>
    <w:rsid w:val="006D5702"/>
    <w:rsid w:val="006D76CE"/>
    <w:rsid w:val="006E67FF"/>
    <w:rsid w:val="006F5398"/>
    <w:rsid w:val="007000E8"/>
    <w:rsid w:val="00702CB0"/>
    <w:rsid w:val="00705441"/>
    <w:rsid w:val="007079A9"/>
    <w:rsid w:val="007144D7"/>
    <w:rsid w:val="007163BA"/>
    <w:rsid w:val="00720AEC"/>
    <w:rsid w:val="0072217F"/>
    <w:rsid w:val="007274AC"/>
    <w:rsid w:val="00727A8C"/>
    <w:rsid w:val="00730229"/>
    <w:rsid w:val="007307DD"/>
    <w:rsid w:val="0073506D"/>
    <w:rsid w:val="007365C5"/>
    <w:rsid w:val="00736FA0"/>
    <w:rsid w:val="00741457"/>
    <w:rsid w:val="007479F2"/>
    <w:rsid w:val="007503FC"/>
    <w:rsid w:val="007526F4"/>
    <w:rsid w:val="00752BE3"/>
    <w:rsid w:val="00753F88"/>
    <w:rsid w:val="00756C0F"/>
    <w:rsid w:val="00762611"/>
    <w:rsid w:val="00766F8F"/>
    <w:rsid w:val="00774595"/>
    <w:rsid w:val="00777762"/>
    <w:rsid w:val="00784B76"/>
    <w:rsid w:val="00790494"/>
    <w:rsid w:val="007A431E"/>
    <w:rsid w:val="007A6C4E"/>
    <w:rsid w:val="007A7B0F"/>
    <w:rsid w:val="007B3CBB"/>
    <w:rsid w:val="007B4F5E"/>
    <w:rsid w:val="007B710A"/>
    <w:rsid w:val="007D1D06"/>
    <w:rsid w:val="007D2DDA"/>
    <w:rsid w:val="007D4CF3"/>
    <w:rsid w:val="007D6CE6"/>
    <w:rsid w:val="007E08A0"/>
    <w:rsid w:val="007E0BF3"/>
    <w:rsid w:val="007E4638"/>
    <w:rsid w:val="007E5227"/>
    <w:rsid w:val="007E5765"/>
    <w:rsid w:val="007F0401"/>
    <w:rsid w:val="007F06CF"/>
    <w:rsid w:val="007F1016"/>
    <w:rsid w:val="007F2A1C"/>
    <w:rsid w:val="007F35DF"/>
    <w:rsid w:val="00801725"/>
    <w:rsid w:val="00810AB1"/>
    <w:rsid w:val="0081402A"/>
    <w:rsid w:val="0081445D"/>
    <w:rsid w:val="00814F3A"/>
    <w:rsid w:val="00821C32"/>
    <w:rsid w:val="0082206A"/>
    <w:rsid w:val="00830775"/>
    <w:rsid w:val="00830A31"/>
    <w:rsid w:val="00831A2C"/>
    <w:rsid w:val="00831F1C"/>
    <w:rsid w:val="00836B51"/>
    <w:rsid w:val="0084456E"/>
    <w:rsid w:val="00847288"/>
    <w:rsid w:val="00852069"/>
    <w:rsid w:val="0085646F"/>
    <w:rsid w:val="00857BD7"/>
    <w:rsid w:val="008709F0"/>
    <w:rsid w:val="0087163E"/>
    <w:rsid w:val="0087482E"/>
    <w:rsid w:val="00876B4C"/>
    <w:rsid w:val="00881D79"/>
    <w:rsid w:val="00883474"/>
    <w:rsid w:val="008836E0"/>
    <w:rsid w:val="0088572C"/>
    <w:rsid w:val="00887669"/>
    <w:rsid w:val="00891006"/>
    <w:rsid w:val="0089449B"/>
    <w:rsid w:val="0089675B"/>
    <w:rsid w:val="008A0EEC"/>
    <w:rsid w:val="008A1925"/>
    <w:rsid w:val="008A354A"/>
    <w:rsid w:val="008A7F18"/>
    <w:rsid w:val="008B10F5"/>
    <w:rsid w:val="008B17B1"/>
    <w:rsid w:val="008B189C"/>
    <w:rsid w:val="008B256A"/>
    <w:rsid w:val="008B2B23"/>
    <w:rsid w:val="008B532A"/>
    <w:rsid w:val="008C04B0"/>
    <w:rsid w:val="008C34B1"/>
    <w:rsid w:val="008D24B3"/>
    <w:rsid w:val="008D5FFF"/>
    <w:rsid w:val="008D71B0"/>
    <w:rsid w:val="008E052E"/>
    <w:rsid w:val="008E0E50"/>
    <w:rsid w:val="008E2517"/>
    <w:rsid w:val="008E36E1"/>
    <w:rsid w:val="008F04DC"/>
    <w:rsid w:val="008F347E"/>
    <w:rsid w:val="008F532E"/>
    <w:rsid w:val="008F571C"/>
    <w:rsid w:val="008F743B"/>
    <w:rsid w:val="00901E04"/>
    <w:rsid w:val="00912AF2"/>
    <w:rsid w:val="00914E8C"/>
    <w:rsid w:val="00924F1D"/>
    <w:rsid w:val="00926B54"/>
    <w:rsid w:val="00930F83"/>
    <w:rsid w:val="00932D96"/>
    <w:rsid w:val="00937C20"/>
    <w:rsid w:val="00943F0C"/>
    <w:rsid w:val="00947929"/>
    <w:rsid w:val="00950EF0"/>
    <w:rsid w:val="00960CEA"/>
    <w:rsid w:val="009629B4"/>
    <w:rsid w:val="00966D14"/>
    <w:rsid w:val="00966FA8"/>
    <w:rsid w:val="00967265"/>
    <w:rsid w:val="0097243E"/>
    <w:rsid w:val="00985ED7"/>
    <w:rsid w:val="009A2C36"/>
    <w:rsid w:val="009A573D"/>
    <w:rsid w:val="009B5487"/>
    <w:rsid w:val="009B71FA"/>
    <w:rsid w:val="009D00A4"/>
    <w:rsid w:val="009D0750"/>
    <w:rsid w:val="009D0C83"/>
    <w:rsid w:val="009D1DDD"/>
    <w:rsid w:val="009D2543"/>
    <w:rsid w:val="009D26F2"/>
    <w:rsid w:val="009D51C7"/>
    <w:rsid w:val="009E5B9B"/>
    <w:rsid w:val="009E7F28"/>
    <w:rsid w:val="009F5C7B"/>
    <w:rsid w:val="00A07A0F"/>
    <w:rsid w:val="00A14080"/>
    <w:rsid w:val="00A15337"/>
    <w:rsid w:val="00A16827"/>
    <w:rsid w:val="00A224DA"/>
    <w:rsid w:val="00A26267"/>
    <w:rsid w:val="00A266F0"/>
    <w:rsid w:val="00A30738"/>
    <w:rsid w:val="00A44CFF"/>
    <w:rsid w:val="00A47C5B"/>
    <w:rsid w:val="00A5168B"/>
    <w:rsid w:val="00A51DB3"/>
    <w:rsid w:val="00A54AB4"/>
    <w:rsid w:val="00A57B5D"/>
    <w:rsid w:val="00A67AE6"/>
    <w:rsid w:val="00A81988"/>
    <w:rsid w:val="00A81A4E"/>
    <w:rsid w:val="00A8633C"/>
    <w:rsid w:val="00A94387"/>
    <w:rsid w:val="00AA3513"/>
    <w:rsid w:val="00AA4A06"/>
    <w:rsid w:val="00AB53D0"/>
    <w:rsid w:val="00AD559D"/>
    <w:rsid w:val="00AE2EEC"/>
    <w:rsid w:val="00AF16A0"/>
    <w:rsid w:val="00AF2E26"/>
    <w:rsid w:val="00AF326B"/>
    <w:rsid w:val="00B002B6"/>
    <w:rsid w:val="00B05F33"/>
    <w:rsid w:val="00B21525"/>
    <w:rsid w:val="00B2261B"/>
    <w:rsid w:val="00B261CE"/>
    <w:rsid w:val="00B277D2"/>
    <w:rsid w:val="00B30B2C"/>
    <w:rsid w:val="00B366D2"/>
    <w:rsid w:val="00B41B37"/>
    <w:rsid w:val="00B464C7"/>
    <w:rsid w:val="00B515D3"/>
    <w:rsid w:val="00B559F4"/>
    <w:rsid w:val="00B75C5E"/>
    <w:rsid w:val="00B776AF"/>
    <w:rsid w:val="00B87CDB"/>
    <w:rsid w:val="00B93C97"/>
    <w:rsid w:val="00B9473B"/>
    <w:rsid w:val="00B95ACC"/>
    <w:rsid w:val="00BA1ADA"/>
    <w:rsid w:val="00BA345A"/>
    <w:rsid w:val="00BA43B0"/>
    <w:rsid w:val="00BA44EF"/>
    <w:rsid w:val="00BA4AA5"/>
    <w:rsid w:val="00BA567B"/>
    <w:rsid w:val="00BA6433"/>
    <w:rsid w:val="00BB3C4F"/>
    <w:rsid w:val="00BC4441"/>
    <w:rsid w:val="00BC5B4C"/>
    <w:rsid w:val="00BE4639"/>
    <w:rsid w:val="00BE5D05"/>
    <w:rsid w:val="00BF3262"/>
    <w:rsid w:val="00BF7217"/>
    <w:rsid w:val="00C01923"/>
    <w:rsid w:val="00C11461"/>
    <w:rsid w:val="00C20BFC"/>
    <w:rsid w:val="00C2373C"/>
    <w:rsid w:val="00C24A7B"/>
    <w:rsid w:val="00C403E2"/>
    <w:rsid w:val="00C43329"/>
    <w:rsid w:val="00C44AE9"/>
    <w:rsid w:val="00C47ADC"/>
    <w:rsid w:val="00C51ACC"/>
    <w:rsid w:val="00C54107"/>
    <w:rsid w:val="00C56470"/>
    <w:rsid w:val="00C57507"/>
    <w:rsid w:val="00C63574"/>
    <w:rsid w:val="00C6425C"/>
    <w:rsid w:val="00C6440D"/>
    <w:rsid w:val="00C672E8"/>
    <w:rsid w:val="00C67D1A"/>
    <w:rsid w:val="00C75617"/>
    <w:rsid w:val="00C777C1"/>
    <w:rsid w:val="00C803BD"/>
    <w:rsid w:val="00C80C6B"/>
    <w:rsid w:val="00C8772A"/>
    <w:rsid w:val="00C950D7"/>
    <w:rsid w:val="00C9547C"/>
    <w:rsid w:val="00CB1B17"/>
    <w:rsid w:val="00CB395F"/>
    <w:rsid w:val="00CB5C0F"/>
    <w:rsid w:val="00CB5D31"/>
    <w:rsid w:val="00CC2E26"/>
    <w:rsid w:val="00CD2567"/>
    <w:rsid w:val="00CD2993"/>
    <w:rsid w:val="00CD3B79"/>
    <w:rsid w:val="00CD4C36"/>
    <w:rsid w:val="00CD5460"/>
    <w:rsid w:val="00CD7CBE"/>
    <w:rsid w:val="00CE0457"/>
    <w:rsid w:val="00CE14C8"/>
    <w:rsid w:val="00CE6812"/>
    <w:rsid w:val="00CF3B50"/>
    <w:rsid w:val="00D0071C"/>
    <w:rsid w:val="00D03E92"/>
    <w:rsid w:val="00D040FE"/>
    <w:rsid w:val="00D160B0"/>
    <w:rsid w:val="00D23670"/>
    <w:rsid w:val="00D32100"/>
    <w:rsid w:val="00D341E9"/>
    <w:rsid w:val="00D3632C"/>
    <w:rsid w:val="00D4179C"/>
    <w:rsid w:val="00D42BF9"/>
    <w:rsid w:val="00D42E07"/>
    <w:rsid w:val="00D439DF"/>
    <w:rsid w:val="00D46B55"/>
    <w:rsid w:val="00D527B3"/>
    <w:rsid w:val="00D62C87"/>
    <w:rsid w:val="00D63688"/>
    <w:rsid w:val="00D63CD2"/>
    <w:rsid w:val="00D70A81"/>
    <w:rsid w:val="00D73FDF"/>
    <w:rsid w:val="00D742E0"/>
    <w:rsid w:val="00D83A74"/>
    <w:rsid w:val="00D85050"/>
    <w:rsid w:val="00D86D59"/>
    <w:rsid w:val="00D901BD"/>
    <w:rsid w:val="00D94EDD"/>
    <w:rsid w:val="00D96254"/>
    <w:rsid w:val="00DA03A8"/>
    <w:rsid w:val="00DA06DA"/>
    <w:rsid w:val="00DB01B9"/>
    <w:rsid w:val="00DB3386"/>
    <w:rsid w:val="00DB5EBD"/>
    <w:rsid w:val="00DB7996"/>
    <w:rsid w:val="00DC7EB3"/>
    <w:rsid w:val="00DD4EFC"/>
    <w:rsid w:val="00DD58F5"/>
    <w:rsid w:val="00DD5AF1"/>
    <w:rsid w:val="00DD5C91"/>
    <w:rsid w:val="00DD675D"/>
    <w:rsid w:val="00DF08B8"/>
    <w:rsid w:val="00DF0949"/>
    <w:rsid w:val="00DF79D0"/>
    <w:rsid w:val="00E009F8"/>
    <w:rsid w:val="00E0565D"/>
    <w:rsid w:val="00E16972"/>
    <w:rsid w:val="00E17D6B"/>
    <w:rsid w:val="00E22998"/>
    <w:rsid w:val="00E22D90"/>
    <w:rsid w:val="00E23A82"/>
    <w:rsid w:val="00E300A5"/>
    <w:rsid w:val="00E30A4F"/>
    <w:rsid w:val="00E35A97"/>
    <w:rsid w:val="00E42E6A"/>
    <w:rsid w:val="00E47DA6"/>
    <w:rsid w:val="00E55733"/>
    <w:rsid w:val="00E55D7E"/>
    <w:rsid w:val="00E6515E"/>
    <w:rsid w:val="00E71E7A"/>
    <w:rsid w:val="00E75155"/>
    <w:rsid w:val="00E82571"/>
    <w:rsid w:val="00E92F05"/>
    <w:rsid w:val="00EA0F6F"/>
    <w:rsid w:val="00EB000F"/>
    <w:rsid w:val="00EB1CE4"/>
    <w:rsid w:val="00EB5AE3"/>
    <w:rsid w:val="00EB754A"/>
    <w:rsid w:val="00EC02DE"/>
    <w:rsid w:val="00EC4906"/>
    <w:rsid w:val="00EC57FF"/>
    <w:rsid w:val="00ED009C"/>
    <w:rsid w:val="00ED02CF"/>
    <w:rsid w:val="00ED3EA7"/>
    <w:rsid w:val="00ED5CB8"/>
    <w:rsid w:val="00EF4550"/>
    <w:rsid w:val="00EF6BC6"/>
    <w:rsid w:val="00F05EF8"/>
    <w:rsid w:val="00F16EFA"/>
    <w:rsid w:val="00F16F5A"/>
    <w:rsid w:val="00F332D0"/>
    <w:rsid w:val="00F33D28"/>
    <w:rsid w:val="00F34459"/>
    <w:rsid w:val="00F34C9F"/>
    <w:rsid w:val="00F423C5"/>
    <w:rsid w:val="00F5007F"/>
    <w:rsid w:val="00F5575A"/>
    <w:rsid w:val="00F678C3"/>
    <w:rsid w:val="00F71E33"/>
    <w:rsid w:val="00F72DFC"/>
    <w:rsid w:val="00F74220"/>
    <w:rsid w:val="00F819D7"/>
    <w:rsid w:val="00F84560"/>
    <w:rsid w:val="00F84FD2"/>
    <w:rsid w:val="00F87310"/>
    <w:rsid w:val="00F93A03"/>
    <w:rsid w:val="00F94270"/>
    <w:rsid w:val="00F9644E"/>
    <w:rsid w:val="00FA2378"/>
    <w:rsid w:val="00FA7041"/>
    <w:rsid w:val="00FB2E20"/>
    <w:rsid w:val="00FB3610"/>
    <w:rsid w:val="00FC5E1F"/>
    <w:rsid w:val="00FD62B7"/>
    <w:rsid w:val="00FD7C45"/>
    <w:rsid w:val="00FE0570"/>
    <w:rsid w:val="00FE1C4B"/>
    <w:rsid w:val="00FE25FC"/>
    <w:rsid w:val="00FE4355"/>
    <w:rsid w:val="00FF348F"/>
    <w:rsid w:val="00FF3C4F"/>
    <w:rsid w:val="00FF4BC6"/>
    <w:rsid w:val="00FF5C9B"/>
    <w:rsid w:val="00FF7048"/>
    <w:rsid w:val="00FF7C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3B"/>
    <w:pPr>
      <w:spacing w:after="160" w:line="259" w:lineRule="auto"/>
      <w:ind w:left="720"/>
      <w:contextualSpacing/>
    </w:pPr>
    <w:rPr>
      <w:rFonts w:ascii="Times New Roman" w:eastAsia="Calibri" w:hAnsi="Times New Roman" w:cs="Times New Roman"/>
      <w:sz w:val="28"/>
      <w:lang w:val="en-US"/>
    </w:rPr>
  </w:style>
  <w:style w:type="paragraph" w:styleId="NormalWeb">
    <w:name w:val="Normal (Web)"/>
    <w:basedOn w:val="Normal"/>
    <w:uiPriority w:val="99"/>
    <w:rsid w:val="008F74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F743B"/>
    <w:rPr>
      <w:b/>
      <w:bCs/>
    </w:rPr>
  </w:style>
  <w:style w:type="character" w:styleId="Hyperlink">
    <w:name w:val="Hyperlink"/>
    <w:basedOn w:val="DefaultParagraphFont"/>
    <w:uiPriority w:val="99"/>
    <w:semiHidden/>
    <w:unhideWhenUsed/>
    <w:rsid w:val="008F743B"/>
    <w:rPr>
      <w:color w:val="0000FF"/>
      <w:u w:val="single"/>
    </w:rPr>
  </w:style>
  <w:style w:type="paragraph" w:styleId="Header">
    <w:name w:val="header"/>
    <w:basedOn w:val="Normal"/>
    <w:link w:val="HeaderChar"/>
    <w:uiPriority w:val="99"/>
    <w:unhideWhenUsed/>
    <w:rsid w:val="00B94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73B"/>
  </w:style>
  <w:style w:type="paragraph" w:styleId="Footer">
    <w:name w:val="footer"/>
    <w:basedOn w:val="Normal"/>
    <w:link w:val="FooterChar"/>
    <w:uiPriority w:val="99"/>
    <w:unhideWhenUsed/>
    <w:rsid w:val="00B94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73B"/>
  </w:style>
  <w:style w:type="paragraph" w:styleId="BalloonText">
    <w:name w:val="Balloon Text"/>
    <w:basedOn w:val="Normal"/>
    <w:link w:val="BalloonTextChar"/>
    <w:uiPriority w:val="99"/>
    <w:semiHidden/>
    <w:unhideWhenUsed/>
    <w:rsid w:val="00BA4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18970">
      <w:bodyDiv w:val="1"/>
      <w:marLeft w:val="0"/>
      <w:marRight w:val="0"/>
      <w:marTop w:val="0"/>
      <w:marBottom w:val="0"/>
      <w:divBdr>
        <w:top w:val="none" w:sz="0" w:space="0" w:color="auto"/>
        <w:left w:val="none" w:sz="0" w:space="0" w:color="auto"/>
        <w:bottom w:val="none" w:sz="0" w:space="0" w:color="auto"/>
        <w:right w:val="none" w:sz="0" w:space="0" w:color="auto"/>
      </w:divBdr>
    </w:div>
    <w:div w:id="529533823">
      <w:bodyDiv w:val="1"/>
      <w:marLeft w:val="0"/>
      <w:marRight w:val="0"/>
      <w:marTop w:val="0"/>
      <w:marBottom w:val="0"/>
      <w:divBdr>
        <w:top w:val="none" w:sz="0" w:space="0" w:color="auto"/>
        <w:left w:val="none" w:sz="0" w:space="0" w:color="auto"/>
        <w:bottom w:val="none" w:sz="0" w:space="0" w:color="auto"/>
        <w:right w:val="none" w:sz="0" w:space="0" w:color="auto"/>
      </w:divBdr>
    </w:div>
    <w:div w:id="1002468472">
      <w:bodyDiv w:val="1"/>
      <w:marLeft w:val="0"/>
      <w:marRight w:val="0"/>
      <w:marTop w:val="0"/>
      <w:marBottom w:val="0"/>
      <w:divBdr>
        <w:top w:val="none" w:sz="0" w:space="0" w:color="auto"/>
        <w:left w:val="none" w:sz="0" w:space="0" w:color="auto"/>
        <w:bottom w:val="none" w:sz="0" w:space="0" w:color="auto"/>
        <w:right w:val="none" w:sz="0" w:space="0" w:color="auto"/>
      </w:divBdr>
    </w:div>
    <w:div w:id="1504398790">
      <w:bodyDiv w:val="1"/>
      <w:marLeft w:val="0"/>
      <w:marRight w:val="0"/>
      <w:marTop w:val="0"/>
      <w:marBottom w:val="0"/>
      <w:divBdr>
        <w:top w:val="none" w:sz="0" w:space="0" w:color="auto"/>
        <w:left w:val="none" w:sz="0" w:space="0" w:color="auto"/>
        <w:bottom w:val="none" w:sz="0" w:space="0" w:color="auto"/>
        <w:right w:val="none" w:sz="0" w:space="0" w:color="auto"/>
      </w:divBdr>
    </w:div>
    <w:div w:id="15920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82424-6E73-45AF-AF1D-703DD5BF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nguyenthuhang3</dc:creator>
  <cp:lastModifiedBy>nguyenthuhang3</cp:lastModifiedBy>
  <cp:revision>142</cp:revision>
  <cp:lastPrinted>2018-04-06T02:32:00Z</cp:lastPrinted>
  <dcterms:created xsi:type="dcterms:W3CDTF">2018-04-02T11:17:00Z</dcterms:created>
  <dcterms:modified xsi:type="dcterms:W3CDTF">2018-04-12T02:49:00Z</dcterms:modified>
</cp:coreProperties>
</file>