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85CAA" w14:textId="05717D94" w:rsidR="00AC4C5D" w:rsidRDefault="00AC4C5D" w:rsidP="006C498B">
      <w:pPr>
        <w:spacing w:before="120" w:after="120" w:line="340" w:lineRule="atLeast"/>
        <w:jc w:val="center"/>
        <w:rPr>
          <w:b/>
          <w:sz w:val="26"/>
          <w:szCs w:val="26"/>
          <w:lang w:val="en-US"/>
        </w:rPr>
      </w:pPr>
      <w:r>
        <w:rPr>
          <w:b/>
          <w:sz w:val="26"/>
          <w:szCs w:val="26"/>
          <w:lang w:val="en-US"/>
        </w:rPr>
        <w:t xml:space="preserve">MỘT SỐ VƯỚNG MẮC ĐỐI VỚI CÁC DỰ ÁN </w:t>
      </w:r>
      <w:r w:rsidR="000463F4">
        <w:rPr>
          <w:b/>
          <w:sz w:val="26"/>
          <w:szCs w:val="26"/>
          <w:lang w:val="en-US"/>
        </w:rPr>
        <w:t>ĐẦU TƯ THEO HÌNH THỨC ĐỐI TÁC CÔNG TƯ (PPP) VÀ GIẢI</w:t>
      </w:r>
      <w:r>
        <w:rPr>
          <w:b/>
          <w:sz w:val="26"/>
          <w:szCs w:val="26"/>
          <w:lang w:val="en-US"/>
        </w:rPr>
        <w:t xml:space="preserve"> PHÁP THÁO GỠ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300"/>
      </w:tblGrid>
      <w:tr w:rsidR="00AC4C5D" w14:paraId="46C69D72" w14:textId="77777777" w:rsidTr="000463F4">
        <w:tc>
          <w:tcPr>
            <w:tcW w:w="4158" w:type="dxa"/>
          </w:tcPr>
          <w:p w14:paraId="1E4B7A3F" w14:textId="77777777" w:rsidR="00AC4C5D" w:rsidRDefault="00AC4C5D" w:rsidP="006C498B">
            <w:pPr>
              <w:spacing w:before="120" w:after="120" w:line="340" w:lineRule="atLeast"/>
              <w:jc w:val="center"/>
              <w:rPr>
                <w:b/>
                <w:sz w:val="26"/>
                <w:szCs w:val="26"/>
                <w:lang w:val="en-US"/>
              </w:rPr>
            </w:pPr>
          </w:p>
        </w:tc>
        <w:tc>
          <w:tcPr>
            <w:tcW w:w="5300" w:type="dxa"/>
          </w:tcPr>
          <w:p w14:paraId="08018FF4" w14:textId="1ABD3B94" w:rsidR="00AC4C5D" w:rsidRPr="000463F4" w:rsidRDefault="00AC4C5D" w:rsidP="000463F4">
            <w:pPr>
              <w:spacing w:before="120" w:after="120" w:line="340" w:lineRule="atLeast"/>
              <w:jc w:val="center"/>
              <w:rPr>
                <w:b/>
                <w:i/>
                <w:sz w:val="26"/>
                <w:szCs w:val="26"/>
                <w:lang w:val="en-US"/>
              </w:rPr>
            </w:pPr>
            <w:r w:rsidRPr="000463F4">
              <w:rPr>
                <w:b/>
                <w:i/>
                <w:sz w:val="26"/>
                <w:szCs w:val="26"/>
                <w:lang w:val="en-US"/>
              </w:rPr>
              <w:t>Tiến sỹ, Luật sư Lê Đình Vinh</w:t>
            </w:r>
          </w:p>
          <w:p w14:paraId="509D8A11" w14:textId="69115C92" w:rsidR="00AC4C5D" w:rsidRPr="000463F4" w:rsidRDefault="00AC4C5D" w:rsidP="000463F4">
            <w:pPr>
              <w:spacing w:before="120" w:after="120" w:line="340" w:lineRule="atLeast"/>
              <w:jc w:val="center"/>
              <w:rPr>
                <w:b/>
                <w:i/>
                <w:sz w:val="26"/>
                <w:szCs w:val="26"/>
                <w:lang w:val="en-US"/>
              </w:rPr>
            </w:pPr>
            <w:r w:rsidRPr="000463F4">
              <w:rPr>
                <w:b/>
                <w:i/>
                <w:sz w:val="26"/>
                <w:szCs w:val="26"/>
                <w:lang w:val="en-US"/>
              </w:rPr>
              <w:t xml:space="preserve">Công ty Luật </w:t>
            </w:r>
            <w:r w:rsidR="000463F4">
              <w:rPr>
                <w:b/>
                <w:i/>
                <w:sz w:val="26"/>
                <w:szCs w:val="26"/>
                <w:lang w:val="en-US"/>
              </w:rPr>
              <w:t>TNHH Vietthink</w:t>
            </w:r>
          </w:p>
        </w:tc>
      </w:tr>
    </w:tbl>
    <w:p w14:paraId="7530D64A" w14:textId="77777777" w:rsidR="00D54640" w:rsidRPr="006C498B" w:rsidRDefault="00D54640" w:rsidP="006C498B">
      <w:pPr>
        <w:spacing w:before="120" w:after="120" w:line="340" w:lineRule="atLeast"/>
        <w:jc w:val="both"/>
        <w:rPr>
          <w:sz w:val="26"/>
          <w:szCs w:val="26"/>
          <w:lang w:val="en-US"/>
        </w:rPr>
      </w:pPr>
    </w:p>
    <w:p w14:paraId="7E0C29BE" w14:textId="0E2EBC24" w:rsidR="00F95B66" w:rsidRPr="000463F4" w:rsidRDefault="000463F4" w:rsidP="00623C4E">
      <w:pPr>
        <w:spacing w:line="340" w:lineRule="atLeast"/>
        <w:ind w:firstLine="720"/>
        <w:jc w:val="both"/>
        <w:rPr>
          <w:bCs/>
          <w:sz w:val="26"/>
          <w:szCs w:val="26"/>
          <w:lang w:val="en-US"/>
        </w:rPr>
      </w:pPr>
      <w:r w:rsidRPr="000463F4">
        <w:rPr>
          <w:sz w:val="26"/>
          <w:szCs w:val="26"/>
          <w:lang w:val="en-US"/>
        </w:rPr>
        <w:t xml:space="preserve">Khung pháp lý điều chỉnh hoạt động đầu tư theo hình thức đối tác công tư (PPP) hiện nay được quy định tại </w:t>
      </w:r>
      <w:r w:rsidR="002C1F38" w:rsidRPr="000463F4">
        <w:rPr>
          <w:sz w:val="26"/>
          <w:szCs w:val="26"/>
        </w:rPr>
        <w:t xml:space="preserve">Luật Đầu tư </w:t>
      </w:r>
      <w:r w:rsidR="00470813" w:rsidRPr="000463F4">
        <w:rPr>
          <w:sz w:val="26"/>
          <w:szCs w:val="26"/>
          <w:lang w:val="en-US"/>
        </w:rPr>
        <w:t>số 67/2014/QH13</w:t>
      </w:r>
      <w:r w:rsidR="002C1F38" w:rsidRPr="000463F4">
        <w:rPr>
          <w:sz w:val="26"/>
          <w:szCs w:val="26"/>
        </w:rPr>
        <w:t xml:space="preserve"> </w:t>
      </w:r>
      <w:r w:rsidRPr="000463F4">
        <w:rPr>
          <w:sz w:val="26"/>
          <w:szCs w:val="26"/>
          <w:lang w:val="en-US"/>
        </w:rPr>
        <w:t>ngày 26/11/2014, Luật</w:t>
      </w:r>
      <w:r w:rsidR="00470813" w:rsidRPr="000463F4">
        <w:rPr>
          <w:sz w:val="26"/>
          <w:szCs w:val="26"/>
          <w:lang w:val="en-US"/>
        </w:rPr>
        <w:t xml:space="preserve"> Đầu tư</w:t>
      </w:r>
      <w:r w:rsidRPr="000463F4">
        <w:rPr>
          <w:rFonts w:ascii="Tahoma" w:hAnsi="Tahoma" w:cs="Tahoma"/>
          <w:color w:val="333333"/>
          <w:sz w:val="26"/>
          <w:szCs w:val="26"/>
          <w:shd w:val="clear" w:color="auto" w:fill="FFFFFF"/>
        </w:rPr>
        <w:t xml:space="preserve"> </w:t>
      </w:r>
      <w:r w:rsidRPr="000463F4">
        <w:rPr>
          <w:sz w:val="26"/>
          <w:szCs w:val="26"/>
        </w:rPr>
        <w:t>49/2014/QH13</w:t>
      </w:r>
      <w:r w:rsidRPr="000463F4">
        <w:rPr>
          <w:sz w:val="26"/>
          <w:szCs w:val="26"/>
          <w:lang w:val="en-US"/>
        </w:rPr>
        <w:t xml:space="preserve"> ngày 18/06/2014; </w:t>
      </w:r>
      <w:r w:rsidR="002C1F38" w:rsidRPr="000463F4">
        <w:rPr>
          <w:sz w:val="26"/>
          <w:szCs w:val="26"/>
        </w:rPr>
        <w:t xml:space="preserve">Nghị định </w:t>
      </w:r>
      <w:r w:rsidR="00470813" w:rsidRPr="000463F4">
        <w:rPr>
          <w:sz w:val="26"/>
          <w:szCs w:val="26"/>
          <w:lang w:val="en-US"/>
        </w:rPr>
        <w:t xml:space="preserve">số </w:t>
      </w:r>
      <w:r w:rsidR="002C1F38" w:rsidRPr="000463F4">
        <w:rPr>
          <w:sz w:val="26"/>
          <w:szCs w:val="26"/>
        </w:rPr>
        <w:t xml:space="preserve">15/2015/NĐ-CP </w:t>
      </w:r>
      <w:r w:rsidR="00470813" w:rsidRPr="000463F4">
        <w:rPr>
          <w:sz w:val="26"/>
          <w:szCs w:val="26"/>
          <w:lang w:val="en-US"/>
        </w:rPr>
        <w:t>n</w:t>
      </w:r>
      <w:r w:rsidR="00470813" w:rsidRPr="000463F4">
        <w:rPr>
          <w:sz w:val="26"/>
          <w:szCs w:val="26"/>
        </w:rPr>
        <w:t>gày 14</w:t>
      </w:r>
      <w:r w:rsidRPr="000463F4">
        <w:rPr>
          <w:sz w:val="26"/>
          <w:szCs w:val="26"/>
          <w:lang w:val="en-US"/>
        </w:rPr>
        <w:t>/02/</w:t>
      </w:r>
      <w:r w:rsidR="00470813" w:rsidRPr="000463F4">
        <w:rPr>
          <w:sz w:val="26"/>
          <w:szCs w:val="26"/>
        </w:rPr>
        <w:t>2015</w:t>
      </w:r>
      <w:r w:rsidR="00470813" w:rsidRPr="000463F4">
        <w:rPr>
          <w:sz w:val="26"/>
          <w:szCs w:val="26"/>
          <w:lang w:val="en-US"/>
        </w:rPr>
        <w:t xml:space="preserve"> </w:t>
      </w:r>
      <w:r w:rsidR="00F95B66" w:rsidRPr="000463F4">
        <w:rPr>
          <w:bCs/>
          <w:sz w:val="26"/>
          <w:szCs w:val="26"/>
        </w:rPr>
        <w:t xml:space="preserve">và Nghị định số </w:t>
      </w:r>
      <w:r w:rsidR="00543460" w:rsidRPr="000463F4">
        <w:rPr>
          <w:bCs/>
          <w:sz w:val="26"/>
          <w:szCs w:val="26"/>
          <w:lang w:val="en-US"/>
        </w:rPr>
        <w:t>Nghị định 30/2015/NĐ-</w:t>
      </w:r>
      <w:r>
        <w:rPr>
          <w:bCs/>
          <w:sz w:val="26"/>
          <w:szCs w:val="26"/>
          <w:lang w:val="en-US"/>
        </w:rPr>
        <w:t xml:space="preserve"> </w:t>
      </w:r>
      <w:r w:rsidRPr="000463F4">
        <w:rPr>
          <w:bCs/>
          <w:sz w:val="26"/>
          <w:szCs w:val="26"/>
          <w:lang w:val="en-US"/>
        </w:rPr>
        <w:t xml:space="preserve">CP </w:t>
      </w:r>
      <w:r>
        <w:rPr>
          <w:bCs/>
          <w:sz w:val="26"/>
          <w:szCs w:val="26"/>
          <w:lang w:val="en-US"/>
        </w:rPr>
        <w:t>ngày 17/03</w:t>
      </w:r>
      <w:r w:rsidR="00634117">
        <w:rPr>
          <w:bCs/>
          <w:sz w:val="26"/>
          <w:szCs w:val="26"/>
          <w:lang w:val="en-US"/>
        </w:rPr>
        <w:t>/</w:t>
      </w:r>
      <w:r>
        <w:rPr>
          <w:bCs/>
          <w:sz w:val="26"/>
          <w:szCs w:val="26"/>
          <w:lang w:val="en-US"/>
        </w:rPr>
        <w:t xml:space="preserve">2015 và một số văn bản khác. Những </w:t>
      </w:r>
      <w:r>
        <w:rPr>
          <w:bCs/>
          <w:sz w:val="26"/>
          <w:szCs w:val="26"/>
        </w:rPr>
        <w:t xml:space="preserve">quy định hiện hành về PPP </w:t>
      </w:r>
      <w:r w:rsidR="00F95B66" w:rsidRPr="000463F4">
        <w:rPr>
          <w:bCs/>
          <w:sz w:val="26"/>
          <w:szCs w:val="26"/>
        </w:rPr>
        <w:t xml:space="preserve">được đánh giá là </w:t>
      </w:r>
      <w:r w:rsidR="00182702">
        <w:rPr>
          <w:bCs/>
          <w:sz w:val="26"/>
          <w:szCs w:val="26"/>
          <w:lang w:val="en-US"/>
        </w:rPr>
        <w:t xml:space="preserve">tương đối đồng bộ, có nhiều điểm mới </w:t>
      </w:r>
      <w:r w:rsidR="00F95B66" w:rsidRPr="000463F4">
        <w:rPr>
          <w:bCs/>
          <w:sz w:val="26"/>
          <w:szCs w:val="26"/>
        </w:rPr>
        <w:t>phù hợp thông lệ quốc tế</w:t>
      </w:r>
      <w:r w:rsidR="00182702">
        <w:rPr>
          <w:bCs/>
          <w:sz w:val="26"/>
          <w:szCs w:val="26"/>
          <w:lang w:val="en-US"/>
        </w:rPr>
        <w:t>, tạo thuận lợi cho việc</w:t>
      </w:r>
      <w:r w:rsidR="00F95B66" w:rsidRPr="000463F4">
        <w:rPr>
          <w:bCs/>
          <w:sz w:val="26"/>
          <w:szCs w:val="26"/>
        </w:rPr>
        <w:t xml:space="preserve"> triển khai </w:t>
      </w:r>
      <w:r w:rsidR="00182702">
        <w:rPr>
          <w:bCs/>
          <w:sz w:val="26"/>
          <w:szCs w:val="26"/>
          <w:lang w:val="en-US"/>
        </w:rPr>
        <w:t xml:space="preserve">và quản lý các </w:t>
      </w:r>
      <w:r w:rsidR="00F95B66" w:rsidRPr="000463F4">
        <w:rPr>
          <w:bCs/>
          <w:sz w:val="26"/>
          <w:szCs w:val="26"/>
        </w:rPr>
        <w:t>dự án PPP tại Việt Nam. </w:t>
      </w:r>
    </w:p>
    <w:p w14:paraId="7A060E52" w14:textId="77777777" w:rsidR="00182702" w:rsidRDefault="00F95B66" w:rsidP="006C498B">
      <w:pPr>
        <w:spacing w:before="120" w:after="120" w:line="340" w:lineRule="atLeast"/>
        <w:ind w:firstLine="720"/>
        <w:jc w:val="both"/>
        <w:rPr>
          <w:sz w:val="26"/>
          <w:szCs w:val="26"/>
          <w:lang w:val="en-US"/>
        </w:rPr>
      </w:pPr>
      <w:r w:rsidRPr="006C498B">
        <w:rPr>
          <w:sz w:val="26"/>
          <w:szCs w:val="26"/>
          <w:lang w:val="en-US"/>
        </w:rPr>
        <w:t xml:space="preserve">Tuy nhiên, </w:t>
      </w:r>
      <w:r w:rsidR="00543460">
        <w:rPr>
          <w:sz w:val="26"/>
          <w:szCs w:val="26"/>
          <w:lang w:val="en-US"/>
        </w:rPr>
        <w:t>từ</w:t>
      </w:r>
      <w:r w:rsidRPr="006C498B">
        <w:rPr>
          <w:sz w:val="26"/>
          <w:szCs w:val="26"/>
          <w:lang w:val="en-US"/>
        </w:rPr>
        <w:t xml:space="preserve"> thực tiễn tư vấn </w:t>
      </w:r>
      <w:r w:rsidR="00543460">
        <w:rPr>
          <w:sz w:val="26"/>
          <w:szCs w:val="26"/>
          <w:lang w:val="en-US"/>
        </w:rPr>
        <w:t xml:space="preserve">cho </w:t>
      </w:r>
      <w:r w:rsidRPr="006C498B">
        <w:rPr>
          <w:sz w:val="26"/>
          <w:szCs w:val="26"/>
          <w:lang w:val="en-US"/>
        </w:rPr>
        <w:t xml:space="preserve">các dự án đầu tư theo hình thức PPP, nhất là đối với các dự án BOT, BT, chúng tôi nhận thấy vẫn còn </w:t>
      </w:r>
      <w:r w:rsidR="00182702">
        <w:rPr>
          <w:sz w:val="26"/>
          <w:szCs w:val="26"/>
          <w:lang w:val="en-US"/>
        </w:rPr>
        <w:t>một số</w:t>
      </w:r>
      <w:r w:rsidRPr="006C498B">
        <w:rPr>
          <w:sz w:val="26"/>
          <w:szCs w:val="26"/>
          <w:lang w:val="en-US"/>
        </w:rPr>
        <w:t xml:space="preserve"> vướng mắc </w:t>
      </w:r>
      <w:r w:rsidR="006C498B">
        <w:rPr>
          <w:sz w:val="26"/>
          <w:szCs w:val="26"/>
          <w:lang w:val="en-US"/>
        </w:rPr>
        <w:t xml:space="preserve">về cơ chế, chính sách và pháp luật </w:t>
      </w:r>
      <w:r w:rsidR="00182702">
        <w:rPr>
          <w:sz w:val="26"/>
          <w:szCs w:val="26"/>
          <w:lang w:val="en-US"/>
        </w:rPr>
        <w:t>cần được tháo gỡ để tạo thuận lợi hơn nữa cho nhà đầu tư và cho các cơ quan quản lý trong việc triển khai và quản lý các dự án PPP nói chung, các dự án BOT, BT nói riêng trong thời gian tới.</w:t>
      </w:r>
    </w:p>
    <w:p w14:paraId="246749BE" w14:textId="083EE865" w:rsidR="00623C4E" w:rsidRPr="00182702" w:rsidRDefault="00D91092" w:rsidP="00182702">
      <w:pPr>
        <w:pStyle w:val="ListParagraph"/>
        <w:numPr>
          <w:ilvl w:val="0"/>
          <w:numId w:val="3"/>
        </w:numPr>
        <w:tabs>
          <w:tab w:val="left" w:pos="567"/>
        </w:tabs>
        <w:spacing w:before="120" w:after="120" w:line="340" w:lineRule="atLeast"/>
        <w:jc w:val="both"/>
        <w:rPr>
          <w:b/>
          <w:sz w:val="26"/>
          <w:szCs w:val="26"/>
          <w:lang w:val="en-US"/>
        </w:rPr>
      </w:pPr>
      <w:r w:rsidRPr="00182702">
        <w:rPr>
          <w:b/>
          <w:sz w:val="26"/>
          <w:szCs w:val="26"/>
          <w:lang w:val="en-US"/>
        </w:rPr>
        <w:t>V</w:t>
      </w:r>
      <w:r w:rsidR="00182702">
        <w:rPr>
          <w:b/>
          <w:sz w:val="26"/>
          <w:szCs w:val="26"/>
          <w:lang w:val="en-US"/>
        </w:rPr>
        <w:t>ướng mắc trong v</w:t>
      </w:r>
      <w:r w:rsidR="00623C4E" w:rsidRPr="00182702">
        <w:rPr>
          <w:b/>
          <w:sz w:val="26"/>
          <w:szCs w:val="26"/>
        </w:rPr>
        <w:t>iệc đề xuất dự án</w:t>
      </w:r>
      <w:r w:rsidR="00623C4E" w:rsidRPr="00182702">
        <w:rPr>
          <w:b/>
          <w:sz w:val="26"/>
          <w:szCs w:val="26"/>
          <w:lang w:val="en-US"/>
        </w:rPr>
        <w:t xml:space="preserve"> đầu tư</w:t>
      </w:r>
    </w:p>
    <w:p w14:paraId="0DE1A4D7" w14:textId="06807BBF" w:rsidR="00786781" w:rsidRPr="006C498B" w:rsidRDefault="00786781" w:rsidP="00786781">
      <w:pPr>
        <w:spacing w:before="120" w:after="120" w:line="340" w:lineRule="atLeast"/>
        <w:ind w:firstLine="567"/>
        <w:jc w:val="both"/>
        <w:rPr>
          <w:color w:val="231F20"/>
          <w:sz w:val="26"/>
          <w:szCs w:val="26"/>
          <w:shd w:val="clear" w:color="auto" w:fill="FFFFFF"/>
          <w:lang w:val="en-US"/>
        </w:rPr>
      </w:pPr>
      <w:r>
        <w:rPr>
          <w:sz w:val="26"/>
          <w:szCs w:val="26"/>
          <w:lang w:val="en-US"/>
        </w:rPr>
        <w:t>Theo quy định của pháp luật hiện hành, các bộ, ngành và UBND các địa phương là cơ quan lập và công bố danh mục dự án đầu tư theo hình thức PPP</w:t>
      </w:r>
      <w:r w:rsidR="00182702">
        <w:rPr>
          <w:sz w:val="26"/>
          <w:szCs w:val="26"/>
          <w:lang w:val="en-US"/>
        </w:rPr>
        <w:t>, trong đó có các dự án BOT, BT</w:t>
      </w:r>
      <w:r>
        <w:rPr>
          <w:sz w:val="26"/>
          <w:szCs w:val="26"/>
          <w:lang w:val="en-US"/>
        </w:rPr>
        <w:t>.</w:t>
      </w:r>
      <w:r w:rsidRPr="00786781">
        <w:rPr>
          <w:sz w:val="26"/>
          <w:szCs w:val="26"/>
          <w:lang w:val="en-US"/>
        </w:rPr>
        <w:t xml:space="preserve"> </w:t>
      </w:r>
      <w:r w:rsidR="00182702">
        <w:rPr>
          <w:sz w:val="26"/>
          <w:szCs w:val="26"/>
          <w:lang w:val="en-US"/>
        </w:rPr>
        <w:t>Các</w:t>
      </w:r>
      <w:r>
        <w:rPr>
          <w:sz w:val="26"/>
          <w:szCs w:val="26"/>
          <w:lang w:val="en-US"/>
        </w:rPr>
        <w:t xml:space="preserve"> dự án </w:t>
      </w:r>
      <w:r w:rsidR="00182702">
        <w:rPr>
          <w:sz w:val="26"/>
          <w:szCs w:val="26"/>
          <w:lang w:val="en-US"/>
        </w:rPr>
        <w:t>BT</w:t>
      </w:r>
      <w:r w:rsidRPr="006C498B">
        <w:rPr>
          <w:sz w:val="26"/>
          <w:szCs w:val="26"/>
          <w:lang w:val="en-US"/>
        </w:rPr>
        <w:t xml:space="preserve"> thường </w:t>
      </w:r>
      <w:r w:rsidR="00182702">
        <w:rPr>
          <w:sz w:val="26"/>
          <w:szCs w:val="26"/>
          <w:lang w:val="en-US"/>
        </w:rPr>
        <w:t xml:space="preserve">được đề xuất triển khai tại </w:t>
      </w:r>
      <w:r w:rsidRPr="006C498B">
        <w:rPr>
          <w:sz w:val="26"/>
          <w:szCs w:val="26"/>
          <w:lang w:val="en-US"/>
        </w:rPr>
        <w:t xml:space="preserve">các khu vực còn </w:t>
      </w:r>
      <w:r w:rsidR="00182702">
        <w:rPr>
          <w:sz w:val="26"/>
          <w:szCs w:val="26"/>
          <w:lang w:val="en-US"/>
        </w:rPr>
        <w:t xml:space="preserve">chậm </w:t>
      </w:r>
      <w:r w:rsidRPr="006C498B">
        <w:rPr>
          <w:sz w:val="26"/>
          <w:szCs w:val="26"/>
          <w:lang w:val="en-US"/>
        </w:rPr>
        <w:t xml:space="preserve">phát triển, các dự án, công trình không trực tiếp sinh lời. </w:t>
      </w:r>
      <w:r w:rsidR="00634117">
        <w:rPr>
          <w:sz w:val="26"/>
          <w:szCs w:val="26"/>
          <w:lang w:val="en-US"/>
        </w:rPr>
        <w:t>Trong khi</w:t>
      </w:r>
      <w:r w:rsidR="00182702">
        <w:rPr>
          <w:sz w:val="26"/>
          <w:szCs w:val="26"/>
          <w:lang w:val="en-US"/>
        </w:rPr>
        <w:t xml:space="preserve"> đó, các dự án</w:t>
      </w:r>
      <w:r w:rsidRPr="006C498B">
        <w:rPr>
          <w:sz w:val="26"/>
          <w:szCs w:val="26"/>
          <w:lang w:val="en-US"/>
        </w:rPr>
        <w:t xml:space="preserve"> </w:t>
      </w:r>
      <w:r w:rsidRPr="006C498B">
        <w:rPr>
          <w:color w:val="231F20"/>
          <w:sz w:val="26"/>
          <w:szCs w:val="26"/>
          <w:shd w:val="clear" w:color="auto" w:fill="FFFFFF"/>
        </w:rPr>
        <w:t xml:space="preserve">BOT </w:t>
      </w:r>
      <w:r w:rsidR="00182702">
        <w:rPr>
          <w:color w:val="231F20"/>
          <w:sz w:val="26"/>
          <w:szCs w:val="26"/>
          <w:shd w:val="clear" w:color="auto" w:fill="FFFFFF"/>
          <w:lang w:val="en-US"/>
        </w:rPr>
        <w:t>được ưu tiên triển khai trong lĩnh vực hạ tầng kỹ thuật, giao thông vận tải và một số lĩnh vực khác cần ưu tiên đầu tư để thúc đấy sự phát triển kinh tế - xã hội của đất nước.</w:t>
      </w:r>
      <w:r w:rsidRPr="006C498B">
        <w:rPr>
          <w:color w:val="231F20"/>
          <w:sz w:val="26"/>
          <w:szCs w:val="26"/>
          <w:shd w:val="clear" w:color="auto" w:fill="FFFFFF"/>
        </w:rPr>
        <w:t xml:space="preserve"> </w:t>
      </w:r>
    </w:p>
    <w:p w14:paraId="682C8F3F" w14:textId="7A4F0DC2" w:rsidR="0039614F" w:rsidRPr="0039614F" w:rsidRDefault="00623C4E" w:rsidP="0039614F">
      <w:pPr>
        <w:spacing w:before="120" w:after="120" w:line="340" w:lineRule="atLeast"/>
        <w:ind w:firstLine="567"/>
        <w:jc w:val="both"/>
        <w:rPr>
          <w:color w:val="231F20"/>
          <w:sz w:val="26"/>
          <w:szCs w:val="26"/>
          <w:shd w:val="clear" w:color="auto" w:fill="FFFFFF"/>
          <w:lang w:val="en-US"/>
        </w:rPr>
      </w:pPr>
      <w:r w:rsidRPr="00623C4E">
        <w:rPr>
          <w:sz w:val="26"/>
          <w:szCs w:val="26"/>
          <w:lang w:val="en-US"/>
        </w:rPr>
        <w:t xml:space="preserve"> </w:t>
      </w:r>
      <w:r w:rsidR="00182702">
        <w:rPr>
          <w:sz w:val="26"/>
          <w:szCs w:val="26"/>
          <w:lang w:val="en-US"/>
        </w:rPr>
        <w:t xml:space="preserve">Mặc dù pháp luật đã có quy định khá chặt chẽ về quy trình lập, đề xuất </w:t>
      </w:r>
      <w:r w:rsidR="0039614F">
        <w:rPr>
          <w:sz w:val="26"/>
          <w:szCs w:val="26"/>
          <w:lang w:val="en-US"/>
        </w:rPr>
        <w:t xml:space="preserve">và công bố </w:t>
      </w:r>
      <w:r w:rsidR="00182702">
        <w:rPr>
          <w:sz w:val="26"/>
          <w:szCs w:val="26"/>
          <w:lang w:val="en-US"/>
        </w:rPr>
        <w:t>các dự án BOT, BT</w:t>
      </w:r>
      <w:r w:rsidR="0039614F">
        <w:rPr>
          <w:sz w:val="26"/>
          <w:szCs w:val="26"/>
          <w:lang w:val="en-US"/>
        </w:rPr>
        <w:t xml:space="preserve">, nhưng trên thực tế </w:t>
      </w:r>
      <w:r w:rsidR="00786781">
        <w:rPr>
          <w:sz w:val="26"/>
          <w:szCs w:val="26"/>
          <w:lang w:val="en-US"/>
        </w:rPr>
        <w:t>theo kết quả thanh kiểm tra thì nhiều bộ, ngành, địa phương hiện nay</w:t>
      </w:r>
      <w:r w:rsidRPr="00623C4E">
        <w:rPr>
          <w:sz w:val="26"/>
          <w:szCs w:val="26"/>
          <w:lang w:val="en-US"/>
        </w:rPr>
        <w:t xml:space="preserve"> chưa thực hiện </w:t>
      </w:r>
      <w:r w:rsidR="0039614F">
        <w:rPr>
          <w:sz w:val="26"/>
          <w:szCs w:val="26"/>
          <w:lang w:val="en-US"/>
        </w:rPr>
        <w:t>nghiêm túc</w:t>
      </w:r>
      <w:r w:rsidRPr="00623C4E">
        <w:rPr>
          <w:sz w:val="26"/>
          <w:szCs w:val="26"/>
          <w:lang w:val="en-US"/>
        </w:rPr>
        <w:t xml:space="preserve"> quy định về việc xây dựng và công bố danh mục dự án kêu gọi đầu tư theo hình thức </w:t>
      </w:r>
      <w:r w:rsidR="0039614F">
        <w:rPr>
          <w:sz w:val="26"/>
          <w:szCs w:val="26"/>
          <w:lang w:val="en-US"/>
        </w:rPr>
        <w:t>BOT, BT</w:t>
      </w:r>
      <w:r w:rsidR="00D532A7">
        <w:rPr>
          <w:sz w:val="26"/>
          <w:szCs w:val="26"/>
          <w:lang w:val="en-US"/>
        </w:rPr>
        <w:t>,</w:t>
      </w:r>
      <w:r w:rsidRPr="00623C4E">
        <w:rPr>
          <w:sz w:val="26"/>
          <w:szCs w:val="26"/>
          <w:lang w:val="en-US"/>
        </w:rPr>
        <w:t xml:space="preserve"> </w:t>
      </w:r>
      <w:r w:rsidR="00D532A7">
        <w:rPr>
          <w:sz w:val="26"/>
          <w:szCs w:val="26"/>
          <w:lang w:val="en-US"/>
        </w:rPr>
        <w:t>d</w:t>
      </w:r>
      <w:r w:rsidR="0039614F">
        <w:rPr>
          <w:sz w:val="26"/>
          <w:szCs w:val="26"/>
          <w:lang w:val="en-US"/>
        </w:rPr>
        <w:t>ẫn đến nhiều dự án trong danh mục được công bố không đảm bảo tính khả thi và hợp lý, không kêu gọi được nhà đầu tư. Bên cạnh đó, n</w:t>
      </w:r>
      <w:r w:rsidR="00D91092">
        <w:rPr>
          <w:sz w:val="26"/>
          <w:szCs w:val="26"/>
          <w:lang w:val="en-US"/>
        </w:rPr>
        <w:t xml:space="preserve">hiều dự án phê duyệt bổ sung theo đề </w:t>
      </w:r>
      <w:r w:rsidR="0039614F">
        <w:rPr>
          <w:sz w:val="26"/>
          <w:szCs w:val="26"/>
          <w:lang w:val="en-US"/>
        </w:rPr>
        <w:t>xuất</w:t>
      </w:r>
      <w:r w:rsidR="00D91092">
        <w:rPr>
          <w:sz w:val="26"/>
          <w:szCs w:val="26"/>
          <w:lang w:val="en-US"/>
        </w:rPr>
        <w:t xml:space="preserve"> của nhà đầu tư không đảm bảo các yêu cầu</w:t>
      </w:r>
      <w:r w:rsidR="0039614F">
        <w:rPr>
          <w:sz w:val="26"/>
          <w:szCs w:val="26"/>
          <w:lang w:val="en-US"/>
        </w:rPr>
        <w:t xml:space="preserve"> và điều kiện cần thiết để triển khai</w:t>
      </w:r>
      <w:r w:rsidR="00D91092">
        <w:rPr>
          <w:sz w:val="26"/>
          <w:szCs w:val="26"/>
          <w:lang w:val="en-US"/>
        </w:rPr>
        <w:t>, dẫn đến</w:t>
      </w:r>
      <w:r w:rsidR="0039614F">
        <w:rPr>
          <w:sz w:val="26"/>
          <w:szCs w:val="26"/>
          <w:lang w:val="en-US"/>
        </w:rPr>
        <w:t xml:space="preserve"> hoạt động</w:t>
      </w:r>
      <w:r w:rsidR="00D91092">
        <w:rPr>
          <w:sz w:val="26"/>
          <w:szCs w:val="26"/>
          <w:lang w:val="en-US"/>
        </w:rPr>
        <w:t xml:space="preserve"> không hiệu quả. </w:t>
      </w:r>
      <w:r w:rsidR="0039614F">
        <w:rPr>
          <w:sz w:val="26"/>
          <w:szCs w:val="26"/>
          <w:lang w:val="en-US"/>
        </w:rPr>
        <w:t>Thậm chí nhiều dự án đã chết yểu ngay sau khi mới đi vào hoạt động.</w:t>
      </w:r>
    </w:p>
    <w:p w14:paraId="6054E620" w14:textId="60DCF1D8" w:rsidR="0039614F" w:rsidRPr="00581329" w:rsidRDefault="0039614F" w:rsidP="00581329">
      <w:pPr>
        <w:spacing w:before="120" w:after="120" w:line="340" w:lineRule="atLeast"/>
        <w:ind w:firstLine="567"/>
        <w:jc w:val="both"/>
        <w:rPr>
          <w:sz w:val="26"/>
          <w:szCs w:val="26"/>
          <w:lang w:val="en-US"/>
        </w:rPr>
      </w:pPr>
      <w:r>
        <w:rPr>
          <w:sz w:val="26"/>
          <w:szCs w:val="26"/>
          <w:lang w:val="en-US"/>
        </w:rPr>
        <w:t>Các dự án BOT thời gian qua tập trung chủ yếu trong lĩnh vực giao thông, thường được bố trí ở những tuyến đường huyết mạch, có lưu lượng phương tiện qua lại đông. Tuy nhiên, nhiều</w:t>
      </w:r>
      <w:r w:rsidR="00D91092">
        <w:rPr>
          <w:sz w:val="26"/>
          <w:szCs w:val="26"/>
          <w:lang w:val="en-US"/>
        </w:rPr>
        <w:t xml:space="preserve"> dự án BOT giao thông</w:t>
      </w:r>
      <w:r>
        <w:rPr>
          <w:sz w:val="26"/>
          <w:szCs w:val="26"/>
          <w:lang w:val="en-US"/>
        </w:rPr>
        <w:t xml:space="preserve"> được quy hoạch tại những vị trí chưa hợp lý</w:t>
      </w:r>
      <w:r w:rsidR="00D91092">
        <w:rPr>
          <w:sz w:val="26"/>
          <w:szCs w:val="26"/>
          <w:lang w:val="en-US"/>
        </w:rPr>
        <w:t xml:space="preserve">, đặt trạm thu phí không phù hợp với đặc điểm, tính chất của dự án, không </w:t>
      </w:r>
      <w:r w:rsidR="00D91092" w:rsidRPr="006C498B">
        <w:rPr>
          <w:sz w:val="26"/>
          <w:szCs w:val="26"/>
          <w:lang w:val="en-US"/>
        </w:rPr>
        <w:t xml:space="preserve">tạo sự đồng thuận </w:t>
      </w:r>
      <w:r>
        <w:rPr>
          <w:sz w:val="26"/>
          <w:szCs w:val="26"/>
          <w:lang w:val="en-US"/>
        </w:rPr>
        <w:t>của cộng đồng địa phương và người tham gia giao thông. Nhiều dự án BOT được quy hoạch dày đặc dẫn đến các trạm thu</w:t>
      </w:r>
      <w:r w:rsidR="00182702" w:rsidRPr="006C498B">
        <w:rPr>
          <w:color w:val="231F20"/>
          <w:sz w:val="26"/>
          <w:szCs w:val="26"/>
          <w:shd w:val="clear" w:color="auto" w:fill="FFFFFF"/>
        </w:rPr>
        <w:t xml:space="preserve"> phí có khoảng cách gần nhau</w:t>
      </w:r>
      <w:r>
        <w:rPr>
          <w:color w:val="231F20"/>
          <w:sz w:val="26"/>
          <w:szCs w:val="26"/>
          <w:shd w:val="clear" w:color="auto" w:fill="FFFFFF"/>
          <w:lang w:val="en-US"/>
        </w:rPr>
        <w:t xml:space="preserve"> một cách</w:t>
      </w:r>
      <w:r w:rsidR="00182702" w:rsidRPr="006C498B">
        <w:rPr>
          <w:color w:val="231F20"/>
          <w:sz w:val="26"/>
          <w:szCs w:val="26"/>
          <w:shd w:val="clear" w:color="auto" w:fill="FFFFFF"/>
        </w:rPr>
        <w:t xml:space="preserve"> bất hợp </w:t>
      </w:r>
      <w:r w:rsidR="00182702" w:rsidRPr="006C498B">
        <w:rPr>
          <w:color w:val="231F20"/>
          <w:sz w:val="26"/>
          <w:szCs w:val="26"/>
          <w:shd w:val="clear" w:color="auto" w:fill="FFFFFF"/>
        </w:rPr>
        <w:lastRenderedPageBreak/>
        <w:t xml:space="preserve">lý, </w:t>
      </w:r>
      <w:r>
        <w:rPr>
          <w:color w:val="231F20"/>
          <w:sz w:val="26"/>
          <w:szCs w:val="26"/>
          <w:shd w:val="clear" w:color="auto" w:fill="FFFFFF"/>
          <w:lang w:val="en-US"/>
        </w:rPr>
        <w:t>khiến người tham gia giao thông phải chịu một mức phí quá cao cho một hành trình</w:t>
      </w:r>
      <w:r w:rsidR="00D532A7">
        <w:rPr>
          <w:color w:val="231F20"/>
          <w:sz w:val="26"/>
          <w:szCs w:val="26"/>
          <w:shd w:val="clear" w:color="auto" w:fill="FFFFFF"/>
          <w:lang w:val="en-US"/>
        </w:rPr>
        <w:t>, d</w:t>
      </w:r>
      <w:r w:rsidR="00D91092">
        <w:rPr>
          <w:sz w:val="26"/>
          <w:szCs w:val="26"/>
          <w:lang w:val="en-US"/>
        </w:rPr>
        <w:t>o vậy đã làm bùng nổ làn sóng phản đối các trạm thu phí trong toàn quốc thời gian qua.</w:t>
      </w:r>
      <w:r w:rsidRPr="0039614F">
        <w:rPr>
          <w:sz w:val="26"/>
          <w:szCs w:val="26"/>
          <w:lang w:val="en-US"/>
        </w:rPr>
        <w:t xml:space="preserve"> </w:t>
      </w:r>
      <w:r>
        <w:rPr>
          <w:sz w:val="26"/>
          <w:szCs w:val="26"/>
          <w:lang w:val="en-US"/>
        </w:rPr>
        <w:t>Các dự án</w:t>
      </w:r>
      <w:r w:rsidR="00D532A7">
        <w:rPr>
          <w:sz w:val="26"/>
          <w:szCs w:val="26"/>
          <w:lang w:val="en-US"/>
        </w:rPr>
        <w:t xml:space="preserve"> BT cũng có tình trạng tương tự,</w:t>
      </w:r>
      <w:r>
        <w:rPr>
          <w:sz w:val="26"/>
          <w:szCs w:val="26"/>
          <w:lang w:val="en-US"/>
        </w:rPr>
        <w:t xml:space="preserve"> </w:t>
      </w:r>
      <w:r w:rsidR="00D532A7">
        <w:rPr>
          <w:sz w:val="26"/>
          <w:szCs w:val="26"/>
          <w:lang w:val="en-US"/>
        </w:rPr>
        <w:t>n</w:t>
      </w:r>
      <w:r>
        <w:rPr>
          <w:sz w:val="26"/>
          <w:szCs w:val="26"/>
          <w:lang w:val="en-US"/>
        </w:rPr>
        <w:t>hiều dự án được phê duyệt không mang tính cấp thiết về quốc kế dân sinh mà chỉ phục vụ một cộng đồng nhỏ, thậm chí phục vụ chính dự án của nhà đầu tư, gây bất bình trong nhân dân.</w:t>
      </w:r>
    </w:p>
    <w:p w14:paraId="4810D226" w14:textId="62663FAC" w:rsidR="00590403" w:rsidRPr="0039614F" w:rsidRDefault="0039614F" w:rsidP="0039614F">
      <w:pPr>
        <w:pStyle w:val="ListParagraph"/>
        <w:numPr>
          <w:ilvl w:val="0"/>
          <w:numId w:val="3"/>
        </w:numPr>
        <w:tabs>
          <w:tab w:val="left" w:pos="567"/>
        </w:tabs>
        <w:spacing w:before="120" w:after="120" w:line="340" w:lineRule="atLeast"/>
        <w:jc w:val="both"/>
        <w:rPr>
          <w:b/>
          <w:sz w:val="26"/>
          <w:szCs w:val="26"/>
          <w:lang w:val="en-US"/>
        </w:rPr>
      </w:pPr>
      <w:r>
        <w:rPr>
          <w:b/>
          <w:sz w:val="26"/>
          <w:szCs w:val="26"/>
          <w:lang w:val="en-US"/>
        </w:rPr>
        <w:t>Vướng mắc trong l</w:t>
      </w:r>
      <w:r w:rsidR="00590403" w:rsidRPr="0039614F">
        <w:rPr>
          <w:b/>
          <w:sz w:val="26"/>
          <w:szCs w:val="26"/>
        </w:rPr>
        <w:t xml:space="preserve">ựa chọn nhà đầu tư thực hiện dự án </w:t>
      </w:r>
    </w:p>
    <w:p w14:paraId="021FB34A" w14:textId="0CF08AB5" w:rsidR="00D91092" w:rsidRDefault="00FF6DF3" w:rsidP="00D91092">
      <w:pPr>
        <w:tabs>
          <w:tab w:val="left" w:pos="567"/>
        </w:tabs>
        <w:spacing w:before="120" w:after="120" w:line="340" w:lineRule="atLeast"/>
        <w:jc w:val="both"/>
        <w:rPr>
          <w:sz w:val="26"/>
          <w:szCs w:val="26"/>
          <w:lang w:val="en-US"/>
        </w:rPr>
      </w:pPr>
      <w:r w:rsidRPr="006C498B">
        <w:rPr>
          <w:b/>
          <w:sz w:val="26"/>
          <w:szCs w:val="26"/>
          <w:lang w:val="en-US"/>
        </w:rPr>
        <w:tab/>
      </w:r>
      <w:r w:rsidR="00D91092" w:rsidRPr="00D91092">
        <w:rPr>
          <w:sz w:val="26"/>
          <w:szCs w:val="26"/>
          <w:lang w:val="en-US"/>
        </w:rPr>
        <w:t xml:space="preserve">Theo </w:t>
      </w:r>
      <w:r w:rsidR="00581329">
        <w:rPr>
          <w:sz w:val="26"/>
          <w:szCs w:val="26"/>
          <w:lang w:val="en-US"/>
        </w:rPr>
        <w:t xml:space="preserve">Luật Đấu thầu và </w:t>
      </w:r>
      <w:r w:rsidR="00D91092" w:rsidRPr="00D91092">
        <w:rPr>
          <w:sz w:val="26"/>
          <w:szCs w:val="26"/>
          <w:lang w:val="en-US"/>
        </w:rPr>
        <w:t>Nghị định 30/2015, v</w:t>
      </w:r>
      <w:r w:rsidR="000B3011" w:rsidRPr="00D91092">
        <w:rPr>
          <w:sz w:val="26"/>
          <w:szCs w:val="26"/>
          <w:lang w:val="en-US"/>
        </w:rPr>
        <w:t>iệc</w:t>
      </w:r>
      <w:r w:rsidR="000B3011" w:rsidRPr="006C498B">
        <w:rPr>
          <w:sz w:val="26"/>
          <w:szCs w:val="26"/>
          <w:lang w:val="en-US"/>
        </w:rPr>
        <w:t xml:space="preserve"> lựa chọn nhà đầu tư thực hiện dự án </w:t>
      </w:r>
      <w:r w:rsidR="00543460">
        <w:rPr>
          <w:sz w:val="26"/>
          <w:szCs w:val="26"/>
          <w:lang w:val="en-US"/>
        </w:rPr>
        <w:t xml:space="preserve">PPP </w:t>
      </w:r>
      <w:r w:rsidR="00035FC2" w:rsidRPr="006C498B">
        <w:rPr>
          <w:sz w:val="26"/>
          <w:szCs w:val="26"/>
          <w:lang w:val="en-US"/>
        </w:rPr>
        <w:t xml:space="preserve">được thực hiện thông qua </w:t>
      </w:r>
      <w:r w:rsidR="00D91092">
        <w:rPr>
          <w:sz w:val="26"/>
          <w:szCs w:val="26"/>
          <w:lang w:val="en-US"/>
        </w:rPr>
        <w:t>hình thức</w:t>
      </w:r>
      <w:r w:rsidR="00035FC2" w:rsidRPr="006C498B">
        <w:rPr>
          <w:sz w:val="26"/>
          <w:szCs w:val="26"/>
          <w:lang w:val="en-US"/>
        </w:rPr>
        <w:t xml:space="preserve"> đấu thầu hoặc chỉ </w:t>
      </w:r>
      <w:r w:rsidR="00543460">
        <w:rPr>
          <w:sz w:val="26"/>
          <w:szCs w:val="26"/>
          <w:lang w:val="en-US"/>
        </w:rPr>
        <w:t>định</w:t>
      </w:r>
      <w:r w:rsidR="00035FC2" w:rsidRPr="006C498B">
        <w:rPr>
          <w:sz w:val="26"/>
          <w:szCs w:val="26"/>
          <w:lang w:val="en-US"/>
        </w:rPr>
        <w:t xml:space="preserve"> thầu. </w:t>
      </w:r>
      <w:r w:rsidR="00D91092">
        <w:rPr>
          <w:sz w:val="26"/>
          <w:szCs w:val="26"/>
          <w:lang w:val="en-US"/>
        </w:rPr>
        <w:t>Tuy nhiên, v</w:t>
      </w:r>
      <w:r w:rsidRPr="006C498B">
        <w:rPr>
          <w:sz w:val="26"/>
          <w:szCs w:val="26"/>
          <w:lang w:val="en-US"/>
        </w:rPr>
        <w:t xml:space="preserve">iệc tổ chức đầu thầu </w:t>
      </w:r>
      <w:r w:rsidR="00623C4E">
        <w:rPr>
          <w:sz w:val="26"/>
          <w:szCs w:val="26"/>
          <w:lang w:val="en-US"/>
        </w:rPr>
        <w:t xml:space="preserve">lựa chọn nhà đầu tư </w:t>
      </w:r>
      <w:r w:rsidR="00D91092">
        <w:rPr>
          <w:sz w:val="26"/>
          <w:szCs w:val="26"/>
          <w:lang w:val="en-US"/>
        </w:rPr>
        <w:t xml:space="preserve">hiện còn </w:t>
      </w:r>
      <w:r w:rsidRPr="006C498B">
        <w:rPr>
          <w:sz w:val="26"/>
          <w:szCs w:val="26"/>
          <w:lang w:val="en-US"/>
        </w:rPr>
        <w:t xml:space="preserve">nhiều </w:t>
      </w:r>
      <w:r w:rsidR="00D91092">
        <w:rPr>
          <w:sz w:val="26"/>
          <w:szCs w:val="26"/>
          <w:lang w:val="en-US"/>
        </w:rPr>
        <w:t>bất cập,</w:t>
      </w:r>
      <w:r w:rsidRPr="006C498B">
        <w:rPr>
          <w:sz w:val="26"/>
          <w:szCs w:val="26"/>
          <w:lang w:val="en-US"/>
        </w:rPr>
        <w:t xml:space="preserve"> </w:t>
      </w:r>
      <w:r w:rsidR="00D91092">
        <w:rPr>
          <w:sz w:val="26"/>
          <w:szCs w:val="26"/>
          <w:lang w:val="en-US"/>
        </w:rPr>
        <w:t xml:space="preserve">mang nặng tính hình thức và </w:t>
      </w:r>
      <w:r w:rsidR="00581329">
        <w:rPr>
          <w:sz w:val="26"/>
          <w:szCs w:val="26"/>
          <w:lang w:val="en-US"/>
        </w:rPr>
        <w:t>chưa đảm bảo công khai, minh bạch</w:t>
      </w:r>
      <w:r w:rsidR="00D91092">
        <w:rPr>
          <w:sz w:val="26"/>
          <w:szCs w:val="26"/>
          <w:lang w:val="en-US"/>
        </w:rPr>
        <w:t xml:space="preserve">. </w:t>
      </w:r>
      <w:r w:rsidR="00D91092" w:rsidRPr="00D91092">
        <w:rPr>
          <w:sz w:val="26"/>
          <w:szCs w:val="26"/>
        </w:rPr>
        <w:t xml:space="preserve">Theo </w:t>
      </w:r>
      <w:r w:rsidR="00D91092">
        <w:rPr>
          <w:sz w:val="26"/>
          <w:szCs w:val="26"/>
          <w:lang w:val="en-US"/>
        </w:rPr>
        <w:t xml:space="preserve">kết quả </w:t>
      </w:r>
      <w:r w:rsidR="00D91092" w:rsidRPr="00D91092">
        <w:rPr>
          <w:sz w:val="26"/>
          <w:szCs w:val="26"/>
        </w:rPr>
        <w:t xml:space="preserve">khảo sát, trong số hơn 70 dự án BOT, BT trong lĩnh vực giao thông đã thực hiện, 100% trường hợp đều là chỉ định thầu với lý do </w:t>
      </w:r>
      <w:r w:rsidR="00581329">
        <w:rPr>
          <w:sz w:val="26"/>
          <w:szCs w:val="26"/>
          <w:lang w:val="en-US"/>
        </w:rPr>
        <w:t>không đủ số lượng nhà đầu tư quan tâm</w:t>
      </w:r>
      <w:r w:rsidR="00D91092" w:rsidRPr="00D91092">
        <w:rPr>
          <w:sz w:val="26"/>
          <w:szCs w:val="26"/>
        </w:rPr>
        <w:t xml:space="preserve">. </w:t>
      </w:r>
    </w:p>
    <w:p w14:paraId="58482764" w14:textId="2C34C9F1" w:rsidR="00FF6DF3" w:rsidRPr="006C498B" w:rsidRDefault="004741E9" w:rsidP="006C498B">
      <w:pPr>
        <w:tabs>
          <w:tab w:val="left" w:pos="567"/>
        </w:tabs>
        <w:spacing w:before="120" w:after="120" w:line="340" w:lineRule="atLeast"/>
        <w:jc w:val="both"/>
        <w:rPr>
          <w:sz w:val="26"/>
          <w:szCs w:val="26"/>
          <w:lang w:val="en-US"/>
        </w:rPr>
      </w:pPr>
      <w:r>
        <w:rPr>
          <w:sz w:val="26"/>
          <w:szCs w:val="26"/>
          <w:lang w:val="en-US"/>
        </w:rPr>
        <w:tab/>
        <w:t xml:space="preserve">Việc tổ chức đầu thầu không minh bạch đã khiến cho các nhà đầu tư làm ăn chân chính cảm thấy chán nản và mất niềm tin. Trong khi đó, việc chỉ định thầu tràn lan đã </w:t>
      </w:r>
      <w:r w:rsidR="00581329">
        <w:rPr>
          <w:sz w:val="26"/>
          <w:szCs w:val="26"/>
          <w:lang w:val="en-US"/>
        </w:rPr>
        <w:t>dẫn đến</w:t>
      </w:r>
      <w:r w:rsidR="00581329" w:rsidRPr="00D91092">
        <w:rPr>
          <w:sz w:val="26"/>
          <w:szCs w:val="26"/>
        </w:rPr>
        <w:t xml:space="preserve"> </w:t>
      </w:r>
      <w:r w:rsidR="00581329">
        <w:rPr>
          <w:sz w:val="26"/>
          <w:szCs w:val="26"/>
          <w:lang w:val="en-US"/>
        </w:rPr>
        <w:t>nhiều trường hợp</w:t>
      </w:r>
      <w:r w:rsidR="00581329" w:rsidRPr="00D91092">
        <w:rPr>
          <w:sz w:val="26"/>
          <w:szCs w:val="26"/>
        </w:rPr>
        <w:t xml:space="preserve"> nhà đầu tư được chỉ định nhưng không đảm bảo năng lực</w:t>
      </w:r>
      <w:r w:rsidR="00581329">
        <w:rPr>
          <w:sz w:val="26"/>
          <w:szCs w:val="26"/>
          <w:lang w:val="en-US"/>
        </w:rPr>
        <w:t xml:space="preserve"> tài chính và kỹ thuật để triển khai thực hiện</w:t>
      </w:r>
      <w:r w:rsidR="00581329" w:rsidRPr="00D91092">
        <w:rPr>
          <w:sz w:val="26"/>
          <w:szCs w:val="26"/>
        </w:rPr>
        <w:t xml:space="preserve"> dự án.</w:t>
      </w:r>
      <w:r w:rsidR="00581329">
        <w:rPr>
          <w:sz w:val="26"/>
          <w:szCs w:val="26"/>
          <w:lang w:val="en-US"/>
        </w:rPr>
        <w:t xml:space="preserve"> </w:t>
      </w:r>
      <w:r w:rsidR="00FF6DF3" w:rsidRPr="006C498B">
        <w:rPr>
          <w:sz w:val="26"/>
          <w:szCs w:val="26"/>
          <w:lang w:val="en-US"/>
        </w:rPr>
        <w:tab/>
      </w:r>
      <w:r>
        <w:rPr>
          <w:sz w:val="26"/>
          <w:szCs w:val="26"/>
          <w:lang w:val="en-US"/>
        </w:rPr>
        <w:t xml:space="preserve">Kết quả là nhiều dự án đầu tư vừa triển khai dở dang đã bị </w:t>
      </w:r>
      <w:r w:rsidR="00581329">
        <w:rPr>
          <w:sz w:val="26"/>
          <w:szCs w:val="26"/>
          <w:lang w:val="en-US"/>
        </w:rPr>
        <w:t>đình trệ hoặc phá</w:t>
      </w:r>
      <w:r>
        <w:rPr>
          <w:sz w:val="26"/>
          <w:szCs w:val="26"/>
          <w:lang w:val="en-US"/>
        </w:rPr>
        <w:t xml:space="preserve"> sản do nhà đầu tư không đủ năng lực, kinh nghiệm. Điển hình là d</w:t>
      </w:r>
      <w:r w:rsidR="00FF6DF3" w:rsidRPr="006C498B">
        <w:rPr>
          <w:sz w:val="26"/>
          <w:szCs w:val="26"/>
          <w:lang w:val="en-US"/>
        </w:rPr>
        <w:t>ự án BOT cầu Phú Mỹ bị kéo dài</w:t>
      </w:r>
      <w:r w:rsidR="00FF6DF3" w:rsidRPr="006C498B">
        <w:rPr>
          <w:sz w:val="26"/>
          <w:szCs w:val="26"/>
        </w:rPr>
        <w:t xml:space="preserve"> do năng lực tài chính của </w:t>
      </w:r>
      <w:r w:rsidR="00581329">
        <w:rPr>
          <w:sz w:val="26"/>
          <w:szCs w:val="26"/>
          <w:lang w:val="en-US"/>
        </w:rPr>
        <w:t xml:space="preserve">nhà đầu tư </w:t>
      </w:r>
      <w:r w:rsidR="00FF6DF3" w:rsidRPr="006C498B">
        <w:rPr>
          <w:sz w:val="26"/>
          <w:szCs w:val="26"/>
        </w:rPr>
        <w:t>không đảm bảo như cam kết.</w:t>
      </w:r>
      <w:r w:rsidR="00BB3C33" w:rsidRPr="006C498B">
        <w:rPr>
          <w:sz w:val="26"/>
          <w:szCs w:val="26"/>
          <w:lang w:val="en-US"/>
        </w:rPr>
        <w:t xml:space="preserve"> </w:t>
      </w:r>
      <w:r w:rsidR="00581329">
        <w:rPr>
          <w:sz w:val="26"/>
          <w:szCs w:val="26"/>
          <w:lang w:val="en-US"/>
        </w:rPr>
        <w:t>Hay các n</w:t>
      </w:r>
      <w:r>
        <w:rPr>
          <w:sz w:val="26"/>
          <w:szCs w:val="26"/>
          <w:lang w:val="en-US"/>
        </w:rPr>
        <w:t>hà đầu tư</w:t>
      </w:r>
      <w:r w:rsidR="00FF6DF3" w:rsidRPr="006C498B">
        <w:rPr>
          <w:sz w:val="26"/>
          <w:szCs w:val="26"/>
          <w:lang w:val="en-US"/>
        </w:rPr>
        <w:t xml:space="preserve"> </w:t>
      </w:r>
      <w:r w:rsidR="00581329">
        <w:rPr>
          <w:sz w:val="26"/>
          <w:szCs w:val="26"/>
          <w:lang w:val="en-US"/>
        </w:rPr>
        <w:t>tham gia Dự án</w:t>
      </w:r>
      <w:r w:rsidR="00FF6DF3" w:rsidRPr="006C498B">
        <w:rPr>
          <w:sz w:val="26"/>
          <w:szCs w:val="26"/>
          <w:lang w:val="en-US"/>
        </w:rPr>
        <w:t xml:space="preserve"> BOT Bắc Bình Định đã bu</w:t>
      </w:r>
      <w:r w:rsidR="00BB3C33" w:rsidRPr="006C498B">
        <w:rPr>
          <w:sz w:val="26"/>
          <w:szCs w:val="26"/>
          <w:lang w:val="en-US"/>
        </w:rPr>
        <w:t>ộ</w:t>
      </w:r>
      <w:r w:rsidR="00FF6DF3" w:rsidRPr="006C498B">
        <w:rPr>
          <w:sz w:val="26"/>
          <w:szCs w:val="26"/>
          <w:lang w:val="en-US"/>
        </w:rPr>
        <w:t>c phải b</w:t>
      </w:r>
      <w:r w:rsidR="00581329">
        <w:rPr>
          <w:sz w:val="26"/>
          <w:szCs w:val="26"/>
          <w:lang w:val="en-US"/>
        </w:rPr>
        <w:t>á</w:t>
      </w:r>
      <w:r w:rsidR="00FF6DF3" w:rsidRPr="006C498B">
        <w:rPr>
          <w:sz w:val="26"/>
          <w:szCs w:val="26"/>
          <w:lang w:val="en-US"/>
        </w:rPr>
        <w:t xml:space="preserve">n cổ phẩn </w:t>
      </w:r>
      <w:r w:rsidR="00581329">
        <w:rPr>
          <w:sz w:val="26"/>
          <w:szCs w:val="26"/>
          <w:lang w:val="en-US"/>
        </w:rPr>
        <w:t>cho các nhà đầu tư khách do không đảm bảo năng lực để tiếp tục triển khai</w:t>
      </w:r>
      <w:r w:rsidR="00FF6DF3" w:rsidRPr="006C498B">
        <w:rPr>
          <w:sz w:val="26"/>
          <w:szCs w:val="26"/>
          <w:lang w:val="en-US"/>
        </w:rPr>
        <w:t>.</w:t>
      </w:r>
    </w:p>
    <w:p w14:paraId="26920105" w14:textId="77777777" w:rsidR="00581329" w:rsidRDefault="00590403" w:rsidP="002618F3">
      <w:pPr>
        <w:tabs>
          <w:tab w:val="left" w:pos="567"/>
        </w:tabs>
        <w:spacing w:before="120" w:after="120" w:line="340" w:lineRule="atLeast"/>
        <w:jc w:val="both"/>
        <w:rPr>
          <w:sz w:val="26"/>
          <w:szCs w:val="26"/>
          <w:lang w:val="en-US"/>
        </w:rPr>
      </w:pPr>
      <w:r w:rsidRPr="006C498B">
        <w:rPr>
          <w:sz w:val="26"/>
          <w:szCs w:val="26"/>
          <w:lang w:val="en-US"/>
        </w:rPr>
        <w:tab/>
      </w:r>
      <w:r w:rsidR="00581329">
        <w:rPr>
          <w:sz w:val="26"/>
          <w:szCs w:val="26"/>
          <w:lang w:val="en-US"/>
        </w:rPr>
        <w:t>Để hạn chế tình trạng nêu trên,</w:t>
      </w:r>
      <w:r w:rsidRPr="006C498B">
        <w:rPr>
          <w:sz w:val="26"/>
          <w:szCs w:val="26"/>
          <w:lang w:val="en-US"/>
        </w:rPr>
        <w:t xml:space="preserve"> </w:t>
      </w:r>
      <w:r w:rsidR="00581329">
        <w:rPr>
          <w:sz w:val="26"/>
          <w:szCs w:val="26"/>
          <w:lang w:val="en-US"/>
        </w:rPr>
        <w:t xml:space="preserve">một mặt cần phải rà soát và hoàn thiện quy định về quy trình, thủ tục và điều kiện lựa chọn nhà đầu tư thực hiện dự án PPP; mặt khác cần tăng cường quản lý và siết chặt công tác tổ chức đấu thầu lựa chọn nhà đầu tư. Đồng thời thực hiện nghiêm </w:t>
      </w:r>
      <w:r w:rsidR="0078432F" w:rsidRPr="006C498B">
        <w:rPr>
          <w:sz w:val="26"/>
          <w:szCs w:val="26"/>
          <w:lang w:val="en-US"/>
        </w:rPr>
        <w:t xml:space="preserve">các chế tài </w:t>
      </w:r>
      <w:r w:rsidR="00581329">
        <w:rPr>
          <w:sz w:val="26"/>
          <w:szCs w:val="26"/>
          <w:lang w:val="en-US"/>
        </w:rPr>
        <w:t xml:space="preserve">đối với các cơ quan có thẩm quyền trong trường hợp </w:t>
      </w:r>
      <w:r w:rsidR="0078432F" w:rsidRPr="006C498B">
        <w:rPr>
          <w:sz w:val="26"/>
          <w:szCs w:val="26"/>
          <w:lang w:val="en-US"/>
        </w:rPr>
        <w:t xml:space="preserve">thẩm định sai năng lực của nhà </w:t>
      </w:r>
      <w:r w:rsidR="00581329">
        <w:rPr>
          <w:sz w:val="26"/>
          <w:szCs w:val="26"/>
          <w:lang w:val="en-US"/>
        </w:rPr>
        <w:t xml:space="preserve">đầu tư hoặc cố tình ưu ái cho các nhà đầu tư không đủ năng lực thực hiện dự án. Bên cạnh đó, </w:t>
      </w:r>
      <w:r w:rsidR="004741E9" w:rsidRPr="004741E9">
        <w:rPr>
          <w:sz w:val="26"/>
          <w:szCs w:val="26"/>
          <w:lang w:val="en-US"/>
        </w:rPr>
        <w:t>cần</w:t>
      </w:r>
      <w:r w:rsidR="002618F3" w:rsidRPr="004741E9">
        <w:rPr>
          <w:sz w:val="26"/>
          <w:szCs w:val="26"/>
        </w:rPr>
        <w:t xml:space="preserve"> có quy định ràng buộc về chuyển nhượ</w:t>
      </w:r>
      <w:r w:rsidR="00581329">
        <w:rPr>
          <w:sz w:val="26"/>
          <w:szCs w:val="26"/>
        </w:rPr>
        <w:t xml:space="preserve">ng cổ phần, chuyển nhượng dự án PPP </w:t>
      </w:r>
      <w:r w:rsidR="00581329">
        <w:rPr>
          <w:sz w:val="26"/>
          <w:szCs w:val="26"/>
          <w:lang w:val="en-US"/>
        </w:rPr>
        <w:t>để hạn chế tình trạng nhà đầu tư lợi dụng quan hệ xin dự án sau đó chuyển nhượng lại để kiếm lời.</w:t>
      </w:r>
    </w:p>
    <w:p w14:paraId="64C9D569" w14:textId="61EF30AC" w:rsidR="00590403" w:rsidRPr="006C498B" w:rsidRDefault="00581329" w:rsidP="006C498B">
      <w:pPr>
        <w:tabs>
          <w:tab w:val="left" w:pos="567"/>
        </w:tabs>
        <w:spacing w:before="120" w:after="120" w:line="340" w:lineRule="atLeast"/>
        <w:jc w:val="both"/>
        <w:rPr>
          <w:b/>
          <w:sz w:val="26"/>
          <w:szCs w:val="26"/>
          <w:lang w:val="en-US"/>
        </w:rPr>
      </w:pPr>
      <w:r>
        <w:rPr>
          <w:b/>
          <w:sz w:val="26"/>
          <w:szCs w:val="26"/>
          <w:lang w:val="en-US"/>
        </w:rPr>
        <w:tab/>
      </w:r>
      <w:r w:rsidR="00590403" w:rsidRPr="006C498B">
        <w:rPr>
          <w:b/>
          <w:sz w:val="26"/>
          <w:szCs w:val="26"/>
        </w:rPr>
        <w:t xml:space="preserve">3. </w:t>
      </w:r>
      <w:r>
        <w:rPr>
          <w:b/>
          <w:sz w:val="26"/>
          <w:szCs w:val="26"/>
          <w:lang w:val="en-US"/>
        </w:rPr>
        <w:t>Vướng mắc v</w:t>
      </w:r>
      <w:r w:rsidR="004741E9">
        <w:rPr>
          <w:b/>
          <w:sz w:val="26"/>
          <w:szCs w:val="26"/>
          <w:lang w:val="en-US"/>
        </w:rPr>
        <w:t>ề</w:t>
      </w:r>
      <w:r w:rsidR="00590403" w:rsidRPr="006C498B">
        <w:rPr>
          <w:b/>
          <w:sz w:val="26"/>
          <w:szCs w:val="26"/>
        </w:rPr>
        <w:t xml:space="preserve"> </w:t>
      </w:r>
      <w:r w:rsidR="00F95B66" w:rsidRPr="006C498B">
        <w:rPr>
          <w:b/>
          <w:sz w:val="26"/>
          <w:szCs w:val="26"/>
          <w:lang w:val="en-US"/>
        </w:rPr>
        <w:t xml:space="preserve">cơ chế </w:t>
      </w:r>
      <w:r w:rsidR="004741E9">
        <w:rPr>
          <w:b/>
          <w:sz w:val="26"/>
          <w:szCs w:val="26"/>
          <w:lang w:val="en-US"/>
        </w:rPr>
        <w:t xml:space="preserve">góp vốn, </w:t>
      </w:r>
      <w:r w:rsidR="00F95B66" w:rsidRPr="006C498B">
        <w:rPr>
          <w:b/>
          <w:sz w:val="26"/>
          <w:szCs w:val="26"/>
          <w:lang w:val="en-US"/>
        </w:rPr>
        <w:t xml:space="preserve">quản lý, sử dụng </w:t>
      </w:r>
      <w:r w:rsidR="00590403" w:rsidRPr="006C498B">
        <w:rPr>
          <w:b/>
          <w:sz w:val="26"/>
          <w:szCs w:val="26"/>
        </w:rPr>
        <w:t xml:space="preserve">nguồn vốn đầu tư </w:t>
      </w:r>
    </w:p>
    <w:p w14:paraId="4192AD9B" w14:textId="7116FC6F" w:rsidR="00543460" w:rsidRPr="004741E9" w:rsidRDefault="00590403" w:rsidP="004741E9">
      <w:pPr>
        <w:tabs>
          <w:tab w:val="left" w:pos="567"/>
        </w:tabs>
        <w:spacing w:before="120" w:after="120" w:line="340" w:lineRule="atLeast"/>
        <w:jc w:val="both"/>
        <w:rPr>
          <w:sz w:val="26"/>
          <w:szCs w:val="26"/>
          <w:lang w:val="en-US"/>
        </w:rPr>
      </w:pPr>
      <w:r w:rsidRPr="006C498B">
        <w:rPr>
          <w:color w:val="000000"/>
          <w:sz w:val="26"/>
          <w:szCs w:val="26"/>
          <w:shd w:val="clear" w:color="auto" w:fill="FFFFFF"/>
          <w:lang w:val="en-US"/>
        </w:rPr>
        <w:tab/>
      </w:r>
      <w:r w:rsidR="00543460" w:rsidRPr="006C498B">
        <w:rPr>
          <w:sz w:val="26"/>
          <w:szCs w:val="26"/>
          <w:lang w:val="en-US"/>
        </w:rPr>
        <w:t>Theo quy định</w:t>
      </w:r>
      <w:r w:rsidR="00581329">
        <w:rPr>
          <w:sz w:val="26"/>
          <w:szCs w:val="26"/>
          <w:lang w:val="en-US"/>
        </w:rPr>
        <w:t xml:space="preserve"> tại</w:t>
      </w:r>
      <w:r w:rsidR="00543460" w:rsidRPr="006C498B">
        <w:rPr>
          <w:sz w:val="26"/>
          <w:szCs w:val="26"/>
          <w:lang w:val="en-US"/>
        </w:rPr>
        <w:t xml:space="preserve"> </w:t>
      </w:r>
      <w:r w:rsidR="00543460" w:rsidRPr="006C498B">
        <w:rPr>
          <w:bCs/>
          <w:sz w:val="26"/>
          <w:szCs w:val="26"/>
        </w:rPr>
        <w:t>Điều 10</w:t>
      </w:r>
      <w:r w:rsidR="00543460" w:rsidRPr="006C498B">
        <w:rPr>
          <w:bCs/>
          <w:sz w:val="26"/>
          <w:szCs w:val="26"/>
          <w:lang w:val="en-US"/>
        </w:rPr>
        <w:t xml:space="preserve"> Nghị định 15</w:t>
      </w:r>
      <w:r w:rsidR="004741E9">
        <w:rPr>
          <w:bCs/>
          <w:sz w:val="26"/>
          <w:szCs w:val="26"/>
          <w:lang w:val="en-US"/>
        </w:rPr>
        <w:t>/2015</w:t>
      </w:r>
      <w:r w:rsidR="00543460" w:rsidRPr="006C498B">
        <w:rPr>
          <w:bCs/>
          <w:sz w:val="26"/>
          <w:szCs w:val="26"/>
          <w:lang w:val="en-US"/>
        </w:rPr>
        <w:t xml:space="preserve">, </w:t>
      </w:r>
      <w:r w:rsidR="004C5C19" w:rsidRPr="006C498B">
        <w:rPr>
          <w:color w:val="000000"/>
          <w:sz w:val="26"/>
          <w:szCs w:val="26"/>
          <w:shd w:val="clear" w:color="auto" w:fill="FFFFFF"/>
          <w:lang w:val="en-US"/>
        </w:rPr>
        <w:t xml:space="preserve">nguồn vốn để thực hiện các dự án PPP do </w:t>
      </w:r>
      <w:r w:rsidR="004C5C19">
        <w:rPr>
          <w:color w:val="000000"/>
          <w:sz w:val="26"/>
          <w:szCs w:val="26"/>
          <w:shd w:val="clear" w:color="auto" w:fill="FFFFFF"/>
          <w:lang w:val="en-US"/>
        </w:rPr>
        <w:t xml:space="preserve">nhà đầu tư </w:t>
      </w:r>
      <w:r w:rsidR="004C5C19" w:rsidRPr="006C498B">
        <w:rPr>
          <w:color w:val="000000"/>
          <w:sz w:val="26"/>
          <w:szCs w:val="26"/>
          <w:shd w:val="clear" w:color="auto" w:fill="FFFFFF"/>
          <w:lang w:val="en-US"/>
        </w:rPr>
        <w:t>góp và huy động từ các nguồn vốn khác để thực hiện dự án</w:t>
      </w:r>
      <w:r w:rsidR="004741E9">
        <w:rPr>
          <w:bCs/>
          <w:sz w:val="26"/>
          <w:szCs w:val="26"/>
          <w:lang w:val="en-US"/>
        </w:rPr>
        <w:t>. Theo đó, nhà đầu tư</w:t>
      </w:r>
      <w:r w:rsidR="00543460" w:rsidRPr="006C498B">
        <w:rPr>
          <w:sz w:val="26"/>
          <w:szCs w:val="26"/>
        </w:rPr>
        <w:t xml:space="preserve"> chịu trách nhiệm góp vốn chủ sở hữu và huy động các nguồn vốn khác để thực hiện dự án theo thỏa thuận tại </w:t>
      </w:r>
      <w:r w:rsidR="00543460" w:rsidRPr="006C498B">
        <w:rPr>
          <w:sz w:val="26"/>
          <w:szCs w:val="26"/>
          <w:shd w:val="solid" w:color="FFFFFF" w:fill="auto"/>
        </w:rPr>
        <w:t>hợp đồng</w:t>
      </w:r>
      <w:r w:rsidR="00543460" w:rsidRPr="006C498B">
        <w:rPr>
          <w:sz w:val="26"/>
          <w:szCs w:val="26"/>
        </w:rPr>
        <w:t xml:space="preserve"> dự án</w:t>
      </w:r>
      <w:r w:rsidR="00543460" w:rsidRPr="006C498B">
        <w:rPr>
          <w:sz w:val="26"/>
          <w:szCs w:val="26"/>
          <w:lang w:val="en-US"/>
        </w:rPr>
        <w:t>.</w:t>
      </w:r>
      <w:r w:rsidR="00543460" w:rsidRPr="006C498B">
        <w:rPr>
          <w:sz w:val="26"/>
          <w:szCs w:val="26"/>
        </w:rPr>
        <w:t xml:space="preserve"> Tỷ lệ vốn chủ sở hữu của </w:t>
      </w:r>
      <w:r w:rsidR="004C5C19">
        <w:rPr>
          <w:sz w:val="26"/>
          <w:szCs w:val="26"/>
          <w:lang w:val="en-US"/>
        </w:rPr>
        <w:t>nhà đầu tư</w:t>
      </w:r>
      <w:r w:rsidR="00543460" w:rsidRPr="006C498B">
        <w:rPr>
          <w:sz w:val="26"/>
          <w:szCs w:val="26"/>
        </w:rPr>
        <w:t xml:space="preserve"> không được thấp hơn </w:t>
      </w:r>
      <w:r w:rsidR="004C5C19">
        <w:rPr>
          <w:sz w:val="26"/>
          <w:szCs w:val="26"/>
          <w:lang w:val="en-US"/>
        </w:rPr>
        <w:t>mức quy định tối thiểu của pháp luật</w:t>
      </w:r>
      <w:r w:rsidR="004741E9">
        <w:rPr>
          <w:sz w:val="26"/>
          <w:szCs w:val="26"/>
          <w:lang w:val="en-US"/>
        </w:rPr>
        <w:t>.</w:t>
      </w:r>
    </w:p>
    <w:p w14:paraId="331AEF19" w14:textId="154D4B51" w:rsidR="00543460" w:rsidRPr="006C498B" w:rsidRDefault="00543460" w:rsidP="00543460">
      <w:pPr>
        <w:tabs>
          <w:tab w:val="left" w:pos="567"/>
        </w:tabs>
        <w:spacing w:before="120" w:after="120" w:line="340" w:lineRule="atLeast"/>
        <w:jc w:val="both"/>
        <w:rPr>
          <w:sz w:val="26"/>
          <w:szCs w:val="26"/>
          <w:lang w:val="en-US"/>
        </w:rPr>
      </w:pPr>
      <w:r w:rsidRPr="006C498B">
        <w:rPr>
          <w:b/>
          <w:sz w:val="26"/>
          <w:szCs w:val="26"/>
          <w:lang w:val="en-US"/>
        </w:rPr>
        <w:tab/>
      </w:r>
      <w:r w:rsidR="004741E9">
        <w:rPr>
          <w:sz w:val="26"/>
          <w:szCs w:val="26"/>
          <w:lang w:val="en-US"/>
        </w:rPr>
        <w:t xml:space="preserve">Tuy nhiên, Nghị định 15/2015 chưa quy định cụ thể về thời điểm và tiến độ góp vốn </w:t>
      </w:r>
      <w:r w:rsidR="004C5C19">
        <w:rPr>
          <w:sz w:val="26"/>
          <w:szCs w:val="26"/>
          <w:lang w:val="en-US"/>
        </w:rPr>
        <w:t xml:space="preserve">chủ sở hữu </w:t>
      </w:r>
      <w:r w:rsidR="004741E9">
        <w:rPr>
          <w:sz w:val="26"/>
          <w:szCs w:val="26"/>
          <w:lang w:val="en-US"/>
        </w:rPr>
        <w:t xml:space="preserve">của nhà đầu tư. </w:t>
      </w:r>
      <w:r w:rsidR="004C5C19" w:rsidRPr="006C498B">
        <w:rPr>
          <w:color w:val="000000"/>
          <w:sz w:val="26"/>
          <w:szCs w:val="26"/>
          <w:shd w:val="clear" w:color="auto" w:fill="FFFFFF"/>
          <w:lang w:val="en-US"/>
        </w:rPr>
        <w:t xml:space="preserve">Theo Điều 15 Thông tư </w:t>
      </w:r>
      <w:r w:rsidR="004C5C19" w:rsidRPr="006C498B">
        <w:rPr>
          <w:bCs/>
          <w:sz w:val="26"/>
          <w:szCs w:val="26"/>
          <w:lang w:val="en-US"/>
        </w:rPr>
        <w:t>55/2016/TT-BTC</w:t>
      </w:r>
      <w:r w:rsidR="004C5C19" w:rsidRPr="006C498B">
        <w:rPr>
          <w:rStyle w:val="FootnoteReference"/>
          <w:bCs/>
          <w:sz w:val="26"/>
          <w:szCs w:val="26"/>
          <w:lang w:val="en-US"/>
        </w:rPr>
        <w:footnoteReference w:id="1"/>
      </w:r>
      <w:r w:rsidR="004C5C19" w:rsidRPr="006C498B">
        <w:rPr>
          <w:bCs/>
          <w:sz w:val="26"/>
          <w:szCs w:val="26"/>
          <w:lang w:val="en-US"/>
        </w:rPr>
        <w:t xml:space="preserve">, </w:t>
      </w:r>
      <w:r w:rsidR="004C5C19">
        <w:rPr>
          <w:bCs/>
          <w:sz w:val="26"/>
          <w:szCs w:val="26"/>
          <w:lang w:val="en-US"/>
        </w:rPr>
        <w:t>nhà đầu tư</w:t>
      </w:r>
      <w:r w:rsidR="004C5C19" w:rsidRPr="006C498B">
        <w:rPr>
          <w:bCs/>
          <w:sz w:val="26"/>
          <w:szCs w:val="26"/>
          <w:lang w:val="en-US"/>
        </w:rPr>
        <w:t xml:space="preserve"> </w:t>
      </w:r>
      <w:r w:rsidR="004C5C19" w:rsidRPr="006C498B">
        <w:rPr>
          <w:bCs/>
          <w:sz w:val="26"/>
          <w:szCs w:val="26"/>
          <w:lang w:val="en-US"/>
        </w:rPr>
        <w:lastRenderedPageBreak/>
        <w:t xml:space="preserve">đảm bảo cam kết góp vốn theo Điều lệ của doanh nghiệp dự án và theo phương án tài chính của dự án. </w:t>
      </w:r>
      <w:r w:rsidR="004741E9">
        <w:rPr>
          <w:sz w:val="26"/>
          <w:szCs w:val="26"/>
          <w:lang w:val="en-US"/>
        </w:rPr>
        <w:t xml:space="preserve">Trên thực tế, </w:t>
      </w:r>
      <w:r w:rsidR="004741E9">
        <w:rPr>
          <w:color w:val="000000"/>
          <w:sz w:val="26"/>
          <w:szCs w:val="26"/>
          <w:shd w:val="clear" w:color="auto" w:fill="FFFFFF"/>
          <w:lang w:val="en-US"/>
        </w:rPr>
        <w:t>nhà đầu tư</w:t>
      </w:r>
      <w:r w:rsidRPr="006C498B">
        <w:rPr>
          <w:color w:val="000000"/>
          <w:sz w:val="26"/>
          <w:szCs w:val="26"/>
          <w:shd w:val="clear" w:color="auto" w:fill="FFFFFF"/>
          <w:lang w:val="en-US"/>
        </w:rPr>
        <w:t xml:space="preserve"> </w:t>
      </w:r>
      <w:r w:rsidR="00A50681">
        <w:rPr>
          <w:color w:val="000000"/>
          <w:sz w:val="26"/>
          <w:szCs w:val="26"/>
          <w:shd w:val="clear" w:color="auto" w:fill="FFFFFF"/>
          <w:lang w:val="en-US"/>
        </w:rPr>
        <w:t>thường</w:t>
      </w:r>
      <w:r w:rsidRPr="006C498B">
        <w:rPr>
          <w:color w:val="000000"/>
          <w:sz w:val="26"/>
          <w:szCs w:val="26"/>
          <w:shd w:val="clear" w:color="auto" w:fill="FFFFFF"/>
          <w:lang w:val="en-US"/>
        </w:rPr>
        <w:t xml:space="preserve"> thực hiện việc tăng vốn điều lệ </w:t>
      </w:r>
      <w:r w:rsidR="004C5C19">
        <w:rPr>
          <w:color w:val="000000"/>
          <w:sz w:val="26"/>
          <w:szCs w:val="26"/>
          <w:shd w:val="clear" w:color="auto" w:fill="FFFFFF"/>
          <w:lang w:val="en-US"/>
        </w:rPr>
        <w:t xml:space="preserve">để góp vốn </w:t>
      </w:r>
      <w:r w:rsidRPr="006C498B">
        <w:rPr>
          <w:color w:val="000000"/>
          <w:sz w:val="26"/>
          <w:szCs w:val="26"/>
          <w:shd w:val="clear" w:color="auto" w:fill="FFFFFF"/>
          <w:lang w:val="en-US"/>
        </w:rPr>
        <w:t xml:space="preserve">theo tiến độ xây dựng công trình và </w:t>
      </w:r>
      <w:r w:rsidR="004C5C19">
        <w:rPr>
          <w:color w:val="000000"/>
          <w:sz w:val="26"/>
          <w:szCs w:val="26"/>
          <w:shd w:val="clear" w:color="auto" w:fill="FFFFFF"/>
          <w:lang w:val="en-US"/>
        </w:rPr>
        <w:t>p</w:t>
      </w:r>
      <w:r w:rsidRPr="006C498B">
        <w:rPr>
          <w:color w:val="000000"/>
          <w:sz w:val="26"/>
          <w:szCs w:val="26"/>
          <w:shd w:val="clear" w:color="auto" w:fill="FFFFFF"/>
          <w:lang w:val="en-US"/>
        </w:rPr>
        <w:t xml:space="preserve">hương án và tài chính kèm theo </w:t>
      </w:r>
      <w:r w:rsidR="004C5C19">
        <w:rPr>
          <w:color w:val="000000"/>
          <w:sz w:val="26"/>
          <w:szCs w:val="26"/>
          <w:shd w:val="clear" w:color="auto" w:fill="FFFFFF"/>
          <w:lang w:val="en-US"/>
        </w:rPr>
        <w:t>h</w:t>
      </w:r>
      <w:r w:rsidRPr="006C498B">
        <w:rPr>
          <w:color w:val="000000"/>
          <w:sz w:val="26"/>
          <w:szCs w:val="26"/>
          <w:shd w:val="clear" w:color="auto" w:fill="FFFFFF"/>
          <w:lang w:val="en-US"/>
        </w:rPr>
        <w:t>ợp đồng PPP đã ký kết</w:t>
      </w:r>
      <w:r w:rsidR="00A50681">
        <w:rPr>
          <w:color w:val="000000"/>
          <w:sz w:val="26"/>
          <w:szCs w:val="26"/>
          <w:shd w:val="clear" w:color="auto" w:fill="FFFFFF"/>
          <w:lang w:val="en-US"/>
        </w:rPr>
        <w:t>. Trong khi đó, t</w:t>
      </w:r>
      <w:r w:rsidRPr="006C498B">
        <w:rPr>
          <w:color w:val="000000"/>
          <w:sz w:val="26"/>
          <w:szCs w:val="26"/>
          <w:shd w:val="clear" w:color="auto" w:fill="FFFFFF"/>
          <w:lang w:val="en-US"/>
        </w:rPr>
        <w:t xml:space="preserve">heo quy định của Luật </w:t>
      </w:r>
      <w:r w:rsidR="004C5C19">
        <w:rPr>
          <w:color w:val="000000"/>
          <w:sz w:val="26"/>
          <w:szCs w:val="26"/>
          <w:shd w:val="clear" w:color="auto" w:fill="FFFFFF"/>
          <w:lang w:val="en-US"/>
        </w:rPr>
        <w:t>D</w:t>
      </w:r>
      <w:r w:rsidRPr="006C498B">
        <w:rPr>
          <w:color w:val="000000"/>
          <w:sz w:val="26"/>
          <w:szCs w:val="26"/>
          <w:shd w:val="clear" w:color="auto" w:fill="FFFFFF"/>
          <w:lang w:val="en-US"/>
        </w:rPr>
        <w:t xml:space="preserve">oanh nghiệp, </w:t>
      </w:r>
      <w:r w:rsidR="004C5C19">
        <w:rPr>
          <w:color w:val="000000"/>
          <w:sz w:val="26"/>
          <w:szCs w:val="26"/>
          <w:shd w:val="clear" w:color="auto" w:fill="FFFFFF"/>
          <w:lang w:val="en-US"/>
        </w:rPr>
        <w:t>c</w:t>
      </w:r>
      <w:r w:rsidRPr="006C498B">
        <w:rPr>
          <w:color w:val="000000"/>
          <w:sz w:val="26"/>
          <w:szCs w:val="26"/>
          <w:shd w:val="clear" w:color="auto" w:fill="FFFFFF"/>
          <w:lang w:val="en-US"/>
        </w:rPr>
        <w:t xml:space="preserve">ông ty cổ phần </w:t>
      </w:r>
      <w:r w:rsidR="004C5C19">
        <w:rPr>
          <w:color w:val="000000"/>
          <w:sz w:val="26"/>
          <w:szCs w:val="26"/>
          <w:shd w:val="clear" w:color="auto" w:fill="FFFFFF"/>
          <w:lang w:val="en-US"/>
        </w:rPr>
        <w:t xml:space="preserve">phải </w:t>
      </w:r>
      <w:r w:rsidRPr="006C498B">
        <w:rPr>
          <w:color w:val="000000"/>
          <w:sz w:val="26"/>
          <w:szCs w:val="26"/>
          <w:shd w:val="clear" w:color="auto" w:fill="FFFFFF"/>
          <w:lang w:val="en-US"/>
        </w:rPr>
        <w:t>góp đủ vốn đăng ký trong thời hạn luật định</w:t>
      </w:r>
      <w:r w:rsidR="004C5C19">
        <w:rPr>
          <w:color w:val="000000"/>
          <w:sz w:val="26"/>
          <w:szCs w:val="26"/>
          <w:shd w:val="clear" w:color="auto" w:fill="FFFFFF"/>
          <w:lang w:val="en-US"/>
        </w:rPr>
        <w:t>,</w:t>
      </w:r>
      <w:r w:rsidRPr="006C498B">
        <w:rPr>
          <w:color w:val="000000"/>
          <w:sz w:val="26"/>
          <w:szCs w:val="26"/>
          <w:shd w:val="clear" w:color="auto" w:fill="FFFFFF"/>
          <w:lang w:val="en-US"/>
        </w:rPr>
        <w:t xml:space="preserve"> nếu không sẽ phải đăng ký giảm vốn hoặc có thể </w:t>
      </w:r>
      <w:r w:rsidR="004C5C19">
        <w:rPr>
          <w:color w:val="000000"/>
          <w:sz w:val="26"/>
          <w:szCs w:val="26"/>
          <w:shd w:val="clear" w:color="auto" w:fill="FFFFFF"/>
          <w:lang w:val="en-US"/>
        </w:rPr>
        <w:t>sẽ bị xử phạt vi phạm hành chính</w:t>
      </w:r>
      <w:r w:rsidRPr="006C498B">
        <w:rPr>
          <w:color w:val="000000"/>
          <w:sz w:val="26"/>
          <w:szCs w:val="26"/>
          <w:shd w:val="clear" w:color="auto" w:fill="FFFFFF"/>
          <w:lang w:val="en-US"/>
        </w:rPr>
        <w:t xml:space="preserve">. </w:t>
      </w:r>
      <w:r w:rsidR="004C5C19">
        <w:rPr>
          <w:bCs/>
          <w:sz w:val="26"/>
          <w:szCs w:val="26"/>
          <w:lang w:val="en-US"/>
        </w:rPr>
        <w:t>Từ quy định không thống nhất nêu trên dẫn đến góp vốn chủ sở hữu trong các dự án PPP hiện nay đang được áp dụng rất khác nhau</w:t>
      </w:r>
      <w:r w:rsidRPr="006C498B">
        <w:rPr>
          <w:sz w:val="26"/>
          <w:szCs w:val="26"/>
          <w:lang w:val="en-US"/>
        </w:rPr>
        <w:t>.</w:t>
      </w:r>
    </w:p>
    <w:p w14:paraId="426BF338" w14:textId="608BCF0C" w:rsidR="00590403" w:rsidRPr="006C498B" w:rsidRDefault="00A50681" w:rsidP="006C498B">
      <w:pPr>
        <w:tabs>
          <w:tab w:val="left" w:pos="567"/>
        </w:tabs>
        <w:spacing w:before="120" w:after="120" w:line="340" w:lineRule="atLeast"/>
        <w:jc w:val="both"/>
        <w:rPr>
          <w:color w:val="000000"/>
          <w:sz w:val="26"/>
          <w:szCs w:val="26"/>
          <w:shd w:val="clear" w:color="auto" w:fill="FFFFFF"/>
          <w:lang w:val="en-US"/>
        </w:rPr>
      </w:pPr>
      <w:r>
        <w:rPr>
          <w:color w:val="000000"/>
          <w:sz w:val="26"/>
          <w:szCs w:val="26"/>
          <w:shd w:val="clear" w:color="auto" w:fill="FFFFFF"/>
          <w:lang w:val="en-US"/>
        </w:rPr>
        <w:tab/>
      </w:r>
      <w:r w:rsidR="004C5C19">
        <w:rPr>
          <w:color w:val="000000"/>
          <w:sz w:val="26"/>
          <w:szCs w:val="26"/>
          <w:shd w:val="clear" w:color="auto" w:fill="FFFFFF"/>
          <w:lang w:val="en-US"/>
        </w:rPr>
        <w:t xml:space="preserve">Về cơ chế quản lý và sử dụng vốn đầu tư trong các dự án PPP hiện nay cũng có nhiều quan điểm khác nhau. </w:t>
      </w:r>
      <w:r w:rsidR="00753E8A" w:rsidRPr="006C498B">
        <w:rPr>
          <w:color w:val="000000"/>
          <w:sz w:val="26"/>
          <w:szCs w:val="26"/>
          <w:shd w:val="clear" w:color="auto" w:fill="FFFFFF"/>
          <w:lang w:val="en-US"/>
        </w:rPr>
        <w:t>T</w:t>
      </w:r>
      <w:r>
        <w:rPr>
          <w:color w:val="000000"/>
          <w:sz w:val="26"/>
          <w:szCs w:val="26"/>
          <w:shd w:val="clear" w:color="auto" w:fill="FFFFFF"/>
          <w:lang w:val="en-US"/>
        </w:rPr>
        <w:t>ừ góc độ nhà đầu tư, các khoản vốn đầu tư dự án là do</w:t>
      </w:r>
      <w:r w:rsidR="00753E8A" w:rsidRPr="006C498B">
        <w:rPr>
          <w:color w:val="000000"/>
          <w:sz w:val="26"/>
          <w:szCs w:val="26"/>
          <w:shd w:val="clear" w:color="auto" w:fill="FFFFFF"/>
          <w:lang w:val="en-US"/>
        </w:rPr>
        <w:t xml:space="preserve"> họ bỏ ra</w:t>
      </w:r>
      <w:r>
        <w:rPr>
          <w:color w:val="000000"/>
          <w:sz w:val="26"/>
          <w:szCs w:val="26"/>
          <w:shd w:val="clear" w:color="auto" w:fill="FFFFFF"/>
          <w:lang w:val="en-US"/>
        </w:rPr>
        <w:t xml:space="preserve"> hoặc </w:t>
      </w:r>
      <w:r w:rsidR="00753E8A" w:rsidRPr="006C498B">
        <w:rPr>
          <w:color w:val="000000"/>
          <w:sz w:val="26"/>
          <w:szCs w:val="26"/>
          <w:shd w:val="clear" w:color="auto" w:fill="FFFFFF"/>
          <w:lang w:val="en-US"/>
        </w:rPr>
        <w:t>đi vay</w:t>
      </w:r>
      <w:r>
        <w:rPr>
          <w:color w:val="000000"/>
          <w:sz w:val="26"/>
          <w:szCs w:val="26"/>
          <w:shd w:val="clear" w:color="auto" w:fill="FFFFFF"/>
          <w:lang w:val="en-US"/>
        </w:rPr>
        <w:t xml:space="preserve"> và phải tự chịu trách nhiệm trả nợ,</w:t>
      </w:r>
      <w:r w:rsidR="00590403" w:rsidRPr="006C498B">
        <w:rPr>
          <w:color w:val="000000"/>
          <w:sz w:val="26"/>
          <w:szCs w:val="26"/>
          <w:shd w:val="clear" w:color="auto" w:fill="FFFFFF"/>
          <w:lang w:val="en-US"/>
        </w:rPr>
        <w:t xml:space="preserve"> nên </w:t>
      </w:r>
      <w:r>
        <w:rPr>
          <w:color w:val="000000"/>
          <w:sz w:val="26"/>
          <w:szCs w:val="26"/>
          <w:shd w:val="clear" w:color="auto" w:fill="FFFFFF"/>
          <w:lang w:val="en-US"/>
        </w:rPr>
        <w:t>phải để nhà đầu tư được</w:t>
      </w:r>
      <w:r w:rsidR="00590403" w:rsidRPr="006C498B">
        <w:rPr>
          <w:color w:val="000000"/>
          <w:sz w:val="26"/>
          <w:szCs w:val="26"/>
          <w:shd w:val="clear" w:color="auto" w:fill="FFFFFF"/>
          <w:lang w:val="en-US"/>
        </w:rPr>
        <w:t xml:space="preserve"> qu</w:t>
      </w:r>
      <w:r w:rsidR="00E46B0E" w:rsidRPr="006C498B">
        <w:rPr>
          <w:color w:val="000000"/>
          <w:sz w:val="26"/>
          <w:szCs w:val="26"/>
          <w:shd w:val="clear" w:color="auto" w:fill="FFFFFF"/>
          <w:lang w:val="en-US"/>
        </w:rPr>
        <w:t xml:space="preserve">yền </w:t>
      </w:r>
      <w:r>
        <w:rPr>
          <w:color w:val="000000"/>
          <w:sz w:val="26"/>
          <w:szCs w:val="26"/>
          <w:shd w:val="clear" w:color="auto" w:fill="FFFFFF"/>
          <w:lang w:val="en-US"/>
        </w:rPr>
        <w:t xml:space="preserve">chủ động trong việc </w:t>
      </w:r>
      <w:r w:rsidR="00E46B0E" w:rsidRPr="006C498B">
        <w:rPr>
          <w:color w:val="000000"/>
          <w:sz w:val="26"/>
          <w:szCs w:val="26"/>
          <w:shd w:val="clear" w:color="auto" w:fill="FFFFFF"/>
          <w:lang w:val="en-US"/>
        </w:rPr>
        <w:t>quản lý</w:t>
      </w:r>
      <w:r>
        <w:rPr>
          <w:color w:val="000000"/>
          <w:sz w:val="26"/>
          <w:szCs w:val="26"/>
          <w:shd w:val="clear" w:color="auto" w:fill="FFFFFF"/>
          <w:lang w:val="en-US"/>
        </w:rPr>
        <w:t>, sử dụng nguồn vốn đầu tư vào dự án.</w:t>
      </w:r>
      <w:r w:rsidR="00E46B0E" w:rsidRPr="006C498B">
        <w:rPr>
          <w:color w:val="000000"/>
          <w:sz w:val="26"/>
          <w:szCs w:val="26"/>
          <w:shd w:val="clear" w:color="auto" w:fill="FFFFFF"/>
          <w:lang w:val="en-US"/>
        </w:rPr>
        <w:t xml:space="preserve"> </w:t>
      </w:r>
      <w:r>
        <w:rPr>
          <w:color w:val="000000"/>
          <w:sz w:val="26"/>
          <w:szCs w:val="26"/>
          <w:shd w:val="clear" w:color="auto" w:fill="FFFFFF"/>
          <w:lang w:val="en-US"/>
        </w:rPr>
        <w:t xml:space="preserve">Nhà nước không nên kiểm soát trực tiếp mà chỉ kiểm soát tổng mức đầu tư dự án và kiểm soát việc tuân thủ pháp luật trong quá trình sử dụng vốn, </w:t>
      </w:r>
      <w:r w:rsidR="00590403" w:rsidRPr="006C498B">
        <w:rPr>
          <w:color w:val="000000"/>
          <w:sz w:val="26"/>
          <w:szCs w:val="26"/>
          <w:shd w:val="clear" w:color="auto" w:fill="FFFFFF"/>
          <w:lang w:val="en-US"/>
        </w:rPr>
        <w:t>đảm bảo tiết kiệm kinh phí đầu dự án.</w:t>
      </w:r>
    </w:p>
    <w:p w14:paraId="06E43A42" w14:textId="77777777" w:rsidR="004C5C19" w:rsidRDefault="00590403" w:rsidP="006C498B">
      <w:pPr>
        <w:tabs>
          <w:tab w:val="left" w:pos="567"/>
        </w:tabs>
        <w:spacing w:before="120" w:after="120" w:line="340" w:lineRule="atLeast"/>
        <w:jc w:val="both"/>
        <w:rPr>
          <w:color w:val="000000"/>
          <w:sz w:val="26"/>
          <w:szCs w:val="26"/>
          <w:shd w:val="clear" w:color="auto" w:fill="FFFFFF"/>
          <w:lang w:val="en-US"/>
        </w:rPr>
      </w:pPr>
      <w:r w:rsidRPr="006C498B">
        <w:rPr>
          <w:color w:val="000000"/>
          <w:sz w:val="26"/>
          <w:szCs w:val="26"/>
          <w:shd w:val="clear" w:color="auto" w:fill="FFFFFF"/>
          <w:lang w:val="en-US"/>
        </w:rPr>
        <w:tab/>
        <w:t>Tuy nhiên,</w:t>
      </w:r>
      <w:r w:rsidR="00A50681" w:rsidRPr="00A50681">
        <w:rPr>
          <w:color w:val="000000"/>
          <w:sz w:val="26"/>
          <w:szCs w:val="26"/>
          <w:shd w:val="clear" w:color="auto" w:fill="FFFFFF"/>
          <w:lang w:val="en-US"/>
        </w:rPr>
        <w:t xml:space="preserve"> </w:t>
      </w:r>
      <w:r w:rsidR="00A50681">
        <w:rPr>
          <w:color w:val="000000"/>
          <w:sz w:val="26"/>
          <w:szCs w:val="26"/>
          <w:shd w:val="clear" w:color="auto" w:fill="FFFFFF"/>
          <w:lang w:val="en-US"/>
        </w:rPr>
        <w:t xml:space="preserve">từ góc độ quản lý, các cơ quan nhà nước có thẩm quyền lại cho rằng các nguồn vốn </w:t>
      </w:r>
      <w:r w:rsidR="004C5C19">
        <w:rPr>
          <w:color w:val="000000"/>
          <w:sz w:val="26"/>
          <w:szCs w:val="26"/>
          <w:shd w:val="clear" w:color="auto" w:fill="FFFFFF"/>
          <w:lang w:val="en-US"/>
        </w:rPr>
        <w:t xml:space="preserve">đầu tư dự án PPP về bản chất là vốn </w:t>
      </w:r>
      <w:r w:rsidR="00A50681">
        <w:rPr>
          <w:color w:val="000000"/>
          <w:sz w:val="26"/>
          <w:szCs w:val="26"/>
          <w:shd w:val="clear" w:color="auto" w:fill="FFFFFF"/>
          <w:lang w:val="en-US"/>
        </w:rPr>
        <w:t xml:space="preserve">ngân sách. Vì </w:t>
      </w:r>
      <w:r w:rsidR="004C5C19">
        <w:rPr>
          <w:color w:val="000000"/>
          <w:sz w:val="26"/>
          <w:szCs w:val="26"/>
          <w:shd w:val="clear" w:color="auto" w:fill="FFFFFF"/>
          <w:lang w:val="en-US"/>
        </w:rPr>
        <w:t xml:space="preserve">trên thực tế </w:t>
      </w:r>
      <w:r w:rsidR="00A50681">
        <w:rPr>
          <w:color w:val="000000"/>
          <w:sz w:val="26"/>
          <w:szCs w:val="26"/>
          <w:shd w:val="clear" w:color="auto" w:fill="FFFFFF"/>
          <w:lang w:val="en-US"/>
        </w:rPr>
        <w:t xml:space="preserve">nhà nước mới là người thanh toán cuối cùng cho giá trị đầu tư công trình, nên suy cho cùng đó vẫn là đầu tư bằng vốn nhà nước, nhà đầu tư chỉ là người ứng vốn </w:t>
      </w:r>
      <w:r w:rsidR="004C5C19">
        <w:rPr>
          <w:color w:val="000000"/>
          <w:sz w:val="26"/>
          <w:szCs w:val="26"/>
          <w:shd w:val="clear" w:color="auto" w:fill="FFFFFF"/>
          <w:lang w:val="en-US"/>
        </w:rPr>
        <w:t>ban đầu</w:t>
      </w:r>
      <w:r w:rsidR="00A50681">
        <w:rPr>
          <w:color w:val="000000"/>
          <w:sz w:val="26"/>
          <w:szCs w:val="26"/>
          <w:shd w:val="clear" w:color="auto" w:fill="FFFFFF"/>
          <w:lang w:val="en-US"/>
        </w:rPr>
        <w:t xml:space="preserve"> và sẽ được nhà nước thanh toán bằng tiền hoặc bằng </w:t>
      </w:r>
      <w:r w:rsidR="004C5C19">
        <w:rPr>
          <w:color w:val="000000"/>
          <w:sz w:val="26"/>
          <w:szCs w:val="26"/>
          <w:shd w:val="clear" w:color="auto" w:fill="FFFFFF"/>
          <w:lang w:val="en-US"/>
        </w:rPr>
        <w:t xml:space="preserve">giá trị </w:t>
      </w:r>
      <w:r w:rsidR="00A50681">
        <w:rPr>
          <w:color w:val="000000"/>
          <w:sz w:val="26"/>
          <w:szCs w:val="26"/>
          <w:shd w:val="clear" w:color="auto" w:fill="FFFFFF"/>
          <w:lang w:val="en-US"/>
        </w:rPr>
        <w:t xml:space="preserve">quỹ đất đối </w:t>
      </w:r>
      <w:r w:rsidR="004C5C19">
        <w:rPr>
          <w:color w:val="000000"/>
          <w:sz w:val="26"/>
          <w:szCs w:val="26"/>
          <w:shd w:val="clear" w:color="auto" w:fill="FFFFFF"/>
          <w:lang w:val="en-US"/>
        </w:rPr>
        <w:t>ứ</w:t>
      </w:r>
      <w:r w:rsidR="00A50681">
        <w:rPr>
          <w:color w:val="000000"/>
          <w:sz w:val="26"/>
          <w:szCs w:val="26"/>
          <w:shd w:val="clear" w:color="auto" w:fill="FFFFFF"/>
          <w:lang w:val="en-US"/>
        </w:rPr>
        <w:t xml:space="preserve">ng. Ngay cả khoản vốn nhà đầu tư huy động để đầu tư vào dự án cũng </w:t>
      </w:r>
      <w:r w:rsidR="00A50681" w:rsidRPr="006C498B">
        <w:rPr>
          <w:color w:val="000000"/>
          <w:sz w:val="26"/>
          <w:szCs w:val="26"/>
          <w:shd w:val="clear" w:color="auto" w:fill="FFFFFF"/>
          <w:lang w:val="en-US"/>
        </w:rPr>
        <w:t xml:space="preserve">được thế chấp bằng quyền tài sản của </w:t>
      </w:r>
      <w:r w:rsidR="004C5C19">
        <w:rPr>
          <w:color w:val="000000"/>
          <w:sz w:val="26"/>
          <w:szCs w:val="26"/>
          <w:shd w:val="clear" w:color="auto" w:fill="FFFFFF"/>
          <w:lang w:val="en-US"/>
        </w:rPr>
        <w:t>d</w:t>
      </w:r>
      <w:r w:rsidR="00A50681" w:rsidRPr="006C498B">
        <w:rPr>
          <w:color w:val="000000"/>
          <w:sz w:val="26"/>
          <w:szCs w:val="26"/>
          <w:shd w:val="clear" w:color="auto" w:fill="FFFFFF"/>
          <w:lang w:val="en-US"/>
        </w:rPr>
        <w:t xml:space="preserve">ự án </w:t>
      </w:r>
      <w:r w:rsidR="004C5C19">
        <w:rPr>
          <w:color w:val="000000"/>
          <w:sz w:val="26"/>
          <w:szCs w:val="26"/>
          <w:shd w:val="clear" w:color="auto" w:fill="FFFFFF"/>
          <w:lang w:val="en-US"/>
        </w:rPr>
        <w:t>BOT, BT</w:t>
      </w:r>
      <w:r w:rsidR="00A50681" w:rsidRPr="006C498B">
        <w:rPr>
          <w:color w:val="000000"/>
          <w:sz w:val="26"/>
          <w:szCs w:val="26"/>
          <w:shd w:val="clear" w:color="auto" w:fill="FFFFFF"/>
          <w:lang w:val="en-US"/>
        </w:rPr>
        <w:t xml:space="preserve"> hoặc </w:t>
      </w:r>
      <w:r w:rsidR="004C5C19">
        <w:rPr>
          <w:color w:val="000000"/>
          <w:sz w:val="26"/>
          <w:szCs w:val="26"/>
          <w:shd w:val="clear" w:color="auto" w:fill="FFFFFF"/>
          <w:lang w:val="en-US"/>
        </w:rPr>
        <w:t>d</w:t>
      </w:r>
      <w:r w:rsidR="00A50681" w:rsidRPr="006C498B">
        <w:rPr>
          <w:color w:val="000000"/>
          <w:sz w:val="26"/>
          <w:szCs w:val="26"/>
          <w:shd w:val="clear" w:color="auto" w:fill="FFFFFF"/>
          <w:lang w:val="en-US"/>
        </w:rPr>
        <w:t>ự án đối ứng</w:t>
      </w:r>
      <w:r w:rsidR="00A50681">
        <w:rPr>
          <w:color w:val="000000"/>
          <w:sz w:val="26"/>
          <w:szCs w:val="26"/>
          <w:shd w:val="clear" w:color="auto" w:fill="FFFFFF"/>
          <w:lang w:val="en-US"/>
        </w:rPr>
        <w:t xml:space="preserve">. Do vậy, nhà nước </w:t>
      </w:r>
      <w:r w:rsidR="004C5C19">
        <w:rPr>
          <w:color w:val="000000"/>
          <w:sz w:val="26"/>
          <w:szCs w:val="26"/>
          <w:shd w:val="clear" w:color="auto" w:fill="FFFFFF"/>
          <w:lang w:val="en-US"/>
        </w:rPr>
        <w:t>phải</w:t>
      </w:r>
      <w:r w:rsidR="00A50681">
        <w:rPr>
          <w:color w:val="000000"/>
          <w:sz w:val="26"/>
          <w:szCs w:val="26"/>
          <w:shd w:val="clear" w:color="auto" w:fill="FFFFFF"/>
          <w:lang w:val="en-US"/>
        </w:rPr>
        <w:t xml:space="preserve"> kiểm soát trực tiếp việc sử dụng nguồn vốn này, cũng như kiểm soát trực tiếp toàn bộ quá trình đầu tư dự án PPP</w:t>
      </w:r>
      <w:r w:rsidR="004C5C19">
        <w:rPr>
          <w:color w:val="000000"/>
          <w:sz w:val="26"/>
          <w:szCs w:val="26"/>
          <w:shd w:val="clear" w:color="auto" w:fill="FFFFFF"/>
          <w:lang w:val="en-US"/>
        </w:rPr>
        <w:t xml:space="preserve"> theo quy chế</w:t>
      </w:r>
      <w:r w:rsidR="00A50681">
        <w:rPr>
          <w:color w:val="000000"/>
          <w:sz w:val="26"/>
          <w:szCs w:val="26"/>
          <w:shd w:val="clear" w:color="auto" w:fill="FFFFFF"/>
          <w:lang w:val="en-US"/>
        </w:rPr>
        <w:t xml:space="preserve"> như đối với các dự án có vốn đầu tư từ ngân sách. </w:t>
      </w:r>
    </w:p>
    <w:p w14:paraId="52CF136B" w14:textId="747FC214" w:rsidR="00B766DC" w:rsidRDefault="004C5C19" w:rsidP="006C498B">
      <w:pPr>
        <w:tabs>
          <w:tab w:val="left" w:pos="567"/>
        </w:tabs>
        <w:spacing w:before="120" w:after="120" w:line="340" w:lineRule="atLeast"/>
        <w:jc w:val="both"/>
        <w:rPr>
          <w:color w:val="111111"/>
          <w:sz w:val="26"/>
          <w:szCs w:val="26"/>
          <w:shd w:val="clear" w:color="auto" w:fill="FFFFFF"/>
          <w:lang w:val="en-US"/>
        </w:rPr>
      </w:pPr>
      <w:r>
        <w:rPr>
          <w:color w:val="000000"/>
          <w:sz w:val="26"/>
          <w:szCs w:val="26"/>
          <w:shd w:val="clear" w:color="auto" w:fill="FFFFFF"/>
          <w:lang w:val="en-US"/>
        </w:rPr>
        <w:tab/>
      </w:r>
      <w:r w:rsidR="003E4150">
        <w:rPr>
          <w:color w:val="000000"/>
          <w:sz w:val="26"/>
          <w:szCs w:val="26"/>
          <w:shd w:val="clear" w:color="auto" w:fill="FFFFFF"/>
          <w:lang w:val="en-US"/>
        </w:rPr>
        <w:t xml:space="preserve">Pháp luật hiện hành chưa có quy định cụ thể về quy chế quản lý, sử dụng vốn đầu tư vào các dự án PPP (trong đó có dự án BOT, BT). Trên thực tế, các cơ quan có thẩm quyền đang áp dụng cơ chế kiểm soát, quản lý nguồn vốn đầu tư tại các dự án này như đối với quản lý đầu tư công. </w:t>
      </w:r>
      <w:r w:rsidR="003E4150">
        <w:rPr>
          <w:color w:val="111111"/>
          <w:sz w:val="26"/>
          <w:szCs w:val="26"/>
          <w:shd w:val="clear" w:color="auto" w:fill="FFFFFF"/>
          <w:lang w:val="en-US"/>
        </w:rPr>
        <w:t xml:space="preserve">Thực tế này đã gây không ít khó khăn cho nhà đầu tư trong </w:t>
      </w:r>
      <w:r w:rsidR="004D3EA3">
        <w:rPr>
          <w:color w:val="111111"/>
          <w:sz w:val="26"/>
          <w:szCs w:val="26"/>
          <w:shd w:val="clear" w:color="auto" w:fill="FFFFFF"/>
          <w:lang w:val="en-US"/>
        </w:rPr>
        <w:t>việc quản lý và sử dụng nguồn vốn đầu tư của mình</w:t>
      </w:r>
      <w:r w:rsidR="003E4150">
        <w:rPr>
          <w:color w:val="111111"/>
          <w:sz w:val="26"/>
          <w:szCs w:val="26"/>
          <w:shd w:val="clear" w:color="auto" w:fill="FFFFFF"/>
          <w:lang w:val="en-US"/>
        </w:rPr>
        <w:t xml:space="preserve">, thậm chí trong nhiều trường hợp </w:t>
      </w:r>
      <w:r w:rsidR="004D3EA3">
        <w:rPr>
          <w:color w:val="111111"/>
          <w:sz w:val="26"/>
          <w:szCs w:val="26"/>
          <w:shd w:val="clear" w:color="auto" w:fill="FFFFFF"/>
          <w:lang w:val="en-US"/>
        </w:rPr>
        <w:t>có thể làm ảnh hưởng đến ti</w:t>
      </w:r>
      <w:r w:rsidR="003E4150">
        <w:rPr>
          <w:color w:val="111111"/>
          <w:sz w:val="26"/>
          <w:szCs w:val="26"/>
          <w:shd w:val="clear" w:color="auto" w:fill="FFFFFF"/>
          <w:lang w:val="en-US"/>
        </w:rPr>
        <w:t xml:space="preserve">ến độ triển khai dự án. </w:t>
      </w:r>
      <w:r w:rsidR="000F16B9">
        <w:rPr>
          <w:color w:val="111111"/>
          <w:sz w:val="26"/>
          <w:szCs w:val="26"/>
          <w:shd w:val="clear" w:color="auto" w:fill="FFFFFF"/>
          <w:lang w:val="en-US"/>
        </w:rPr>
        <w:t>Đây cũng chính là đi</w:t>
      </w:r>
      <w:r w:rsidR="004D3EA3">
        <w:rPr>
          <w:color w:val="111111"/>
          <w:sz w:val="26"/>
          <w:szCs w:val="26"/>
          <w:shd w:val="clear" w:color="auto" w:fill="FFFFFF"/>
          <w:lang w:val="en-US"/>
        </w:rPr>
        <w:t>iều</w:t>
      </w:r>
      <w:r w:rsidR="000F16B9">
        <w:rPr>
          <w:color w:val="111111"/>
          <w:sz w:val="26"/>
          <w:szCs w:val="26"/>
          <w:shd w:val="clear" w:color="auto" w:fill="FFFFFF"/>
          <w:lang w:val="en-US"/>
        </w:rPr>
        <w:t xml:space="preserve"> khiến </w:t>
      </w:r>
      <w:r w:rsidR="004D3EA3">
        <w:rPr>
          <w:color w:val="111111"/>
          <w:sz w:val="26"/>
          <w:szCs w:val="26"/>
          <w:shd w:val="clear" w:color="auto" w:fill="FFFFFF"/>
          <w:lang w:val="en-US"/>
        </w:rPr>
        <w:t>cho n</w:t>
      </w:r>
      <w:r w:rsidR="000F16B9">
        <w:rPr>
          <w:color w:val="111111"/>
          <w:sz w:val="26"/>
          <w:szCs w:val="26"/>
          <w:shd w:val="clear" w:color="auto" w:fill="FFFFFF"/>
          <w:lang w:val="en-US"/>
        </w:rPr>
        <w:t xml:space="preserve">hà </w:t>
      </w:r>
      <w:r w:rsidR="000F16B9">
        <w:rPr>
          <w:color w:val="111111"/>
          <w:sz w:val="26"/>
          <w:szCs w:val="26"/>
          <w:shd w:val="clear" w:color="auto" w:fill="FFFFFF"/>
          <w:lang w:val="en-US"/>
        </w:rPr>
        <w:lastRenderedPageBreak/>
        <w:t>đầu tư</w:t>
      </w:r>
      <w:r w:rsidR="00C075FE" w:rsidRPr="006C498B">
        <w:rPr>
          <w:color w:val="111111"/>
          <w:sz w:val="26"/>
          <w:szCs w:val="26"/>
          <w:shd w:val="clear" w:color="auto" w:fill="FFFFFF"/>
          <w:lang w:val="en-US"/>
        </w:rPr>
        <w:t xml:space="preserve"> nước ngoài </w:t>
      </w:r>
      <w:r w:rsidR="003E4150">
        <w:rPr>
          <w:color w:val="111111"/>
          <w:sz w:val="26"/>
          <w:szCs w:val="26"/>
          <w:shd w:val="clear" w:color="auto" w:fill="FFFFFF"/>
          <w:lang w:val="en-US"/>
        </w:rPr>
        <w:t>e ngại khi lựa chọn hình thức đầu tư PPP, vì họ không muốn</w:t>
      </w:r>
      <w:r w:rsidR="00C075FE" w:rsidRPr="006C498B">
        <w:rPr>
          <w:color w:val="111111"/>
          <w:sz w:val="26"/>
          <w:szCs w:val="26"/>
          <w:shd w:val="clear" w:color="auto" w:fill="FFFFFF"/>
          <w:lang w:val="en-US"/>
        </w:rPr>
        <w:t xml:space="preserve"> </w:t>
      </w:r>
      <w:r w:rsidR="004D3EA3">
        <w:rPr>
          <w:color w:val="111111"/>
          <w:sz w:val="26"/>
          <w:szCs w:val="26"/>
          <w:shd w:val="clear" w:color="auto" w:fill="FFFFFF"/>
          <w:lang w:val="en-US"/>
        </w:rPr>
        <w:t>tiền</w:t>
      </w:r>
      <w:r w:rsidR="00C075FE" w:rsidRPr="006C498B">
        <w:rPr>
          <w:color w:val="111111"/>
          <w:sz w:val="26"/>
          <w:szCs w:val="26"/>
          <w:shd w:val="clear" w:color="auto" w:fill="FFFFFF"/>
          <w:lang w:val="en-US"/>
        </w:rPr>
        <w:t xml:space="preserve"> của họ bị kiểm soát như tiền của </w:t>
      </w:r>
      <w:r w:rsidR="004D3EA3">
        <w:rPr>
          <w:color w:val="111111"/>
          <w:sz w:val="26"/>
          <w:szCs w:val="26"/>
          <w:shd w:val="clear" w:color="auto" w:fill="FFFFFF"/>
          <w:lang w:val="en-US"/>
        </w:rPr>
        <w:t>chính phủ Việt Nam</w:t>
      </w:r>
      <w:r w:rsidR="00C075FE" w:rsidRPr="006C498B">
        <w:rPr>
          <w:color w:val="111111"/>
          <w:sz w:val="26"/>
          <w:szCs w:val="26"/>
          <w:shd w:val="clear" w:color="auto" w:fill="FFFFFF"/>
          <w:lang w:val="en-US"/>
        </w:rPr>
        <w:t xml:space="preserve"> khi </w:t>
      </w:r>
      <w:r w:rsidR="00D73249" w:rsidRPr="006C498B">
        <w:rPr>
          <w:color w:val="111111"/>
          <w:sz w:val="26"/>
          <w:szCs w:val="26"/>
          <w:shd w:val="clear" w:color="auto" w:fill="FFFFFF"/>
          <w:lang w:val="en-US"/>
        </w:rPr>
        <w:t xml:space="preserve">họ </w:t>
      </w:r>
      <w:r w:rsidR="00C075FE" w:rsidRPr="006C498B">
        <w:rPr>
          <w:color w:val="111111"/>
          <w:sz w:val="26"/>
          <w:szCs w:val="26"/>
          <w:shd w:val="clear" w:color="auto" w:fill="FFFFFF"/>
          <w:lang w:val="en-US"/>
        </w:rPr>
        <w:t>bỏ tiền đầu tư vào các dự án PPP</w:t>
      </w:r>
      <w:r w:rsidR="00B766DC" w:rsidRPr="006C498B">
        <w:rPr>
          <w:color w:val="111111"/>
          <w:sz w:val="26"/>
          <w:szCs w:val="26"/>
          <w:shd w:val="clear" w:color="auto" w:fill="FFFFFF"/>
          <w:lang w:val="en-US"/>
        </w:rPr>
        <w:t>.</w:t>
      </w:r>
    </w:p>
    <w:p w14:paraId="6445763E" w14:textId="654886E0" w:rsidR="004D3EA3" w:rsidRPr="006C498B" w:rsidRDefault="004D3EA3" w:rsidP="006C498B">
      <w:pPr>
        <w:tabs>
          <w:tab w:val="left" w:pos="567"/>
        </w:tabs>
        <w:spacing w:before="120" w:after="120" w:line="340" w:lineRule="atLeast"/>
        <w:jc w:val="both"/>
        <w:rPr>
          <w:color w:val="111111"/>
          <w:sz w:val="26"/>
          <w:szCs w:val="26"/>
          <w:shd w:val="clear" w:color="auto" w:fill="FFFFFF"/>
          <w:lang w:val="en-US"/>
        </w:rPr>
      </w:pPr>
      <w:r>
        <w:rPr>
          <w:color w:val="111111"/>
          <w:sz w:val="26"/>
          <w:szCs w:val="26"/>
          <w:shd w:val="clear" w:color="auto" w:fill="FFFFFF"/>
          <w:lang w:val="en-US"/>
        </w:rPr>
        <w:tab/>
        <w:t>Để giải tỏa tâm lý e ngại của nhà đầu tư, các cơ quan nhà nước có thẩm quyền cần nghiên cứu, xây dựng và ban hành cơ chế quản lý và sử dụng vốn đầu tư trong các dự án PPP trên cơ sở đảm bảo hài hòa giữa yêu cầu quản lý nhà nước đối với dự án và đảm bảo quyền chủ động của nhà đầu tư trong việc sử dụng nguồn vốn đầu tư vào các dự án PPP.</w:t>
      </w:r>
    </w:p>
    <w:p w14:paraId="59852E34" w14:textId="14B4D421" w:rsidR="00590403" w:rsidRPr="006C498B" w:rsidRDefault="00590403" w:rsidP="004D3EA3">
      <w:pPr>
        <w:tabs>
          <w:tab w:val="left" w:pos="567"/>
        </w:tabs>
        <w:spacing w:before="120" w:after="120" w:line="340" w:lineRule="atLeast"/>
        <w:ind w:firstLine="540"/>
        <w:jc w:val="both"/>
        <w:rPr>
          <w:b/>
          <w:sz w:val="26"/>
          <w:szCs w:val="26"/>
          <w:lang w:val="en-US"/>
        </w:rPr>
      </w:pPr>
      <w:r w:rsidRPr="006C498B">
        <w:rPr>
          <w:b/>
          <w:sz w:val="26"/>
          <w:szCs w:val="26"/>
        </w:rPr>
        <w:t xml:space="preserve">4. </w:t>
      </w:r>
      <w:r w:rsidR="004D3EA3">
        <w:rPr>
          <w:b/>
          <w:sz w:val="26"/>
          <w:szCs w:val="26"/>
          <w:lang w:val="en-US"/>
        </w:rPr>
        <w:t>Vướng mắc v</w:t>
      </w:r>
      <w:r w:rsidR="003E4150">
        <w:rPr>
          <w:b/>
          <w:sz w:val="26"/>
          <w:szCs w:val="26"/>
          <w:lang w:val="en-US"/>
        </w:rPr>
        <w:t>ề cách</w:t>
      </w:r>
      <w:r w:rsidRPr="006C498B">
        <w:rPr>
          <w:b/>
          <w:sz w:val="26"/>
          <w:szCs w:val="26"/>
        </w:rPr>
        <w:t xml:space="preserve"> tính lãi suất </w:t>
      </w:r>
      <w:r w:rsidR="004D3EA3">
        <w:rPr>
          <w:b/>
          <w:sz w:val="26"/>
          <w:szCs w:val="26"/>
          <w:lang w:val="en-US"/>
        </w:rPr>
        <w:t xml:space="preserve">đối với </w:t>
      </w:r>
      <w:r w:rsidRPr="006C498B">
        <w:rPr>
          <w:b/>
          <w:sz w:val="26"/>
          <w:szCs w:val="26"/>
        </w:rPr>
        <w:t xml:space="preserve">vốn vay </w:t>
      </w:r>
      <w:r w:rsidR="004D3EA3">
        <w:rPr>
          <w:b/>
          <w:sz w:val="26"/>
          <w:szCs w:val="26"/>
          <w:lang w:val="en-US"/>
        </w:rPr>
        <w:t>thực hiện</w:t>
      </w:r>
      <w:r w:rsidR="002618F3">
        <w:rPr>
          <w:b/>
          <w:sz w:val="26"/>
          <w:szCs w:val="26"/>
          <w:lang w:val="en-US"/>
        </w:rPr>
        <w:t xml:space="preserve"> Dự án</w:t>
      </w:r>
    </w:p>
    <w:p w14:paraId="4347DD32" w14:textId="25B4E891" w:rsidR="004D56AA" w:rsidRPr="006C498B" w:rsidRDefault="004D56AA" w:rsidP="006C498B">
      <w:pPr>
        <w:spacing w:before="120" w:after="120" w:line="340" w:lineRule="atLeast"/>
        <w:ind w:firstLine="567"/>
        <w:jc w:val="both"/>
        <w:rPr>
          <w:sz w:val="26"/>
          <w:szCs w:val="26"/>
          <w:lang w:val="en-US"/>
        </w:rPr>
      </w:pPr>
      <w:r w:rsidRPr="006C498B">
        <w:rPr>
          <w:sz w:val="26"/>
          <w:szCs w:val="26"/>
          <w:lang w:val="en-US"/>
        </w:rPr>
        <w:t>Theo quy định tại</w:t>
      </w:r>
      <w:r w:rsidRPr="006C498B">
        <w:rPr>
          <w:bCs/>
          <w:sz w:val="26"/>
          <w:szCs w:val="26"/>
        </w:rPr>
        <w:t xml:space="preserve"> Điều 17</w:t>
      </w:r>
      <w:r w:rsidRPr="006C498B">
        <w:rPr>
          <w:bCs/>
          <w:sz w:val="26"/>
          <w:szCs w:val="26"/>
          <w:lang w:val="en-US"/>
        </w:rPr>
        <w:t xml:space="preserve"> Thông tư 55/2016/TT-BTC </w:t>
      </w:r>
      <w:r w:rsidR="005B6397" w:rsidRPr="006C498B">
        <w:rPr>
          <w:bCs/>
          <w:sz w:val="26"/>
          <w:szCs w:val="26"/>
          <w:lang w:val="en-US"/>
        </w:rPr>
        <w:t>l</w:t>
      </w:r>
      <w:r w:rsidRPr="006C498B">
        <w:rPr>
          <w:sz w:val="26"/>
          <w:szCs w:val="26"/>
        </w:rPr>
        <w:t xml:space="preserve">ãi vay huy động vốn </w:t>
      </w:r>
      <w:r w:rsidRPr="006C498B">
        <w:rPr>
          <w:sz w:val="26"/>
          <w:szCs w:val="26"/>
          <w:shd w:val="solid" w:color="FFFFFF" w:fill="auto"/>
        </w:rPr>
        <w:t>đầu tư</w:t>
      </w:r>
      <w:r w:rsidRPr="006C498B">
        <w:rPr>
          <w:sz w:val="26"/>
          <w:szCs w:val="26"/>
        </w:rPr>
        <w:t xml:space="preserve"> bao gồm: </w:t>
      </w:r>
      <w:r w:rsidR="005B6397" w:rsidRPr="006C498B">
        <w:rPr>
          <w:sz w:val="26"/>
          <w:szCs w:val="26"/>
          <w:lang w:val="en-US"/>
        </w:rPr>
        <w:t>“</w:t>
      </w:r>
      <w:r w:rsidRPr="006C498B">
        <w:rPr>
          <w:i/>
          <w:sz w:val="26"/>
          <w:szCs w:val="26"/>
        </w:rPr>
        <w:t xml:space="preserve">Lãi vay trong thời gian xây dựng được tính trong tổng vốn đầu tư dự án, lãi vay huy động trong thời gian kinh doanh, khai thác được tính trong phương án tài chính của dự án. Lãi vay huy động vốn đầu tư chỉ áp dụng đối với phần vốn nhà đầu tư phải đi vay; không tính lãi vay đối với phần vốn chủ sở hữu của nhà đầu tư cam kết trong </w:t>
      </w:r>
      <w:r w:rsidRPr="006C498B">
        <w:rPr>
          <w:i/>
          <w:sz w:val="26"/>
          <w:szCs w:val="26"/>
          <w:shd w:val="solid" w:color="FFFFFF" w:fill="auto"/>
        </w:rPr>
        <w:t>hợp đồng</w:t>
      </w:r>
      <w:r w:rsidR="005B6397" w:rsidRPr="006C498B">
        <w:rPr>
          <w:i/>
          <w:sz w:val="26"/>
          <w:szCs w:val="26"/>
        </w:rPr>
        <w:t xml:space="preserve"> dự án</w:t>
      </w:r>
      <w:r w:rsidR="005B6397" w:rsidRPr="006C498B">
        <w:rPr>
          <w:sz w:val="26"/>
          <w:szCs w:val="26"/>
          <w:lang w:val="en-US"/>
        </w:rPr>
        <w:t>”.</w:t>
      </w:r>
      <w:r w:rsidR="00831569" w:rsidRPr="006C498B">
        <w:rPr>
          <w:sz w:val="26"/>
          <w:szCs w:val="26"/>
          <w:lang w:val="en-US"/>
        </w:rPr>
        <w:t xml:space="preserve"> </w:t>
      </w:r>
      <w:r w:rsidR="00B830A0">
        <w:rPr>
          <w:sz w:val="26"/>
          <w:szCs w:val="26"/>
          <w:lang w:val="en-US"/>
        </w:rPr>
        <w:t>T</w:t>
      </w:r>
      <w:r w:rsidRPr="006C498B">
        <w:rPr>
          <w:sz w:val="26"/>
          <w:szCs w:val="26"/>
        </w:rPr>
        <w:t xml:space="preserve">hời gian </w:t>
      </w:r>
      <w:r w:rsidR="005B6397" w:rsidRPr="006C498B">
        <w:rPr>
          <w:sz w:val="26"/>
          <w:szCs w:val="26"/>
        </w:rPr>
        <w:t xml:space="preserve">tính lãi vay được tính từ </w:t>
      </w:r>
      <w:r w:rsidR="005B6397" w:rsidRPr="006C498B">
        <w:rPr>
          <w:sz w:val="26"/>
          <w:szCs w:val="26"/>
          <w:lang w:val="en-US"/>
        </w:rPr>
        <w:t>“</w:t>
      </w:r>
      <w:r w:rsidR="005B6397" w:rsidRPr="006C498B">
        <w:rPr>
          <w:i/>
          <w:sz w:val="26"/>
          <w:szCs w:val="26"/>
        </w:rPr>
        <w:t xml:space="preserve">thời </w:t>
      </w:r>
      <w:r w:rsidR="005B6397" w:rsidRPr="006C498B">
        <w:rPr>
          <w:i/>
          <w:sz w:val="26"/>
          <w:szCs w:val="26"/>
          <w:lang w:val="en-US"/>
        </w:rPr>
        <w:t>đ</w:t>
      </w:r>
      <w:r w:rsidRPr="006C498B">
        <w:rPr>
          <w:i/>
          <w:sz w:val="26"/>
          <w:szCs w:val="26"/>
        </w:rPr>
        <w:t xml:space="preserve">iểm giải ngân </w:t>
      </w:r>
      <w:r w:rsidR="00B830A0">
        <w:rPr>
          <w:i/>
          <w:sz w:val="26"/>
          <w:szCs w:val="26"/>
          <w:lang w:val="en-US"/>
        </w:rPr>
        <w:t>k</w:t>
      </w:r>
      <w:r w:rsidRPr="006C498B">
        <w:rPr>
          <w:i/>
          <w:sz w:val="26"/>
          <w:szCs w:val="26"/>
        </w:rPr>
        <w:t>hoản vay đầu tiên; thời gian tính lãi vay tối đa không vượt quá thời gian thực hiện dự án quy định trong hợp đồng dự án. Lãi vay huy động được tính trên cơ sở mức vốn vay cam kết và tiến độ huy động các nguồn vốn trong hợp đồng dự án</w:t>
      </w:r>
      <w:r w:rsidR="005B6397" w:rsidRPr="006C498B">
        <w:rPr>
          <w:sz w:val="26"/>
          <w:szCs w:val="26"/>
          <w:lang w:val="en-US"/>
        </w:rPr>
        <w:t>”</w:t>
      </w:r>
      <w:r w:rsidR="001F1E50" w:rsidRPr="006C498B">
        <w:rPr>
          <w:sz w:val="26"/>
          <w:szCs w:val="26"/>
          <w:lang w:val="en-US"/>
        </w:rPr>
        <w:t>.</w:t>
      </w:r>
    </w:p>
    <w:p w14:paraId="4EFE2D22" w14:textId="30B1D3C4" w:rsidR="004D3EA3" w:rsidRDefault="00B830A0" w:rsidP="00C778CB">
      <w:pPr>
        <w:tabs>
          <w:tab w:val="left" w:pos="567"/>
        </w:tabs>
        <w:spacing w:before="120" w:after="120" w:line="340" w:lineRule="atLeast"/>
        <w:jc w:val="both"/>
        <w:rPr>
          <w:sz w:val="26"/>
          <w:szCs w:val="26"/>
          <w:lang w:val="en-US"/>
        </w:rPr>
      </w:pPr>
      <w:r>
        <w:rPr>
          <w:sz w:val="26"/>
          <w:szCs w:val="26"/>
          <w:lang w:val="en-US"/>
        </w:rPr>
        <w:tab/>
      </w:r>
      <w:r w:rsidR="003E4150">
        <w:rPr>
          <w:sz w:val="26"/>
          <w:szCs w:val="26"/>
          <w:lang w:val="en-US"/>
        </w:rPr>
        <w:t xml:space="preserve">Như vậy, </w:t>
      </w:r>
      <w:r w:rsidR="005B6397" w:rsidRPr="006C498B">
        <w:rPr>
          <w:sz w:val="26"/>
          <w:szCs w:val="26"/>
          <w:lang w:val="en-US"/>
        </w:rPr>
        <w:t>lãi vay</w:t>
      </w:r>
      <w:r w:rsidR="003E4150">
        <w:rPr>
          <w:sz w:val="26"/>
          <w:szCs w:val="26"/>
          <w:lang w:val="en-US"/>
        </w:rPr>
        <w:t xml:space="preserve"> chỉ được tính</w:t>
      </w:r>
      <w:r w:rsidR="005B6397" w:rsidRPr="006C498B">
        <w:rPr>
          <w:sz w:val="26"/>
          <w:szCs w:val="26"/>
          <w:lang w:val="en-US"/>
        </w:rPr>
        <w:t xml:space="preserve"> </w:t>
      </w:r>
      <w:r w:rsidR="003E4150">
        <w:rPr>
          <w:sz w:val="26"/>
          <w:szCs w:val="26"/>
          <w:lang w:val="en-US"/>
        </w:rPr>
        <w:t xml:space="preserve">trên phần vốn nhà đầu tư phải đi vay và được tính </w:t>
      </w:r>
      <w:r w:rsidR="005B6397" w:rsidRPr="006C498B">
        <w:rPr>
          <w:sz w:val="26"/>
          <w:szCs w:val="26"/>
          <w:lang w:val="en-US"/>
        </w:rPr>
        <w:t xml:space="preserve">từ thời điểm giải ngân </w:t>
      </w:r>
      <w:r>
        <w:rPr>
          <w:sz w:val="26"/>
          <w:szCs w:val="26"/>
          <w:lang w:val="en-US"/>
        </w:rPr>
        <w:t>k</w:t>
      </w:r>
      <w:r w:rsidR="005B6397" w:rsidRPr="006C498B">
        <w:rPr>
          <w:sz w:val="26"/>
          <w:szCs w:val="26"/>
          <w:lang w:val="en-US"/>
        </w:rPr>
        <w:t>hoản vay đầu tiên</w:t>
      </w:r>
      <w:r w:rsidR="003E4150">
        <w:rPr>
          <w:sz w:val="26"/>
          <w:szCs w:val="26"/>
          <w:lang w:val="en-US"/>
        </w:rPr>
        <w:t xml:space="preserve">. </w:t>
      </w:r>
      <w:r w:rsidR="0058297B">
        <w:rPr>
          <w:sz w:val="26"/>
          <w:szCs w:val="26"/>
          <w:lang w:val="en-US"/>
        </w:rPr>
        <w:t>Về nguyên tắc, việc giải ngân khoản vay đầu tiên chỉ được thực hiện sau khi vốn</w:t>
      </w:r>
      <w:r w:rsidR="0058297B" w:rsidRPr="0058297B">
        <w:rPr>
          <w:sz w:val="26"/>
          <w:szCs w:val="26"/>
          <w:lang w:val="en-US"/>
        </w:rPr>
        <w:t xml:space="preserve"> chủ sở hữu của </w:t>
      </w:r>
      <w:r w:rsidR="00146B16">
        <w:rPr>
          <w:sz w:val="26"/>
          <w:szCs w:val="26"/>
          <w:lang w:val="en-US"/>
        </w:rPr>
        <w:t xml:space="preserve">nhà đầu tư </w:t>
      </w:r>
      <w:r w:rsidR="0058297B" w:rsidRPr="0058297B">
        <w:rPr>
          <w:sz w:val="26"/>
          <w:szCs w:val="26"/>
          <w:lang w:val="en-US"/>
        </w:rPr>
        <w:t xml:space="preserve">đã được sử dụng hết. </w:t>
      </w:r>
      <w:r w:rsidR="0058297B">
        <w:rPr>
          <w:sz w:val="26"/>
          <w:szCs w:val="26"/>
          <w:lang w:val="en-US"/>
        </w:rPr>
        <w:t xml:space="preserve">Tuy nhiên, </w:t>
      </w:r>
      <w:r w:rsidR="004D3EA3">
        <w:rPr>
          <w:sz w:val="26"/>
          <w:szCs w:val="26"/>
          <w:lang w:val="en-US"/>
        </w:rPr>
        <w:t xml:space="preserve">do </w:t>
      </w:r>
      <w:r w:rsidR="0058297B">
        <w:rPr>
          <w:sz w:val="26"/>
          <w:szCs w:val="26"/>
          <w:lang w:val="en-US"/>
        </w:rPr>
        <w:t>pháp luật chưa có quy định cụ thể nên tại một số dự án có tình trạng</w:t>
      </w:r>
      <w:r w:rsidR="00C855FF" w:rsidRPr="006C498B">
        <w:rPr>
          <w:sz w:val="26"/>
          <w:szCs w:val="26"/>
          <w:lang w:val="en-US"/>
        </w:rPr>
        <w:t xml:space="preserve"> </w:t>
      </w:r>
      <w:r>
        <w:rPr>
          <w:sz w:val="26"/>
          <w:szCs w:val="26"/>
          <w:lang w:val="en-US"/>
        </w:rPr>
        <w:t>nhà đầu tư</w:t>
      </w:r>
      <w:r w:rsidR="00C855FF" w:rsidRPr="006C498B">
        <w:rPr>
          <w:sz w:val="26"/>
          <w:szCs w:val="26"/>
          <w:lang w:val="en-US"/>
        </w:rPr>
        <w:t xml:space="preserve"> chỉ sử dụng một phần rất nhỏ hoặc thậm chí chưa sử dụng vốn chủ sở hữu mà dùng ngay phần vốn vay của dự án. </w:t>
      </w:r>
      <w:r w:rsidR="0058297B">
        <w:rPr>
          <w:sz w:val="26"/>
          <w:szCs w:val="26"/>
          <w:lang w:val="en-US"/>
        </w:rPr>
        <w:t>Đặc biệt, phía n</w:t>
      </w:r>
      <w:r w:rsidR="0058297B" w:rsidRPr="006C498B">
        <w:rPr>
          <w:sz w:val="26"/>
          <w:szCs w:val="26"/>
          <w:lang w:val="en-US"/>
        </w:rPr>
        <w:t xml:space="preserve">gân hàng </w:t>
      </w:r>
      <w:r w:rsidR="0058297B">
        <w:rPr>
          <w:sz w:val="26"/>
          <w:szCs w:val="26"/>
          <w:lang w:val="en-US"/>
        </w:rPr>
        <w:t xml:space="preserve">cấp vốn trong nhiều trường hợp cũng </w:t>
      </w:r>
      <w:r w:rsidR="0058297B" w:rsidRPr="006C498B">
        <w:rPr>
          <w:sz w:val="26"/>
          <w:szCs w:val="26"/>
          <w:lang w:val="en-US"/>
        </w:rPr>
        <w:t xml:space="preserve">yêu cầu </w:t>
      </w:r>
      <w:r w:rsidR="0058297B">
        <w:rPr>
          <w:sz w:val="26"/>
          <w:szCs w:val="26"/>
          <w:lang w:val="en-US"/>
        </w:rPr>
        <w:t xml:space="preserve">nhà </w:t>
      </w:r>
      <w:r w:rsidR="0058297B" w:rsidRPr="006C498B">
        <w:rPr>
          <w:sz w:val="26"/>
          <w:szCs w:val="26"/>
          <w:lang w:val="en-US"/>
        </w:rPr>
        <w:t xml:space="preserve">đầu tư phải giải ngân đối với từng gói thầu theo tỷ lệ phần vốn góp của </w:t>
      </w:r>
      <w:r w:rsidR="00146B16">
        <w:rPr>
          <w:sz w:val="26"/>
          <w:szCs w:val="26"/>
          <w:lang w:val="en-US"/>
        </w:rPr>
        <w:t>nhà đầu tư</w:t>
      </w:r>
      <w:r w:rsidR="0058297B" w:rsidRPr="006C498B">
        <w:rPr>
          <w:sz w:val="26"/>
          <w:szCs w:val="26"/>
          <w:lang w:val="en-US"/>
        </w:rPr>
        <w:t xml:space="preserve"> trên </w:t>
      </w:r>
      <w:r w:rsidR="0058297B">
        <w:rPr>
          <w:sz w:val="26"/>
          <w:szCs w:val="26"/>
          <w:lang w:val="en-US"/>
        </w:rPr>
        <w:t>tổng mức đầu tư</w:t>
      </w:r>
      <w:r w:rsidR="00FD61A7">
        <w:rPr>
          <w:sz w:val="26"/>
          <w:szCs w:val="26"/>
          <w:lang w:val="en-US"/>
        </w:rPr>
        <w:t xml:space="preserve"> của</w:t>
      </w:r>
      <w:r w:rsidR="0058297B">
        <w:rPr>
          <w:sz w:val="26"/>
          <w:szCs w:val="26"/>
          <w:lang w:val="en-US"/>
        </w:rPr>
        <w:t xml:space="preserve"> dự án</w:t>
      </w:r>
      <w:r w:rsidR="0058297B" w:rsidRPr="006C498B">
        <w:rPr>
          <w:sz w:val="26"/>
          <w:szCs w:val="26"/>
          <w:lang w:val="en-US"/>
        </w:rPr>
        <w:t>.</w:t>
      </w:r>
      <w:r w:rsidR="0058297B">
        <w:rPr>
          <w:sz w:val="26"/>
          <w:szCs w:val="26"/>
          <w:lang w:val="en-US"/>
        </w:rPr>
        <w:t xml:space="preserve"> Trong nhiều trường hợp, Hợp đồng dự án có quy định việc giải ngân vốn vay chỉ được thực hiện</w:t>
      </w:r>
      <w:r w:rsidR="0058297B" w:rsidRPr="0058297B">
        <w:rPr>
          <w:sz w:val="26"/>
          <w:szCs w:val="26"/>
          <w:lang w:val="en-US"/>
        </w:rPr>
        <w:t xml:space="preserve"> </w:t>
      </w:r>
      <w:r w:rsidR="0058297B">
        <w:rPr>
          <w:sz w:val="26"/>
          <w:szCs w:val="26"/>
          <w:lang w:val="en-US"/>
        </w:rPr>
        <w:t>sau khi vốn</w:t>
      </w:r>
      <w:r w:rsidR="0058297B" w:rsidRPr="0058297B">
        <w:rPr>
          <w:sz w:val="26"/>
          <w:szCs w:val="26"/>
          <w:lang w:val="en-US"/>
        </w:rPr>
        <w:t xml:space="preserve"> chủ sở hữu của </w:t>
      </w:r>
      <w:r w:rsidR="00146B16">
        <w:rPr>
          <w:sz w:val="26"/>
          <w:szCs w:val="26"/>
          <w:lang w:val="en-US"/>
        </w:rPr>
        <w:t xml:space="preserve">nhà đầu tư </w:t>
      </w:r>
      <w:r w:rsidR="0058297B" w:rsidRPr="0058297B">
        <w:rPr>
          <w:sz w:val="26"/>
          <w:szCs w:val="26"/>
          <w:lang w:val="en-US"/>
        </w:rPr>
        <w:t>đã được sử dụng hết</w:t>
      </w:r>
      <w:r w:rsidR="00C778CB">
        <w:rPr>
          <w:sz w:val="26"/>
          <w:szCs w:val="26"/>
          <w:lang w:val="en-US"/>
        </w:rPr>
        <w:t xml:space="preserve">. Tuy nhiên, một số nhà đầu tư đã giải ngân ồ ạt số vốn chủ sở hữu trong một thời gian ngắn để sử dụng vốn vay. </w:t>
      </w:r>
      <w:r w:rsidR="00C855FF" w:rsidRPr="006C498B">
        <w:rPr>
          <w:sz w:val="26"/>
          <w:szCs w:val="26"/>
          <w:lang w:val="en-US"/>
        </w:rPr>
        <w:t xml:space="preserve">Điều này dẫn đến lãi vay của </w:t>
      </w:r>
      <w:r w:rsidR="001F1E50" w:rsidRPr="006C498B">
        <w:rPr>
          <w:sz w:val="26"/>
          <w:szCs w:val="26"/>
          <w:lang w:val="en-US"/>
        </w:rPr>
        <w:t>d</w:t>
      </w:r>
      <w:r w:rsidR="00C855FF" w:rsidRPr="006C498B">
        <w:rPr>
          <w:sz w:val="26"/>
          <w:szCs w:val="26"/>
          <w:lang w:val="en-US"/>
        </w:rPr>
        <w:t xml:space="preserve">ự án bị tăng thêm, đồng nghĩa với việc </w:t>
      </w:r>
      <w:r w:rsidR="004D3EA3">
        <w:rPr>
          <w:sz w:val="26"/>
          <w:szCs w:val="26"/>
          <w:lang w:val="en-US"/>
        </w:rPr>
        <w:t>làm tăng tổng mức</w:t>
      </w:r>
      <w:r w:rsidR="001F1E50" w:rsidRPr="006C498B">
        <w:rPr>
          <w:sz w:val="26"/>
          <w:szCs w:val="26"/>
          <w:lang w:val="en-US"/>
        </w:rPr>
        <w:t xml:space="preserve"> </w:t>
      </w:r>
      <w:r w:rsidR="004D3EA3">
        <w:rPr>
          <w:sz w:val="26"/>
          <w:szCs w:val="26"/>
          <w:lang w:val="en-US"/>
        </w:rPr>
        <w:t xml:space="preserve">đầu tư </w:t>
      </w:r>
      <w:r w:rsidR="00C855FF" w:rsidRPr="006C498B">
        <w:rPr>
          <w:sz w:val="26"/>
          <w:szCs w:val="26"/>
          <w:lang w:val="en-US"/>
        </w:rPr>
        <w:t>của dự án.</w:t>
      </w:r>
      <w:r w:rsidR="001F1E50" w:rsidRPr="006C498B">
        <w:rPr>
          <w:sz w:val="26"/>
          <w:szCs w:val="26"/>
          <w:lang w:val="en-US"/>
        </w:rPr>
        <w:t xml:space="preserve"> </w:t>
      </w:r>
    </w:p>
    <w:p w14:paraId="1810EA54" w14:textId="2E48EC9C" w:rsidR="004D3EA3" w:rsidRDefault="004D3EA3" w:rsidP="004D3EA3">
      <w:pPr>
        <w:tabs>
          <w:tab w:val="left" w:pos="567"/>
        </w:tabs>
        <w:spacing w:before="120" w:after="120" w:line="340" w:lineRule="atLeast"/>
        <w:jc w:val="both"/>
        <w:rPr>
          <w:sz w:val="26"/>
          <w:szCs w:val="26"/>
          <w:lang w:val="en-US"/>
        </w:rPr>
      </w:pPr>
      <w:r>
        <w:rPr>
          <w:sz w:val="26"/>
          <w:szCs w:val="26"/>
          <w:lang w:val="en-US"/>
        </w:rPr>
        <w:tab/>
      </w:r>
      <w:r w:rsidRPr="006C498B">
        <w:rPr>
          <w:sz w:val="26"/>
          <w:szCs w:val="26"/>
          <w:lang w:val="en-US"/>
        </w:rPr>
        <w:t>Một vấn</w:t>
      </w:r>
      <w:r>
        <w:rPr>
          <w:sz w:val="26"/>
          <w:szCs w:val="26"/>
          <w:lang w:val="en-US"/>
        </w:rPr>
        <w:t xml:space="preserve"> </w:t>
      </w:r>
      <w:r w:rsidRPr="006C498B">
        <w:rPr>
          <w:sz w:val="26"/>
          <w:szCs w:val="26"/>
          <w:lang w:val="en-US"/>
        </w:rPr>
        <w:t xml:space="preserve">đề </w:t>
      </w:r>
      <w:r>
        <w:rPr>
          <w:sz w:val="26"/>
          <w:szCs w:val="26"/>
          <w:lang w:val="en-US"/>
        </w:rPr>
        <w:t>khác thường gặp phải ở các dự án BT là dự án đã hoàn thành và quyết toán nhưng chưa có quỹ đất hoặc giá trị quỹ đất đối ứng không đủ để nhà đầu tư thu hồi vốn. Theo quy định hiện hành thì</w:t>
      </w:r>
      <w:r w:rsidRPr="00C778CB">
        <w:rPr>
          <w:i/>
          <w:sz w:val="26"/>
          <w:szCs w:val="26"/>
        </w:rPr>
        <w:t xml:space="preserve"> </w:t>
      </w:r>
      <w:r>
        <w:rPr>
          <w:sz w:val="26"/>
          <w:szCs w:val="26"/>
          <w:lang w:val="en-US"/>
        </w:rPr>
        <w:t>l</w:t>
      </w:r>
      <w:r w:rsidRPr="00C778CB">
        <w:rPr>
          <w:sz w:val="26"/>
          <w:szCs w:val="26"/>
        </w:rPr>
        <w:t>ãi vay trong thời gian xây dựng</w:t>
      </w:r>
      <w:r>
        <w:rPr>
          <w:sz w:val="26"/>
          <w:szCs w:val="26"/>
          <w:lang w:val="en-US"/>
        </w:rPr>
        <w:t xml:space="preserve"> mới</w:t>
      </w:r>
      <w:r w:rsidRPr="00C778CB">
        <w:rPr>
          <w:sz w:val="26"/>
          <w:szCs w:val="26"/>
        </w:rPr>
        <w:t xml:space="preserve"> được tính trong tổng vốn đầu tư dự án</w:t>
      </w:r>
      <w:r>
        <w:rPr>
          <w:sz w:val="26"/>
          <w:szCs w:val="26"/>
          <w:lang w:val="en-US"/>
        </w:rPr>
        <w:t xml:space="preserve">. Như vậy nhà đầu tư không được tiếp tục tính lãi vay trên giá trị vốn đầu tư công trình chưa được đối ứng trong thời gian chưa nhận được quỹ đất đối ứng. Rõ ràng quy định này khiến các nhà đầu tư phải chịu thiệt </w:t>
      </w:r>
      <w:r w:rsidR="001B57AB">
        <w:rPr>
          <w:sz w:val="26"/>
          <w:szCs w:val="26"/>
          <w:lang w:val="en-US"/>
        </w:rPr>
        <w:t>hại</w:t>
      </w:r>
      <w:r>
        <w:rPr>
          <w:sz w:val="26"/>
          <w:szCs w:val="26"/>
          <w:lang w:val="en-US"/>
        </w:rPr>
        <w:t xml:space="preserve"> rất lớn. Tuy nhiên, các cơ quan nhà nước hiện nay vẫn chưa</w:t>
      </w:r>
      <w:r w:rsidR="001B57AB">
        <w:rPr>
          <w:sz w:val="26"/>
          <w:szCs w:val="26"/>
          <w:lang w:val="en-US"/>
        </w:rPr>
        <w:t xml:space="preserve"> </w:t>
      </w:r>
      <w:r>
        <w:rPr>
          <w:sz w:val="26"/>
          <w:szCs w:val="26"/>
          <w:lang w:val="en-US"/>
        </w:rPr>
        <w:t xml:space="preserve">có </w:t>
      </w:r>
      <w:r w:rsidR="001B57AB">
        <w:rPr>
          <w:sz w:val="26"/>
          <w:szCs w:val="26"/>
          <w:lang w:val="en-US"/>
        </w:rPr>
        <w:t>giải pháp nào để hạn chế thiệt hại cho nhà đầu tư.</w:t>
      </w:r>
      <w:r w:rsidRPr="00C778CB">
        <w:rPr>
          <w:sz w:val="26"/>
          <w:szCs w:val="26"/>
          <w:lang w:val="en-US"/>
        </w:rPr>
        <w:t xml:space="preserve"> </w:t>
      </w:r>
    </w:p>
    <w:p w14:paraId="1976C13D" w14:textId="08164367" w:rsidR="00C778CB" w:rsidRDefault="00C778CB" w:rsidP="00C778CB">
      <w:pPr>
        <w:tabs>
          <w:tab w:val="left" w:pos="567"/>
        </w:tabs>
        <w:spacing w:before="120" w:after="120" w:line="340" w:lineRule="atLeast"/>
        <w:jc w:val="both"/>
        <w:rPr>
          <w:sz w:val="26"/>
          <w:szCs w:val="26"/>
          <w:lang w:val="en-US"/>
        </w:rPr>
      </w:pPr>
    </w:p>
    <w:p w14:paraId="72F2AC32" w14:textId="264ADC65" w:rsidR="007D65DD" w:rsidRPr="006C498B" w:rsidRDefault="00C778CB" w:rsidP="00C778CB">
      <w:pPr>
        <w:tabs>
          <w:tab w:val="left" w:pos="567"/>
        </w:tabs>
        <w:spacing w:before="120" w:after="120" w:line="340" w:lineRule="atLeast"/>
        <w:jc w:val="both"/>
        <w:rPr>
          <w:sz w:val="26"/>
          <w:szCs w:val="26"/>
          <w:lang w:val="en-US"/>
        </w:rPr>
      </w:pPr>
      <w:r>
        <w:rPr>
          <w:sz w:val="26"/>
          <w:szCs w:val="26"/>
          <w:lang w:val="en-US"/>
        </w:rPr>
        <w:lastRenderedPageBreak/>
        <w:tab/>
        <w:t>Từ thực tế nêu trên</w:t>
      </w:r>
      <w:r w:rsidR="007D65DD" w:rsidRPr="00C778CB">
        <w:rPr>
          <w:sz w:val="26"/>
          <w:szCs w:val="26"/>
          <w:lang w:val="en-US"/>
        </w:rPr>
        <w:t xml:space="preserve">, </w:t>
      </w:r>
      <w:r>
        <w:rPr>
          <w:sz w:val="26"/>
          <w:szCs w:val="26"/>
          <w:lang w:val="en-US"/>
        </w:rPr>
        <w:t>pháp luật cần có quy định cụ thể hơn về cách tính lãi suất vốn vay, thời điểm giải ngân và điều kiện giải ngân khoản vay đầu tiên để áp dụng một cách thống nhất cho các dự án, tránh làm</w:t>
      </w:r>
      <w:r w:rsidR="007D65DD" w:rsidRPr="006C498B">
        <w:rPr>
          <w:sz w:val="26"/>
          <w:szCs w:val="26"/>
          <w:lang w:val="en-US"/>
        </w:rPr>
        <w:t xml:space="preserve"> </w:t>
      </w:r>
      <w:r>
        <w:rPr>
          <w:sz w:val="26"/>
          <w:szCs w:val="26"/>
          <w:lang w:val="en-US"/>
        </w:rPr>
        <w:t>tăng chí phí lãi vay và tăng</w:t>
      </w:r>
      <w:r w:rsidR="007D65DD" w:rsidRPr="006C498B">
        <w:rPr>
          <w:sz w:val="26"/>
          <w:szCs w:val="26"/>
          <w:lang w:val="en-US"/>
        </w:rPr>
        <w:t xml:space="preserve"> tổng mức đầu tư của dự án</w:t>
      </w:r>
      <w:r w:rsidR="004D3EA3">
        <w:rPr>
          <w:sz w:val="26"/>
          <w:szCs w:val="26"/>
          <w:lang w:val="en-US"/>
        </w:rPr>
        <w:t>, dẫn đến thua thiệt cho nhà nước</w:t>
      </w:r>
      <w:r w:rsidR="007D65DD" w:rsidRPr="006C498B">
        <w:rPr>
          <w:sz w:val="26"/>
          <w:szCs w:val="26"/>
          <w:lang w:val="en-US"/>
        </w:rPr>
        <w:t>.</w:t>
      </w:r>
      <w:r w:rsidR="001B57AB">
        <w:rPr>
          <w:sz w:val="26"/>
          <w:szCs w:val="26"/>
          <w:lang w:val="en-US"/>
        </w:rPr>
        <w:t xml:space="preserve"> Đồng thời, các cơ quan có thẩm quyền cũng cần có quy định hoặc hướng dẫn cơ chế đảm bảo quyền lợi cho nhà đầu tư trong trường hợp bàn giao quỹ đất đối ứng chậm hoặc thanh toán chậm giá trị công trình.</w:t>
      </w:r>
    </w:p>
    <w:p w14:paraId="320C3A8E" w14:textId="0A9F53FB" w:rsidR="00D11699" w:rsidRPr="00D11699" w:rsidRDefault="0043184E" w:rsidP="006C498B">
      <w:pPr>
        <w:tabs>
          <w:tab w:val="left" w:pos="567"/>
        </w:tabs>
        <w:spacing w:before="120" w:after="120" w:line="340" w:lineRule="atLeast"/>
        <w:jc w:val="both"/>
        <w:rPr>
          <w:b/>
          <w:sz w:val="26"/>
          <w:szCs w:val="26"/>
          <w:lang w:val="en-US"/>
        </w:rPr>
      </w:pPr>
      <w:r w:rsidRPr="006C498B">
        <w:rPr>
          <w:sz w:val="26"/>
          <w:szCs w:val="26"/>
          <w:lang w:val="en-US"/>
        </w:rPr>
        <w:tab/>
      </w:r>
      <w:r w:rsidR="001B57AB">
        <w:rPr>
          <w:b/>
          <w:sz w:val="26"/>
          <w:szCs w:val="26"/>
          <w:lang w:val="en-US"/>
        </w:rPr>
        <w:t>5. Vướng mắc trong v</w:t>
      </w:r>
      <w:r w:rsidR="00D11699" w:rsidRPr="00D11699">
        <w:rPr>
          <w:b/>
          <w:sz w:val="26"/>
          <w:szCs w:val="26"/>
          <w:lang w:val="en-US"/>
        </w:rPr>
        <w:t>iệc thanh toán giá trị đầu tư</w:t>
      </w:r>
      <w:r w:rsidR="001B57AB">
        <w:rPr>
          <w:b/>
          <w:sz w:val="26"/>
          <w:szCs w:val="26"/>
          <w:lang w:val="en-US"/>
        </w:rPr>
        <w:t xml:space="preserve"> dự án</w:t>
      </w:r>
    </w:p>
    <w:p w14:paraId="1D288D0D" w14:textId="5A8F4A57" w:rsidR="00D11699" w:rsidRDefault="0043184E" w:rsidP="006C498B">
      <w:pPr>
        <w:tabs>
          <w:tab w:val="left" w:pos="567"/>
        </w:tabs>
        <w:spacing w:before="120" w:after="120" w:line="340" w:lineRule="atLeast"/>
        <w:jc w:val="both"/>
        <w:rPr>
          <w:sz w:val="26"/>
          <w:szCs w:val="26"/>
          <w:lang w:val="en-US"/>
        </w:rPr>
      </w:pPr>
      <w:r w:rsidRPr="006C498B">
        <w:rPr>
          <w:b/>
          <w:sz w:val="26"/>
          <w:szCs w:val="26"/>
          <w:lang w:val="en-US"/>
        </w:rPr>
        <w:tab/>
      </w:r>
      <w:r w:rsidR="00D11699" w:rsidRPr="00D11699">
        <w:rPr>
          <w:sz w:val="26"/>
          <w:szCs w:val="26"/>
          <w:lang w:val="en-US"/>
        </w:rPr>
        <w:t>Theo quy định hiện hành, giá trị đầu tư các dự án BT được thanh toán bằng giá trị quỹ đất đối ứng.</w:t>
      </w:r>
      <w:r w:rsidR="00D11699">
        <w:rPr>
          <w:sz w:val="26"/>
          <w:szCs w:val="26"/>
          <w:lang w:val="en-US"/>
        </w:rPr>
        <w:t xml:space="preserve"> Trong trường hợp không thanh toán đủ </w:t>
      </w:r>
      <w:r w:rsidR="001B57AB">
        <w:rPr>
          <w:sz w:val="26"/>
          <w:szCs w:val="26"/>
          <w:lang w:val="en-US"/>
        </w:rPr>
        <w:t xml:space="preserve">bằng quỹ đất đối ứng </w:t>
      </w:r>
      <w:r w:rsidR="00D11699">
        <w:rPr>
          <w:sz w:val="26"/>
          <w:szCs w:val="26"/>
          <w:lang w:val="en-US"/>
        </w:rPr>
        <w:t>thì nhà nước thanh toán bằng tiền</w:t>
      </w:r>
      <w:r w:rsidR="001B57AB">
        <w:rPr>
          <w:sz w:val="26"/>
          <w:szCs w:val="26"/>
          <w:lang w:val="en-US"/>
        </w:rPr>
        <w:t xml:space="preserve"> cho nhà đầu tư</w:t>
      </w:r>
      <w:r w:rsidR="00D11699">
        <w:rPr>
          <w:sz w:val="26"/>
          <w:szCs w:val="26"/>
          <w:lang w:val="en-US"/>
        </w:rPr>
        <w:t>.</w:t>
      </w:r>
    </w:p>
    <w:p w14:paraId="54B76665" w14:textId="0C4DFE0E" w:rsidR="00D11699" w:rsidRPr="006C498B" w:rsidRDefault="00D11699" w:rsidP="00D11699">
      <w:pPr>
        <w:tabs>
          <w:tab w:val="left" w:pos="567"/>
        </w:tabs>
        <w:spacing w:before="120" w:after="120" w:line="340" w:lineRule="atLeast"/>
        <w:ind w:firstLine="567"/>
        <w:jc w:val="both"/>
        <w:rPr>
          <w:sz w:val="26"/>
          <w:szCs w:val="26"/>
          <w:lang w:val="en-US"/>
        </w:rPr>
      </w:pPr>
      <w:r>
        <w:rPr>
          <w:sz w:val="26"/>
          <w:szCs w:val="26"/>
          <w:lang w:val="en-US"/>
        </w:rPr>
        <w:t>Tuy nhiên, một tình trạng khá phổ biến xảy ra đối với các dự án BT hiện nay là nhà đầu tư</w:t>
      </w:r>
      <w:r w:rsidRPr="006C498B">
        <w:rPr>
          <w:sz w:val="26"/>
          <w:szCs w:val="26"/>
          <w:lang w:val="en-US"/>
        </w:rPr>
        <w:t xml:space="preserve"> đã hoàn thành </w:t>
      </w:r>
      <w:r>
        <w:rPr>
          <w:sz w:val="26"/>
          <w:szCs w:val="26"/>
          <w:lang w:val="en-US"/>
        </w:rPr>
        <w:t xml:space="preserve">và bàn giao </w:t>
      </w:r>
      <w:r w:rsidRPr="006C498B">
        <w:rPr>
          <w:sz w:val="26"/>
          <w:szCs w:val="26"/>
          <w:lang w:val="en-US"/>
        </w:rPr>
        <w:t xml:space="preserve">công trình dự án theo thỏa thuận tại Hợp đồng </w:t>
      </w:r>
      <w:r>
        <w:rPr>
          <w:sz w:val="26"/>
          <w:szCs w:val="26"/>
          <w:lang w:val="en-US"/>
        </w:rPr>
        <w:t>dự án,</w:t>
      </w:r>
      <w:r w:rsidRPr="006C498B">
        <w:rPr>
          <w:sz w:val="26"/>
          <w:szCs w:val="26"/>
          <w:lang w:val="en-US"/>
        </w:rPr>
        <w:t xml:space="preserve"> nhưng cơ quan </w:t>
      </w:r>
      <w:r w:rsidR="001B57AB">
        <w:rPr>
          <w:sz w:val="26"/>
          <w:szCs w:val="26"/>
          <w:lang w:val="en-US"/>
        </w:rPr>
        <w:t>n</w:t>
      </w:r>
      <w:r w:rsidRPr="006C498B">
        <w:rPr>
          <w:sz w:val="26"/>
          <w:szCs w:val="26"/>
          <w:lang w:val="en-US"/>
        </w:rPr>
        <w:t xml:space="preserve">hà nước ký </w:t>
      </w:r>
      <w:r w:rsidR="001B57AB">
        <w:rPr>
          <w:sz w:val="26"/>
          <w:szCs w:val="26"/>
          <w:lang w:val="en-US"/>
        </w:rPr>
        <w:t xml:space="preserve">có thẩm quyền </w:t>
      </w:r>
      <w:r w:rsidRPr="006C498B">
        <w:rPr>
          <w:sz w:val="26"/>
          <w:szCs w:val="26"/>
          <w:lang w:val="en-US"/>
        </w:rPr>
        <w:t>Hợp đồng dự án vẫn</w:t>
      </w:r>
      <w:r>
        <w:rPr>
          <w:sz w:val="26"/>
          <w:szCs w:val="26"/>
          <w:lang w:val="en-US"/>
        </w:rPr>
        <w:t xml:space="preserve"> không sắp xếp được quỹ đất đối ứng cho nhà đầu tư</w:t>
      </w:r>
      <w:r w:rsidRPr="006C498B">
        <w:rPr>
          <w:sz w:val="26"/>
          <w:szCs w:val="26"/>
          <w:lang w:val="en-US"/>
        </w:rPr>
        <w:t>.</w:t>
      </w:r>
      <w:r w:rsidR="001B57AB">
        <w:rPr>
          <w:sz w:val="26"/>
          <w:szCs w:val="26"/>
          <w:lang w:val="en-US"/>
        </w:rPr>
        <w:t xml:space="preserve"> </w:t>
      </w:r>
      <w:r w:rsidRPr="006C498B">
        <w:rPr>
          <w:sz w:val="26"/>
          <w:szCs w:val="26"/>
          <w:lang w:val="en-US"/>
        </w:rPr>
        <w:t xml:space="preserve">Ngược lại, có không ít những dự án mà </w:t>
      </w:r>
      <w:r>
        <w:rPr>
          <w:sz w:val="26"/>
          <w:szCs w:val="26"/>
          <w:lang w:val="en-US"/>
        </w:rPr>
        <w:t>nhà đầu tư</w:t>
      </w:r>
      <w:r w:rsidRPr="006C498B">
        <w:rPr>
          <w:sz w:val="26"/>
          <w:szCs w:val="26"/>
          <w:lang w:val="en-US"/>
        </w:rPr>
        <w:t xml:space="preserve"> được nhận dự án/quỹ đất đối ứng ngay </w:t>
      </w:r>
      <w:r w:rsidR="001B57AB">
        <w:rPr>
          <w:sz w:val="26"/>
          <w:szCs w:val="26"/>
          <w:lang w:val="en-US"/>
        </w:rPr>
        <w:t xml:space="preserve">tại thời điểm dự án được phê duyệt </w:t>
      </w:r>
      <w:r w:rsidRPr="006C498B">
        <w:rPr>
          <w:sz w:val="26"/>
          <w:szCs w:val="26"/>
          <w:lang w:val="en-US"/>
        </w:rPr>
        <w:t xml:space="preserve">và đã </w:t>
      </w:r>
      <w:r w:rsidR="001B57AB">
        <w:rPr>
          <w:sz w:val="26"/>
          <w:szCs w:val="26"/>
          <w:lang w:val="en-US"/>
        </w:rPr>
        <w:t xml:space="preserve">khai thác dự án đối ứng, </w:t>
      </w:r>
      <w:r w:rsidRPr="006C498B">
        <w:rPr>
          <w:sz w:val="26"/>
          <w:szCs w:val="26"/>
          <w:lang w:val="en-US"/>
        </w:rPr>
        <w:t xml:space="preserve">nhưng </w:t>
      </w:r>
      <w:r>
        <w:rPr>
          <w:sz w:val="26"/>
          <w:szCs w:val="26"/>
          <w:lang w:val="en-US"/>
        </w:rPr>
        <w:t>dự án</w:t>
      </w:r>
      <w:r w:rsidR="001B57AB">
        <w:rPr>
          <w:sz w:val="26"/>
          <w:szCs w:val="26"/>
          <w:lang w:val="en-US"/>
        </w:rPr>
        <w:t xml:space="preserve"> BT</w:t>
      </w:r>
      <w:r>
        <w:rPr>
          <w:sz w:val="26"/>
          <w:szCs w:val="26"/>
          <w:lang w:val="en-US"/>
        </w:rPr>
        <w:t xml:space="preserve"> thì </w:t>
      </w:r>
      <w:r w:rsidR="001B57AB">
        <w:rPr>
          <w:sz w:val="26"/>
          <w:szCs w:val="26"/>
          <w:lang w:val="en-US"/>
        </w:rPr>
        <w:t xml:space="preserve">lại </w:t>
      </w:r>
      <w:r>
        <w:rPr>
          <w:sz w:val="26"/>
          <w:szCs w:val="26"/>
          <w:lang w:val="en-US"/>
        </w:rPr>
        <w:t xml:space="preserve">không được triển khai </w:t>
      </w:r>
      <w:r w:rsidR="001B57AB">
        <w:rPr>
          <w:sz w:val="26"/>
          <w:szCs w:val="26"/>
          <w:lang w:val="en-US"/>
        </w:rPr>
        <w:t xml:space="preserve">theo </w:t>
      </w:r>
      <w:r>
        <w:rPr>
          <w:sz w:val="26"/>
          <w:szCs w:val="26"/>
          <w:lang w:val="en-US"/>
        </w:rPr>
        <w:t>đúng tiến độ, gây thiệt hại rất lớn cho nhà nước. Một ví dụ điển hình là</w:t>
      </w:r>
      <w:r w:rsidRPr="006C498B">
        <w:rPr>
          <w:sz w:val="26"/>
          <w:szCs w:val="26"/>
          <w:lang w:val="en-US"/>
        </w:rPr>
        <w:t xml:space="preserve"> Dự án </w:t>
      </w:r>
      <w:r w:rsidRPr="006C498B">
        <w:rPr>
          <w:iCs/>
          <w:color w:val="000000"/>
          <w:sz w:val="26"/>
          <w:szCs w:val="26"/>
          <w:shd w:val="clear" w:color="auto" w:fill="FFFFFF"/>
        </w:rPr>
        <w:t xml:space="preserve">xây dựng tuyến đường Lê Đức Thọ đến </w:t>
      </w:r>
      <w:r>
        <w:rPr>
          <w:iCs/>
          <w:color w:val="000000"/>
          <w:sz w:val="26"/>
          <w:szCs w:val="26"/>
          <w:shd w:val="clear" w:color="auto" w:fill="FFFFFF"/>
          <w:lang w:val="en-US"/>
        </w:rPr>
        <w:t>Khu đô thị</w:t>
      </w:r>
      <w:r w:rsidRPr="006C498B">
        <w:rPr>
          <w:iCs/>
          <w:color w:val="000000"/>
          <w:sz w:val="26"/>
          <w:szCs w:val="26"/>
          <w:shd w:val="clear" w:color="auto" w:fill="FFFFFF"/>
        </w:rPr>
        <w:t xml:space="preserve"> mới Xuân Phương</w:t>
      </w:r>
      <w:r w:rsidR="001B57AB">
        <w:rPr>
          <w:iCs/>
          <w:color w:val="000000"/>
          <w:sz w:val="26"/>
          <w:szCs w:val="26"/>
          <w:shd w:val="clear" w:color="auto" w:fill="FFFFFF"/>
          <w:lang w:val="en-US"/>
        </w:rPr>
        <w:t>, nhà đầu tư đã khai thác quỹ đất đối ứng để xây nhà ở để bán nhưng công trình BT lại bị chậm tiến độ hàng chục năm không hoàn thành</w:t>
      </w:r>
      <w:r w:rsidRPr="006C498B">
        <w:rPr>
          <w:sz w:val="26"/>
          <w:szCs w:val="26"/>
          <w:lang w:val="en-US"/>
        </w:rPr>
        <w:t>. Mãi cho đến khi có cơ quan thanh tra các cấp vào cuộc, tuyến đường này mới được khởi động xây dựng.</w:t>
      </w:r>
      <w:r w:rsidRPr="00D11699">
        <w:rPr>
          <w:sz w:val="26"/>
          <w:szCs w:val="26"/>
          <w:lang w:val="en-US"/>
        </w:rPr>
        <w:t xml:space="preserve"> </w:t>
      </w:r>
    </w:p>
    <w:p w14:paraId="063F1554" w14:textId="69DD50E9" w:rsidR="000370AB" w:rsidRDefault="00D11699" w:rsidP="006C498B">
      <w:pPr>
        <w:tabs>
          <w:tab w:val="left" w:pos="567"/>
        </w:tabs>
        <w:spacing w:before="120" w:after="120" w:line="340" w:lineRule="atLeast"/>
        <w:jc w:val="both"/>
        <w:rPr>
          <w:sz w:val="26"/>
          <w:szCs w:val="26"/>
          <w:lang w:val="en-US"/>
        </w:rPr>
      </w:pPr>
      <w:r>
        <w:rPr>
          <w:sz w:val="26"/>
          <w:szCs w:val="26"/>
          <w:lang w:val="en-US"/>
        </w:rPr>
        <w:tab/>
      </w:r>
      <w:r w:rsidR="001B57AB">
        <w:rPr>
          <w:sz w:val="26"/>
          <w:szCs w:val="26"/>
          <w:lang w:val="en-US"/>
        </w:rPr>
        <w:t>Một tình trạng nữa đang x</w:t>
      </w:r>
      <w:r w:rsidR="00146B16">
        <w:rPr>
          <w:sz w:val="26"/>
          <w:szCs w:val="26"/>
          <w:lang w:val="en-US"/>
        </w:rPr>
        <w:t>ả</w:t>
      </w:r>
      <w:r w:rsidR="001B57AB">
        <w:rPr>
          <w:sz w:val="26"/>
          <w:szCs w:val="26"/>
          <w:lang w:val="en-US"/>
        </w:rPr>
        <w:t>y ra đ</w:t>
      </w:r>
      <w:r>
        <w:rPr>
          <w:sz w:val="26"/>
          <w:szCs w:val="26"/>
          <w:lang w:val="en-US"/>
        </w:rPr>
        <w:t xml:space="preserve">ối với </w:t>
      </w:r>
      <w:r w:rsidR="001B57AB">
        <w:rPr>
          <w:sz w:val="26"/>
          <w:szCs w:val="26"/>
          <w:lang w:val="en-US"/>
        </w:rPr>
        <w:t xml:space="preserve">các </w:t>
      </w:r>
      <w:r>
        <w:rPr>
          <w:sz w:val="26"/>
          <w:szCs w:val="26"/>
          <w:lang w:val="en-US"/>
        </w:rPr>
        <w:t xml:space="preserve">dự án </w:t>
      </w:r>
      <w:r w:rsidR="001B57AB">
        <w:rPr>
          <w:sz w:val="26"/>
          <w:szCs w:val="26"/>
          <w:lang w:val="en-US"/>
        </w:rPr>
        <w:t>BOT, BT là</w:t>
      </w:r>
      <w:r>
        <w:rPr>
          <w:sz w:val="26"/>
          <w:szCs w:val="26"/>
          <w:lang w:val="en-US"/>
        </w:rPr>
        <w:t xml:space="preserve"> nhà nước có cam kết thanh toán </w:t>
      </w:r>
      <w:r w:rsidR="001B57AB">
        <w:rPr>
          <w:sz w:val="26"/>
          <w:szCs w:val="26"/>
          <w:lang w:val="en-US"/>
        </w:rPr>
        <w:t xml:space="preserve">một phần hoặc toàn bộ </w:t>
      </w:r>
      <w:r>
        <w:rPr>
          <w:sz w:val="26"/>
          <w:szCs w:val="26"/>
          <w:lang w:val="en-US"/>
        </w:rPr>
        <w:t xml:space="preserve">giá trị đầu tư bằng tiền cho nhà đầu tư, nhưng nhà nước không bố trí được kinh phí để thanh toán. </w:t>
      </w:r>
      <w:r w:rsidR="0043184E" w:rsidRPr="006C498B">
        <w:rPr>
          <w:sz w:val="26"/>
          <w:szCs w:val="26"/>
          <w:lang w:val="en-US"/>
        </w:rPr>
        <w:t>Một ví dụ cụ thể là đường</w:t>
      </w:r>
      <w:r w:rsidR="0006402C" w:rsidRPr="006C498B">
        <w:rPr>
          <w:sz w:val="26"/>
          <w:szCs w:val="26"/>
          <w:lang w:val="en-US"/>
        </w:rPr>
        <w:t xml:space="preserve"> cao tốc Hải Phòng - </w:t>
      </w:r>
      <w:r w:rsidR="0043184E" w:rsidRPr="006C498B">
        <w:rPr>
          <w:sz w:val="26"/>
          <w:szCs w:val="26"/>
          <w:lang w:val="en-US"/>
        </w:rPr>
        <w:t>Hà Nội</w:t>
      </w:r>
      <w:r w:rsidR="00C778CB">
        <w:rPr>
          <w:sz w:val="26"/>
          <w:szCs w:val="26"/>
          <w:lang w:val="en-US"/>
        </w:rPr>
        <w:t>, theo thỏa thuận thì</w:t>
      </w:r>
      <w:r w:rsidR="0043184E" w:rsidRPr="006C498B">
        <w:rPr>
          <w:sz w:val="26"/>
          <w:szCs w:val="26"/>
          <w:lang w:val="en-US"/>
        </w:rPr>
        <w:t xml:space="preserve"> Nhà nước </w:t>
      </w:r>
      <w:r w:rsidR="00C778CB">
        <w:rPr>
          <w:sz w:val="26"/>
          <w:szCs w:val="26"/>
          <w:lang w:val="en-US"/>
        </w:rPr>
        <w:t xml:space="preserve">phải trả tiền giải phóng mặt bằng. Nhưng trên thực tế nhà đầu tư </w:t>
      </w:r>
      <w:r w:rsidR="0043184E" w:rsidRPr="006C498B">
        <w:rPr>
          <w:sz w:val="26"/>
          <w:szCs w:val="26"/>
          <w:lang w:val="en-US"/>
        </w:rPr>
        <w:t>phải ứng 4.000 tỷ đ</w:t>
      </w:r>
      <w:r w:rsidR="000370AB" w:rsidRPr="006C498B">
        <w:rPr>
          <w:sz w:val="26"/>
          <w:szCs w:val="26"/>
          <w:lang w:val="en-US"/>
        </w:rPr>
        <w:t>ồ</w:t>
      </w:r>
      <w:r w:rsidR="0043184E" w:rsidRPr="006C498B">
        <w:rPr>
          <w:sz w:val="26"/>
          <w:szCs w:val="26"/>
          <w:lang w:val="en-US"/>
        </w:rPr>
        <w:t>ng giải phóng mặt bằng, đến nay chưa được Chính phủ hoàn trả.</w:t>
      </w:r>
      <w:r w:rsidR="000370AB" w:rsidRPr="006C498B">
        <w:rPr>
          <w:sz w:val="26"/>
          <w:szCs w:val="26"/>
          <w:lang w:val="en-US"/>
        </w:rPr>
        <w:t xml:space="preserve"> Hàng tháng, </w:t>
      </w:r>
      <w:r w:rsidR="001B57AB">
        <w:rPr>
          <w:sz w:val="26"/>
          <w:szCs w:val="26"/>
          <w:lang w:val="en-US"/>
        </w:rPr>
        <w:t>nhà đầu tư đang</w:t>
      </w:r>
      <w:r w:rsidR="000370AB" w:rsidRPr="006C498B">
        <w:rPr>
          <w:sz w:val="26"/>
          <w:szCs w:val="26"/>
          <w:lang w:val="en-US"/>
        </w:rPr>
        <w:t xml:space="preserve"> phải cõng thêm một</w:t>
      </w:r>
      <w:r w:rsidR="001B57AB">
        <w:rPr>
          <w:sz w:val="26"/>
          <w:szCs w:val="26"/>
          <w:lang w:val="en-US"/>
        </w:rPr>
        <w:t xml:space="preserve"> </w:t>
      </w:r>
      <w:r w:rsidR="0043184E" w:rsidRPr="006C498B">
        <w:rPr>
          <w:sz w:val="26"/>
          <w:szCs w:val="26"/>
          <w:lang w:val="en-US"/>
        </w:rPr>
        <w:t xml:space="preserve">số tiền lãi rất lớn. </w:t>
      </w:r>
      <w:r>
        <w:rPr>
          <w:sz w:val="26"/>
          <w:szCs w:val="26"/>
          <w:lang w:val="en-US"/>
        </w:rPr>
        <w:t xml:space="preserve">Hay một ví dụ khác là dự án Nhà máy nước mặt Nam Sơn ở tỉnh Bắc Ninh. Nhà đầu tư đã hoàn thành giai đoạn 1 </w:t>
      </w:r>
      <w:r w:rsidR="001B57AB">
        <w:rPr>
          <w:sz w:val="26"/>
          <w:szCs w:val="26"/>
          <w:lang w:val="en-US"/>
        </w:rPr>
        <w:t xml:space="preserve">của dự án </w:t>
      </w:r>
      <w:r>
        <w:rPr>
          <w:sz w:val="26"/>
          <w:szCs w:val="26"/>
          <w:lang w:val="en-US"/>
        </w:rPr>
        <w:t xml:space="preserve">với giá trị quyết toán hơn 400 tỷ đồng, nhưng tỉnh </w:t>
      </w:r>
      <w:r w:rsidR="001B57AB">
        <w:rPr>
          <w:sz w:val="26"/>
          <w:szCs w:val="26"/>
          <w:lang w:val="en-US"/>
        </w:rPr>
        <w:t xml:space="preserve">Bắc Ninh </w:t>
      </w:r>
      <w:r>
        <w:rPr>
          <w:sz w:val="26"/>
          <w:szCs w:val="26"/>
          <w:lang w:val="en-US"/>
        </w:rPr>
        <w:t xml:space="preserve">mới thanh toán </w:t>
      </w:r>
      <w:r w:rsidR="001B57AB">
        <w:rPr>
          <w:sz w:val="26"/>
          <w:szCs w:val="26"/>
          <w:lang w:val="en-US"/>
        </w:rPr>
        <w:t xml:space="preserve">đối ứng </w:t>
      </w:r>
      <w:r>
        <w:rPr>
          <w:sz w:val="26"/>
          <w:szCs w:val="26"/>
          <w:lang w:val="en-US"/>
        </w:rPr>
        <w:t>được hơn 100 tỷ đồng, còn lại hơn 300 tỷ đồng chưa có quỹ đất phù hợp để đối ứng và</w:t>
      </w:r>
      <w:r w:rsidR="001B57AB">
        <w:rPr>
          <w:sz w:val="26"/>
          <w:szCs w:val="26"/>
          <w:lang w:val="en-US"/>
        </w:rPr>
        <w:t xml:space="preserve"> tỉnh </w:t>
      </w:r>
      <w:r>
        <w:rPr>
          <w:sz w:val="26"/>
          <w:szCs w:val="26"/>
          <w:lang w:val="en-US"/>
        </w:rPr>
        <w:t xml:space="preserve">cũng chưa </w:t>
      </w:r>
      <w:r w:rsidR="001B57AB">
        <w:rPr>
          <w:sz w:val="26"/>
          <w:szCs w:val="26"/>
          <w:lang w:val="en-US"/>
        </w:rPr>
        <w:t>bố trí được ngân sách để</w:t>
      </w:r>
      <w:r>
        <w:rPr>
          <w:sz w:val="26"/>
          <w:szCs w:val="26"/>
          <w:lang w:val="en-US"/>
        </w:rPr>
        <w:t xml:space="preserve"> thanh toán</w:t>
      </w:r>
      <w:r w:rsidR="00E0457D">
        <w:rPr>
          <w:sz w:val="26"/>
          <w:szCs w:val="26"/>
          <w:lang w:val="en-US"/>
        </w:rPr>
        <w:t xml:space="preserve">. </w:t>
      </w:r>
      <w:r w:rsidR="0043184E" w:rsidRPr="006C498B">
        <w:rPr>
          <w:sz w:val="26"/>
          <w:szCs w:val="26"/>
          <w:lang w:val="en-US"/>
        </w:rPr>
        <w:t xml:space="preserve">Việc </w:t>
      </w:r>
      <w:r w:rsidR="001B57AB">
        <w:rPr>
          <w:sz w:val="26"/>
          <w:szCs w:val="26"/>
          <w:lang w:val="en-US"/>
        </w:rPr>
        <w:t>chậm thanh toán giá trị công trình</w:t>
      </w:r>
      <w:r w:rsidR="0043184E" w:rsidRPr="006C498B">
        <w:rPr>
          <w:sz w:val="26"/>
          <w:szCs w:val="26"/>
          <w:lang w:val="en-US"/>
        </w:rPr>
        <w:t xml:space="preserve"> hạn </w:t>
      </w:r>
      <w:r w:rsidR="00E0457D">
        <w:rPr>
          <w:sz w:val="26"/>
          <w:szCs w:val="26"/>
          <w:lang w:val="en-US"/>
        </w:rPr>
        <w:t>đã gây thiệt hại rất lớn cho nhà đầu tư cũng như làm ảnh hưởng đến việc tiếp tục triển khai giai đoạn tiếp theo của Dự án.</w:t>
      </w:r>
    </w:p>
    <w:p w14:paraId="5D35D922" w14:textId="77777777" w:rsidR="00726157" w:rsidRDefault="001B57AB" w:rsidP="001B57AB">
      <w:pPr>
        <w:tabs>
          <w:tab w:val="left" w:pos="567"/>
        </w:tabs>
        <w:spacing w:before="120" w:after="120" w:line="340" w:lineRule="atLeast"/>
        <w:ind w:firstLine="567"/>
        <w:jc w:val="both"/>
        <w:rPr>
          <w:sz w:val="26"/>
          <w:szCs w:val="26"/>
          <w:lang w:val="en-US"/>
        </w:rPr>
      </w:pPr>
      <w:r>
        <w:rPr>
          <w:sz w:val="26"/>
          <w:szCs w:val="26"/>
          <w:lang w:val="en-US"/>
        </w:rPr>
        <w:t>Để giải quyết tình trạng nêu trên, Chính phủ cần nghiên cứu sửa đổi các quy định hiện hành về cơ chế thanh toán bằng quỹ đất đối ứng theo hướng nâng cao trách nhiệm của chính quyền địa phương trong việc bố trí quỹ đất đối ứng, giải phóng mặt bằng và kịp thời bàn giao đất cho nhà đầu tư ngay sau khi công trình được quyết toán, bàn giao và đưa vào sử dụng.</w:t>
      </w:r>
      <w:r w:rsidR="00726157">
        <w:rPr>
          <w:sz w:val="26"/>
          <w:szCs w:val="26"/>
          <w:lang w:val="en-US"/>
        </w:rPr>
        <w:t xml:space="preserve"> Trong trường hợp cơ quan nhà nước có thẩm quyền vi phạm cam kết với nhà đầu tư thì cần có biện pháp chế tài thỏa đáng, kể cả việc phải chịu phạt và bồi thường thiệt hại cho nhà đầu tư. Đồng thời cần nghiên cứu các cơ chế, giải pháp linh </w:t>
      </w:r>
      <w:r w:rsidR="00726157">
        <w:rPr>
          <w:sz w:val="26"/>
          <w:szCs w:val="26"/>
          <w:lang w:val="en-US"/>
        </w:rPr>
        <w:lastRenderedPageBreak/>
        <w:t xml:space="preserve">hoạt để đảm bảo quyền lợi cho nhà đầu tư trong trường hợp dự án BT bị chậm thanh toán hoặc không thể thanh toán bằng tiền hoặc bằng quỹ đất đối ứng. </w:t>
      </w:r>
    </w:p>
    <w:p w14:paraId="42B22313" w14:textId="52D24DB4" w:rsidR="000370AB" w:rsidRPr="006C498B" w:rsidRDefault="00726157" w:rsidP="00E0457D">
      <w:pPr>
        <w:tabs>
          <w:tab w:val="left" w:pos="567"/>
        </w:tabs>
        <w:spacing w:before="120" w:after="120" w:line="340" w:lineRule="atLeast"/>
        <w:ind w:left="630" w:hanging="630"/>
        <w:jc w:val="both"/>
        <w:rPr>
          <w:b/>
          <w:sz w:val="26"/>
          <w:szCs w:val="26"/>
          <w:lang w:val="en-US"/>
        </w:rPr>
      </w:pPr>
      <w:r>
        <w:rPr>
          <w:b/>
          <w:sz w:val="26"/>
          <w:szCs w:val="26"/>
          <w:lang w:val="en-US"/>
        </w:rPr>
        <w:tab/>
      </w:r>
      <w:r w:rsidR="000370AB" w:rsidRPr="006C498B">
        <w:rPr>
          <w:b/>
          <w:sz w:val="26"/>
          <w:szCs w:val="26"/>
        </w:rPr>
        <w:t xml:space="preserve">6. </w:t>
      </w:r>
      <w:r>
        <w:rPr>
          <w:b/>
          <w:sz w:val="26"/>
          <w:szCs w:val="26"/>
          <w:lang w:val="en-US"/>
        </w:rPr>
        <w:t>Vướng mắc v</w:t>
      </w:r>
      <w:r w:rsidR="00E0457D">
        <w:rPr>
          <w:b/>
          <w:sz w:val="26"/>
          <w:szCs w:val="26"/>
          <w:lang w:val="en-US"/>
        </w:rPr>
        <w:t>ề thời điểm và phương thức</w:t>
      </w:r>
      <w:r w:rsidR="000B13E9" w:rsidRPr="006C498B">
        <w:rPr>
          <w:b/>
          <w:sz w:val="26"/>
          <w:szCs w:val="26"/>
          <w:lang w:val="en-US"/>
        </w:rPr>
        <w:t xml:space="preserve"> </w:t>
      </w:r>
      <w:r w:rsidR="000370AB" w:rsidRPr="006C498B">
        <w:rPr>
          <w:b/>
          <w:sz w:val="26"/>
          <w:szCs w:val="26"/>
        </w:rPr>
        <w:t xml:space="preserve">xác định giá đất đối với </w:t>
      </w:r>
      <w:r>
        <w:rPr>
          <w:b/>
          <w:sz w:val="26"/>
          <w:szCs w:val="26"/>
          <w:lang w:val="en-US"/>
        </w:rPr>
        <w:t>q</w:t>
      </w:r>
      <w:r w:rsidR="000370AB" w:rsidRPr="006C498B">
        <w:rPr>
          <w:b/>
          <w:sz w:val="26"/>
          <w:szCs w:val="26"/>
        </w:rPr>
        <w:t>uỹ đất dùng để thanh toán đối ứng dự án BT</w:t>
      </w:r>
    </w:p>
    <w:p w14:paraId="35FEFC7E" w14:textId="10B13659" w:rsidR="00E0457D" w:rsidRDefault="00265A68" w:rsidP="006C498B">
      <w:pPr>
        <w:tabs>
          <w:tab w:val="left" w:pos="567"/>
        </w:tabs>
        <w:spacing w:before="120" w:after="120" w:line="340" w:lineRule="atLeast"/>
        <w:jc w:val="both"/>
        <w:rPr>
          <w:sz w:val="26"/>
          <w:szCs w:val="26"/>
          <w:lang w:val="en-US"/>
        </w:rPr>
      </w:pPr>
      <w:r w:rsidRPr="006C498B">
        <w:rPr>
          <w:b/>
          <w:sz w:val="26"/>
          <w:szCs w:val="26"/>
          <w:lang w:val="en-US"/>
        </w:rPr>
        <w:tab/>
      </w:r>
      <w:r w:rsidR="0048037F" w:rsidRPr="006C498B">
        <w:rPr>
          <w:sz w:val="26"/>
          <w:szCs w:val="26"/>
          <w:lang w:val="en-US"/>
        </w:rPr>
        <w:t>Việc x</w:t>
      </w:r>
      <w:r w:rsidR="000370AB" w:rsidRPr="006C498B">
        <w:rPr>
          <w:sz w:val="26"/>
          <w:szCs w:val="26"/>
          <w:lang w:val="en-US"/>
        </w:rPr>
        <w:t xml:space="preserve">ác định </w:t>
      </w:r>
      <w:r w:rsidR="00726157">
        <w:rPr>
          <w:sz w:val="26"/>
          <w:szCs w:val="26"/>
          <w:lang w:val="en-US"/>
        </w:rPr>
        <w:t>giá trị quỹ đất dùng để thanh toán đối ứng các dự án BT</w:t>
      </w:r>
      <w:r w:rsidR="000370AB" w:rsidRPr="006C498B">
        <w:rPr>
          <w:sz w:val="26"/>
          <w:szCs w:val="26"/>
          <w:lang w:val="en-US"/>
        </w:rPr>
        <w:t xml:space="preserve"> vào thời điểm nào </w:t>
      </w:r>
      <w:r w:rsidR="007440AC" w:rsidRPr="006C498B">
        <w:rPr>
          <w:sz w:val="26"/>
          <w:szCs w:val="26"/>
          <w:lang w:val="en-US"/>
        </w:rPr>
        <w:t xml:space="preserve">vừa </w:t>
      </w:r>
      <w:r w:rsidR="000370AB" w:rsidRPr="006C498B">
        <w:rPr>
          <w:sz w:val="26"/>
          <w:szCs w:val="26"/>
          <w:lang w:val="en-US"/>
        </w:rPr>
        <w:t xml:space="preserve">để đảm bảo </w:t>
      </w:r>
      <w:r w:rsidR="00E0457D">
        <w:rPr>
          <w:sz w:val="26"/>
          <w:szCs w:val="26"/>
          <w:lang w:val="en-US"/>
        </w:rPr>
        <w:t>quyền lợi của nhà đầu tư vừa đảm bảo đúng pháp luật cũng</w:t>
      </w:r>
      <w:r w:rsidR="0048037F" w:rsidRPr="006C498B">
        <w:rPr>
          <w:sz w:val="26"/>
          <w:szCs w:val="26"/>
          <w:lang w:val="en-US"/>
        </w:rPr>
        <w:t xml:space="preserve"> là một vấn đề </w:t>
      </w:r>
      <w:r w:rsidR="00726157">
        <w:rPr>
          <w:sz w:val="26"/>
          <w:szCs w:val="26"/>
          <w:lang w:val="en-US"/>
        </w:rPr>
        <w:t>vướng mắc hiện này. Xung quanh vấn đền này hiện tồn tại hai quan điểm khác nhau</w:t>
      </w:r>
      <w:r w:rsidR="00E0457D">
        <w:rPr>
          <w:sz w:val="26"/>
          <w:szCs w:val="26"/>
          <w:lang w:val="en-US"/>
        </w:rPr>
        <w:t>.</w:t>
      </w:r>
    </w:p>
    <w:p w14:paraId="68557FA2" w14:textId="3E4DF115" w:rsidR="00E0457D" w:rsidRDefault="00764483" w:rsidP="006C498B">
      <w:pPr>
        <w:tabs>
          <w:tab w:val="left" w:pos="567"/>
        </w:tabs>
        <w:spacing w:before="120" w:after="120" w:line="340" w:lineRule="atLeast"/>
        <w:jc w:val="both"/>
        <w:rPr>
          <w:sz w:val="26"/>
          <w:szCs w:val="26"/>
          <w:lang w:val="en-US"/>
        </w:rPr>
      </w:pPr>
      <w:r w:rsidRPr="006C498B">
        <w:rPr>
          <w:sz w:val="26"/>
          <w:szCs w:val="26"/>
          <w:lang w:val="en-US"/>
        </w:rPr>
        <w:tab/>
      </w:r>
      <w:r w:rsidRPr="004B4F95">
        <w:rPr>
          <w:i/>
          <w:sz w:val="26"/>
          <w:szCs w:val="26"/>
          <w:lang w:val="en-US"/>
        </w:rPr>
        <w:t>Quan điểm thứ nhất</w:t>
      </w:r>
      <w:r w:rsidRPr="006C498B">
        <w:rPr>
          <w:sz w:val="26"/>
          <w:szCs w:val="26"/>
          <w:lang w:val="en-US"/>
        </w:rPr>
        <w:t xml:space="preserve"> cho rằn</w:t>
      </w:r>
      <w:r w:rsidR="00726157">
        <w:rPr>
          <w:sz w:val="26"/>
          <w:szCs w:val="26"/>
          <w:lang w:val="en-US"/>
        </w:rPr>
        <w:t>g cần phải xác định giá đất của q</w:t>
      </w:r>
      <w:r w:rsidRPr="006C498B">
        <w:rPr>
          <w:sz w:val="26"/>
          <w:szCs w:val="26"/>
          <w:lang w:val="en-US"/>
        </w:rPr>
        <w:t xml:space="preserve">uỹ đất dùng </w:t>
      </w:r>
      <w:r w:rsidR="00726157">
        <w:rPr>
          <w:sz w:val="26"/>
          <w:szCs w:val="26"/>
          <w:lang w:val="en-US"/>
        </w:rPr>
        <w:t>để t</w:t>
      </w:r>
      <w:r w:rsidRPr="006C498B">
        <w:rPr>
          <w:sz w:val="26"/>
          <w:szCs w:val="26"/>
          <w:lang w:val="en-US"/>
        </w:rPr>
        <w:t xml:space="preserve">hanh toán đối ứng dự án BT </w:t>
      </w:r>
      <w:r w:rsidR="00E0457D">
        <w:rPr>
          <w:sz w:val="26"/>
          <w:szCs w:val="26"/>
          <w:lang w:val="en-US"/>
        </w:rPr>
        <w:t xml:space="preserve">tại thời điểm </w:t>
      </w:r>
      <w:r w:rsidRPr="006C498B">
        <w:rPr>
          <w:sz w:val="26"/>
          <w:szCs w:val="26"/>
          <w:lang w:val="en-US"/>
        </w:rPr>
        <w:t xml:space="preserve">phê duyệt dự án BT để đảm bảo quyền lợi cho </w:t>
      </w:r>
      <w:r w:rsidR="000F16B9">
        <w:rPr>
          <w:sz w:val="26"/>
          <w:szCs w:val="26"/>
          <w:lang w:val="en-US"/>
        </w:rPr>
        <w:t>nhà đầu tư</w:t>
      </w:r>
      <w:r w:rsidRPr="006C498B">
        <w:rPr>
          <w:sz w:val="26"/>
          <w:szCs w:val="26"/>
          <w:lang w:val="en-US"/>
        </w:rPr>
        <w:t xml:space="preserve">. Nếu </w:t>
      </w:r>
      <w:r w:rsidR="00726157">
        <w:rPr>
          <w:sz w:val="26"/>
          <w:szCs w:val="26"/>
          <w:lang w:val="en-US"/>
        </w:rPr>
        <w:t>đợi đến khi</w:t>
      </w:r>
      <w:r w:rsidRPr="006C498B">
        <w:rPr>
          <w:sz w:val="26"/>
          <w:szCs w:val="26"/>
          <w:lang w:val="en-US"/>
        </w:rPr>
        <w:t xml:space="preserve"> </w:t>
      </w:r>
      <w:r w:rsidR="00E0457D">
        <w:rPr>
          <w:sz w:val="26"/>
          <w:szCs w:val="26"/>
          <w:lang w:val="en-US"/>
        </w:rPr>
        <w:t>hoàn thành và quyết toán dự án BT mới xác định</w:t>
      </w:r>
      <w:r w:rsidR="00726157">
        <w:rPr>
          <w:sz w:val="26"/>
          <w:szCs w:val="26"/>
          <w:lang w:val="en-US"/>
        </w:rPr>
        <w:t xml:space="preserve"> giá</w:t>
      </w:r>
      <w:r w:rsidR="00E0457D">
        <w:rPr>
          <w:sz w:val="26"/>
          <w:szCs w:val="26"/>
          <w:lang w:val="en-US"/>
        </w:rPr>
        <w:t xml:space="preserve"> trị quỹ đất đối ứng </w:t>
      </w:r>
      <w:r w:rsidR="00726157">
        <w:rPr>
          <w:sz w:val="26"/>
          <w:szCs w:val="26"/>
          <w:lang w:val="en-US"/>
        </w:rPr>
        <w:t>trong điều kiện giá</w:t>
      </w:r>
      <w:r w:rsidRPr="006C498B">
        <w:rPr>
          <w:sz w:val="26"/>
          <w:szCs w:val="26"/>
          <w:lang w:val="en-US"/>
        </w:rPr>
        <w:t xml:space="preserve"> đất</w:t>
      </w:r>
      <w:r w:rsidR="00726157">
        <w:rPr>
          <w:sz w:val="26"/>
          <w:szCs w:val="26"/>
          <w:lang w:val="en-US"/>
        </w:rPr>
        <w:t xml:space="preserve"> trên thị</w:t>
      </w:r>
      <w:r w:rsidR="00E0457D">
        <w:rPr>
          <w:sz w:val="26"/>
          <w:szCs w:val="26"/>
          <w:lang w:val="en-US"/>
        </w:rPr>
        <w:t xml:space="preserve"> thường </w:t>
      </w:r>
      <w:r w:rsidR="00726157">
        <w:rPr>
          <w:sz w:val="26"/>
          <w:szCs w:val="26"/>
          <w:lang w:val="en-US"/>
        </w:rPr>
        <w:t>thường có</w:t>
      </w:r>
      <w:r w:rsidR="00E0457D">
        <w:rPr>
          <w:sz w:val="26"/>
          <w:szCs w:val="26"/>
          <w:lang w:val="en-US"/>
        </w:rPr>
        <w:t xml:space="preserve"> xu hướng tăng sẽ </w:t>
      </w:r>
      <w:r w:rsidR="00726157">
        <w:rPr>
          <w:sz w:val="26"/>
          <w:szCs w:val="26"/>
          <w:lang w:val="en-US"/>
        </w:rPr>
        <w:t>khiến nhà đầu tư bị thiệt hại. Thực tế này đã x</w:t>
      </w:r>
      <w:r w:rsidR="00B0675B">
        <w:rPr>
          <w:sz w:val="26"/>
          <w:szCs w:val="26"/>
          <w:lang w:val="en-US"/>
        </w:rPr>
        <w:t>ả</w:t>
      </w:r>
      <w:r w:rsidR="00726157">
        <w:rPr>
          <w:sz w:val="26"/>
          <w:szCs w:val="26"/>
          <w:lang w:val="en-US"/>
        </w:rPr>
        <w:t>y ra tại rất nhiều dự án BT thời gian qua</w:t>
      </w:r>
      <w:r w:rsidR="00E0457D">
        <w:rPr>
          <w:sz w:val="26"/>
          <w:szCs w:val="26"/>
          <w:lang w:val="en-US"/>
        </w:rPr>
        <w:t>.</w:t>
      </w:r>
    </w:p>
    <w:p w14:paraId="22363D88" w14:textId="77777777" w:rsidR="00726157" w:rsidRDefault="00FB308B" w:rsidP="006C498B">
      <w:pPr>
        <w:tabs>
          <w:tab w:val="left" w:pos="567"/>
        </w:tabs>
        <w:spacing w:before="120" w:after="120" w:line="340" w:lineRule="atLeast"/>
        <w:jc w:val="both"/>
        <w:rPr>
          <w:sz w:val="26"/>
          <w:szCs w:val="26"/>
          <w:lang w:val="en-US"/>
        </w:rPr>
      </w:pPr>
      <w:r w:rsidRPr="006C498B">
        <w:rPr>
          <w:sz w:val="26"/>
          <w:szCs w:val="26"/>
          <w:lang w:val="en-US"/>
        </w:rPr>
        <w:tab/>
      </w:r>
      <w:r w:rsidR="00764483" w:rsidRPr="004B4F95">
        <w:rPr>
          <w:i/>
          <w:sz w:val="26"/>
          <w:szCs w:val="26"/>
          <w:lang w:val="en-US"/>
        </w:rPr>
        <w:t>Quan</w:t>
      </w:r>
      <w:r w:rsidR="007440AC" w:rsidRPr="004B4F95">
        <w:rPr>
          <w:i/>
          <w:sz w:val="26"/>
          <w:szCs w:val="26"/>
          <w:lang w:val="en-US"/>
        </w:rPr>
        <w:t xml:space="preserve"> điểm thứ hai</w:t>
      </w:r>
      <w:r w:rsidR="007440AC" w:rsidRPr="006C498B">
        <w:rPr>
          <w:sz w:val="26"/>
          <w:szCs w:val="26"/>
          <w:lang w:val="en-US"/>
        </w:rPr>
        <w:t xml:space="preserve"> cho rằng giá đất</w:t>
      </w:r>
      <w:r w:rsidR="00E0457D" w:rsidRPr="00E0457D">
        <w:rPr>
          <w:sz w:val="26"/>
          <w:szCs w:val="26"/>
          <w:lang w:val="en-US"/>
        </w:rPr>
        <w:t xml:space="preserve"> </w:t>
      </w:r>
      <w:r w:rsidR="00E0457D" w:rsidRPr="006C498B">
        <w:rPr>
          <w:sz w:val="26"/>
          <w:szCs w:val="26"/>
          <w:lang w:val="en-US"/>
        </w:rPr>
        <w:t xml:space="preserve">đối với </w:t>
      </w:r>
      <w:r w:rsidR="00E0457D">
        <w:rPr>
          <w:sz w:val="26"/>
          <w:szCs w:val="26"/>
          <w:lang w:val="en-US"/>
        </w:rPr>
        <w:t>q</w:t>
      </w:r>
      <w:r w:rsidR="00E0457D" w:rsidRPr="006C498B">
        <w:rPr>
          <w:sz w:val="26"/>
          <w:szCs w:val="26"/>
          <w:lang w:val="en-US"/>
        </w:rPr>
        <w:t xml:space="preserve">uỹ đất thanh toán đối ứng </w:t>
      </w:r>
      <w:r w:rsidR="00E0457D">
        <w:rPr>
          <w:sz w:val="26"/>
          <w:szCs w:val="26"/>
          <w:lang w:val="en-US"/>
        </w:rPr>
        <w:t>được xác</w:t>
      </w:r>
      <w:r w:rsidR="00764483" w:rsidRPr="006C498B">
        <w:rPr>
          <w:sz w:val="26"/>
          <w:szCs w:val="26"/>
          <w:lang w:val="en-US"/>
        </w:rPr>
        <w:t xml:space="preserve"> định sau khi </w:t>
      </w:r>
      <w:r w:rsidR="00E0457D">
        <w:rPr>
          <w:sz w:val="26"/>
          <w:szCs w:val="26"/>
          <w:lang w:val="en-US"/>
        </w:rPr>
        <w:t>dự án BT đã hoàn thành như cách làm hiện nay là hợp lý.</w:t>
      </w:r>
      <w:r w:rsidR="00952D53">
        <w:rPr>
          <w:sz w:val="26"/>
          <w:szCs w:val="26"/>
          <w:lang w:val="en-US"/>
        </w:rPr>
        <w:t xml:space="preserve"> Vì khi đó mới có căn cứ làm phát sinh nghĩa vụ thanh toán của nhà nước với nhà đầu tư. </w:t>
      </w:r>
      <w:r w:rsidRPr="006C498B">
        <w:rPr>
          <w:sz w:val="26"/>
          <w:szCs w:val="26"/>
          <w:lang w:val="en-US"/>
        </w:rPr>
        <w:t xml:space="preserve">Nếu xác định giá đất đối với </w:t>
      </w:r>
      <w:r w:rsidR="00726157">
        <w:rPr>
          <w:sz w:val="26"/>
          <w:szCs w:val="26"/>
          <w:lang w:val="en-US"/>
        </w:rPr>
        <w:t>q</w:t>
      </w:r>
      <w:r w:rsidRPr="006C498B">
        <w:rPr>
          <w:sz w:val="26"/>
          <w:szCs w:val="26"/>
          <w:lang w:val="en-US"/>
        </w:rPr>
        <w:t xml:space="preserve">uỹ đất </w:t>
      </w:r>
      <w:r w:rsidR="00726157">
        <w:rPr>
          <w:sz w:val="26"/>
          <w:szCs w:val="26"/>
          <w:lang w:val="en-US"/>
        </w:rPr>
        <w:t xml:space="preserve">đối ứng </w:t>
      </w:r>
      <w:r w:rsidRPr="006C498B">
        <w:rPr>
          <w:sz w:val="26"/>
          <w:szCs w:val="26"/>
          <w:lang w:val="en-US"/>
        </w:rPr>
        <w:t xml:space="preserve">ngay khi </w:t>
      </w:r>
      <w:r w:rsidR="00726157">
        <w:rPr>
          <w:sz w:val="26"/>
          <w:szCs w:val="26"/>
          <w:lang w:val="en-US"/>
        </w:rPr>
        <w:t>dự án BT được</w:t>
      </w:r>
      <w:r w:rsidRPr="006C498B">
        <w:rPr>
          <w:sz w:val="26"/>
          <w:szCs w:val="26"/>
          <w:lang w:val="en-US"/>
        </w:rPr>
        <w:t xml:space="preserve"> phê duyệt </w:t>
      </w:r>
      <w:r w:rsidR="00726157">
        <w:rPr>
          <w:sz w:val="26"/>
          <w:szCs w:val="26"/>
          <w:lang w:val="en-US"/>
        </w:rPr>
        <w:t>thì nhà đầu tư sẽ được hưởng lợi</w:t>
      </w:r>
      <w:r w:rsidRPr="006C498B">
        <w:rPr>
          <w:sz w:val="26"/>
          <w:szCs w:val="26"/>
          <w:lang w:val="en-US"/>
        </w:rPr>
        <w:t xml:space="preserve">. </w:t>
      </w:r>
      <w:r w:rsidR="00726157">
        <w:rPr>
          <w:sz w:val="26"/>
          <w:szCs w:val="26"/>
          <w:lang w:val="en-US"/>
        </w:rPr>
        <w:t>Hơn nữa, nhà đầu tư</w:t>
      </w:r>
      <w:r w:rsidR="00952D53">
        <w:rPr>
          <w:sz w:val="26"/>
          <w:szCs w:val="26"/>
          <w:lang w:val="en-US"/>
        </w:rPr>
        <w:t xml:space="preserve"> sẽ không còn động lực để đẩy nhanh tiến độ triển khai dự án. </w:t>
      </w:r>
    </w:p>
    <w:p w14:paraId="5438C9CD" w14:textId="0725BE4B" w:rsidR="00FB308B" w:rsidRPr="006C498B" w:rsidRDefault="00726157" w:rsidP="006C498B">
      <w:pPr>
        <w:tabs>
          <w:tab w:val="left" w:pos="567"/>
        </w:tabs>
        <w:spacing w:before="120" w:after="120" w:line="340" w:lineRule="atLeast"/>
        <w:jc w:val="both"/>
        <w:rPr>
          <w:sz w:val="26"/>
          <w:szCs w:val="26"/>
          <w:lang w:val="en-US"/>
        </w:rPr>
      </w:pPr>
      <w:r>
        <w:rPr>
          <w:sz w:val="26"/>
          <w:szCs w:val="26"/>
          <w:lang w:val="en-US"/>
        </w:rPr>
        <w:tab/>
      </w:r>
      <w:r w:rsidR="00952D53">
        <w:rPr>
          <w:sz w:val="26"/>
          <w:szCs w:val="26"/>
          <w:lang w:val="en-US"/>
        </w:rPr>
        <w:t xml:space="preserve">Trên thực tế, các địa phương hiện nay đang có những cách làm khác nhau. </w:t>
      </w:r>
      <w:r w:rsidR="00FB308B" w:rsidRPr="006C498B">
        <w:rPr>
          <w:sz w:val="26"/>
          <w:szCs w:val="26"/>
          <w:lang w:val="en-US"/>
        </w:rPr>
        <w:t xml:space="preserve">Hà Nội và </w:t>
      </w:r>
      <w:r>
        <w:rPr>
          <w:sz w:val="26"/>
          <w:szCs w:val="26"/>
          <w:lang w:val="en-US"/>
        </w:rPr>
        <w:t>một số địa phương khác vẫn áp dụng phương thức</w:t>
      </w:r>
      <w:r w:rsidR="00FB308B" w:rsidRPr="006C498B">
        <w:rPr>
          <w:sz w:val="26"/>
          <w:szCs w:val="26"/>
          <w:lang w:val="en-US"/>
        </w:rPr>
        <w:t xml:space="preserve"> đổi </w:t>
      </w:r>
      <w:r w:rsidR="00952D53">
        <w:rPr>
          <w:sz w:val="26"/>
          <w:szCs w:val="26"/>
          <w:lang w:val="en-US"/>
        </w:rPr>
        <w:t>d</w:t>
      </w:r>
      <w:r w:rsidR="00FB308B" w:rsidRPr="006C498B">
        <w:rPr>
          <w:sz w:val="26"/>
          <w:szCs w:val="26"/>
          <w:lang w:val="en-US"/>
        </w:rPr>
        <w:t>ự án lấy hạ tầng</w:t>
      </w:r>
      <w:r w:rsidR="00952D53">
        <w:rPr>
          <w:sz w:val="26"/>
          <w:szCs w:val="26"/>
          <w:lang w:val="en-US"/>
        </w:rPr>
        <w:t xml:space="preserve">. </w:t>
      </w:r>
      <w:r>
        <w:rPr>
          <w:sz w:val="26"/>
          <w:szCs w:val="26"/>
          <w:lang w:val="en-US"/>
        </w:rPr>
        <w:t xml:space="preserve">Tuy nhiên, công tác phê duyệt dự án đối ứng, giải phóng mặt bằng và giao đất đố ứng cho nhà đầu tư đã có nhiều cải thiện trong thời gian qua nên phần nào đã hạn chế được tình trạng chậm đối ứng cho nhà đầu tư. </w:t>
      </w:r>
      <w:r w:rsidR="00952D53">
        <w:rPr>
          <w:sz w:val="26"/>
          <w:szCs w:val="26"/>
          <w:lang w:val="en-US"/>
        </w:rPr>
        <w:t xml:space="preserve">Trong khi đó, </w:t>
      </w:r>
      <w:r w:rsidR="00FB308B" w:rsidRPr="006C498B">
        <w:rPr>
          <w:sz w:val="26"/>
          <w:szCs w:val="26"/>
          <w:lang w:val="en-US"/>
        </w:rPr>
        <w:t xml:space="preserve">thành phố Hồ Chí Minh </w:t>
      </w:r>
      <w:r>
        <w:rPr>
          <w:sz w:val="26"/>
          <w:szCs w:val="26"/>
          <w:lang w:val="en-US"/>
        </w:rPr>
        <w:t xml:space="preserve">lại đang </w:t>
      </w:r>
      <w:r w:rsidR="00FB308B" w:rsidRPr="006C498B">
        <w:rPr>
          <w:sz w:val="26"/>
          <w:szCs w:val="26"/>
          <w:lang w:val="en-US"/>
        </w:rPr>
        <w:t xml:space="preserve">triển khai theo hình thức bán đấu giá quỹ đất lấy tiền thanh toán công trình BT cho </w:t>
      </w:r>
      <w:r w:rsidR="00952D53">
        <w:rPr>
          <w:sz w:val="26"/>
          <w:szCs w:val="26"/>
          <w:lang w:val="en-US"/>
        </w:rPr>
        <w:t xml:space="preserve">nhà đầu tư. Theo quan điểm của chúng tôi, cách làm như của </w:t>
      </w:r>
      <w:r>
        <w:rPr>
          <w:sz w:val="26"/>
          <w:szCs w:val="26"/>
          <w:lang w:val="en-US"/>
        </w:rPr>
        <w:t>t</w:t>
      </w:r>
      <w:r w:rsidR="00952D53">
        <w:rPr>
          <w:sz w:val="26"/>
          <w:szCs w:val="26"/>
          <w:lang w:val="en-US"/>
        </w:rPr>
        <w:t>hành phố Hồ Chí Minh là đảm bảo sự công bằng, minh bạch</w:t>
      </w:r>
      <w:r>
        <w:rPr>
          <w:sz w:val="26"/>
          <w:szCs w:val="26"/>
          <w:lang w:val="en-US"/>
        </w:rPr>
        <w:t>, hạn chế tiêu cực trong các dự án BT</w:t>
      </w:r>
      <w:r w:rsidR="00952D53">
        <w:rPr>
          <w:sz w:val="26"/>
          <w:szCs w:val="26"/>
          <w:lang w:val="en-US"/>
        </w:rPr>
        <w:t xml:space="preserve"> và cần được nghiên cứu để nhân rộng ra cả nước</w:t>
      </w:r>
      <w:r w:rsidR="00FB308B" w:rsidRPr="006C498B">
        <w:rPr>
          <w:sz w:val="26"/>
          <w:szCs w:val="26"/>
          <w:lang w:val="en-US"/>
        </w:rPr>
        <w:t>.</w:t>
      </w:r>
    </w:p>
    <w:p w14:paraId="0010357B" w14:textId="7A579B01" w:rsidR="00590403" w:rsidRPr="00952D53" w:rsidRDefault="00FB308B" w:rsidP="00952D53">
      <w:pPr>
        <w:tabs>
          <w:tab w:val="left" w:pos="567"/>
        </w:tabs>
        <w:spacing w:before="120" w:after="120" w:line="340" w:lineRule="atLeast"/>
        <w:ind w:left="540" w:hanging="540"/>
        <w:jc w:val="both"/>
        <w:rPr>
          <w:b/>
          <w:sz w:val="26"/>
          <w:szCs w:val="26"/>
          <w:lang w:val="en-US"/>
        </w:rPr>
      </w:pPr>
      <w:r w:rsidRPr="006C498B">
        <w:rPr>
          <w:sz w:val="26"/>
          <w:szCs w:val="26"/>
          <w:lang w:val="en-US"/>
        </w:rPr>
        <w:tab/>
      </w:r>
      <w:r w:rsidR="00952D53">
        <w:rPr>
          <w:b/>
          <w:sz w:val="26"/>
          <w:szCs w:val="26"/>
          <w:lang w:val="en-US"/>
        </w:rPr>
        <w:t xml:space="preserve">7. </w:t>
      </w:r>
      <w:r w:rsidR="00590403" w:rsidRPr="006C498B">
        <w:rPr>
          <w:b/>
          <w:sz w:val="26"/>
          <w:szCs w:val="26"/>
        </w:rPr>
        <w:t>Vướng mắc trong việc xác định mức phí và thời hạn</w:t>
      </w:r>
      <w:r w:rsidR="00952D53">
        <w:rPr>
          <w:b/>
          <w:sz w:val="26"/>
          <w:szCs w:val="26"/>
        </w:rPr>
        <w:t xml:space="preserve"> thu phí đối với các dự án BOT</w:t>
      </w:r>
    </w:p>
    <w:p w14:paraId="08E05EF8" w14:textId="3E00D642" w:rsidR="00590403" w:rsidRPr="006C498B" w:rsidRDefault="00590403" w:rsidP="006C498B">
      <w:pPr>
        <w:tabs>
          <w:tab w:val="left" w:pos="567"/>
        </w:tabs>
        <w:spacing w:before="120" w:after="120" w:line="340" w:lineRule="atLeast"/>
        <w:jc w:val="both"/>
        <w:rPr>
          <w:sz w:val="26"/>
          <w:szCs w:val="26"/>
          <w:lang w:val="en-US"/>
        </w:rPr>
      </w:pPr>
      <w:r w:rsidRPr="006C498B">
        <w:rPr>
          <w:sz w:val="26"/>
          <w:szCs w:val="26"/>
          <w:lang w:val="en-US"/>
        </w:rPr>
        <w:tab/>
      </w:r>
      <w:r w:rsidR="00952D53">
        <w:rPr>
          <w:sz w:val="26"/>
          <w:szCs w:val="26"/>
          <w:lang w:val="en-US"/>
        </w:rPr>
        <w:t>Đ</w:t>
      </w:r>
      <w:r w:rsidRPr="006C498B">
        <w:rPr>
          <w:sz w:val="26"/>
          <w:szCs w:val="26"/>
          <w:lang w:val="en-US"/>
        </w:rPr>
        <w:t xml:space="preserve">ối với các dự án </w:t>
      </w:r>
      <w:r w:rsidR="00952D53">
        <w:rPr>
          <w:sz w:val="26"/>
          <w:szCs w:val="26"/>
          <w:lang w:val="en-US"/>
        </w:rPr>
        <w:t>BOT trong lĩnh vực giao thông đường bộ</w:t>
      </w:r>
      <w:r w:rsidRPr="006C498B">
        <w:rPr>
          <w:sz w:val="26"/>
          <w:szCs w:val="26"/>
          <w:lang w:val="en-US"/>
        </w:rPr>
        <w:t xml:space="preserve">, </w:t>
      </w:r>
      <w:r w:rsidR="003D1112" w:rsidRPr="006C498B">
        <w:rPr>
          <w:sz w:val="26"/>
          <w:szCs w:val="26"/>
          <w:lang w:val="en-US"/>
        </w:rPr>
        <w:t xml:space="preserve">mức </w:t>
      </w:r>
      <w:r w:rsidR="00952D53">
        <w:rPr>
          <w:sz w:val="26"/>
          <w:szCs w:val="26"/>
          <w:lang w:val="en-US"/>
        </w:rPr>
        <w:t xml:space="preserve">thu </w:t>
      </w:r>
      <w:r w:rsidR="003D1112" w:rsidRPr="006C498B">
        <w:rPr>
          <w:sz w:val="26"/>
          <w:szCs w:val="26"/>
          <w:lang w:val="en-US"/>
        </w:rPr>
        <w:t xml:space="preserve">phí được </w:t>
      </w:r>
      <w:r w:rsidR="00952D53">
        <w:rPr>
          <w:sz w:val="26"/>
          <w:szCs w:val="26"/>
          <w:lang w:val="en-US"/>
        </w:rPr>
        <w:t xml:space="preserve">quy định </w:t>
      </w:r>
      <w:r w:rsidR="003D1112" w:rsidRPr="006C498B">
        <w:rPr>
          <w:sz w:val="26"/>
          <w:szCs w:val="26"/>
          <w:lang w:val="en-US"/>
        </w:rPr>
        <w:t>T</w:t>
      </w:r>
      <w:r w:rsidRPr="006C498B">
        <w:rPr>
          <w:sz w:val="26"/>
          <w:szCs w:val="26"/>
          <w:lang w:val="en-US"/>
        </w:rPr>
        <w:t>hông tư 35/2016/TT-BGTVT ngày 15/11/2016</w:t>
      </w:r>
      <w:r w:rsidR="009D5B86" w:rsidRPr="006C498B">
        <w:rPr>
          <w:sz w:val="26"/>
          <w:szCs w:val="26"/>
          <w:lang w:val="en-US"/>
        </w:rPr>
        <w:t xml:space="preserve"> </w:t>
      </w:r>
      <w:r w:rsidR="00952D53">
        <w:rPr>
          <w:iCs/>
          <w:color w:val="000000"/>
          <w:sz w:val="26"/>
          <w:szCs w:val="26"/>
          <w:shd w:val="clear" w:color="auto" w:fill="FFFFFF"/>
          <w:lang w:val="en-US"/>
        </w:rPr>
        <w:t>(</w:t>
      </w:r>
      <w:r w:rsidR="009D5B86" w:rsidRPr="000F16B9">
        <w:rPr>
          <w:iCs/>
          <w:color w:val="000000"/>
          <w:sz w:val="26"/>
          <w:szCs w:val="26"/>
          <w:shd w:val="clear" w:color="auto" w:fill="FFFFFF"/>
          <w:lang w:val="en-US"/>
        </w:rPr>
        <w:t>Thông tư 35/2016)</w:t>
      </w:r>
      <w:r w:rsidRPr="006C498B">
        <w:rPr>
          <w:sz w:val="26"/>
          <w:szCs w:val="26"/>
          <w:lang w:val="en-US"/>
        </w:rPr>
        <w:t xml:space="preserve">. Tuy nhiên, mức phí trong </w:t>
      </w:r>
      <w:r w:rsidR="009D5B86" w:rsidRPr="006C498B">
        <w:rPr>
          <w:sz w:val="26"/>
          <w:szCs w:val="26"/>
          <w:lang w:val="en-US"/>
        </w:rPr>
        <w:t>T</w:t>
      </w:r>
      <w:r w:rsidRPr="006C498B">
        <w:rPr>
          <w:sz w:val="26"/>
          <w:szCs w:val="26"/>
          <w:lang w:val="en-US"/>
        </w:rPr>
        <w:t xml:space="preserve">hông tư </w:t>
      </w:r>
      <w:r w:rsidR="00726157">
        <w:rPr>
          <w:sz w:val="26"/>
          <w:szCs w:val="26"/>
          <w:lang w:val="en-US"/>
        </w:rPr>
        <w:t xml:space="preserve">35/2016 </w:t>
      </w:r>
      <w:r w:rsidRPr="006C498B">
        <w:rPr>
          <w:sz w:val="26"/>
          <w:szCs w:val="26"/>
          <w:lang w:val="en-US"/>
        </w:rPr>
        <w:t>được xác định dự</w:t>
      </w:r>
      <w:r w:rsidR="00543460">
        <w:rPr>
          <w:sz w:val="26"/>
          <w:szCs w:val="26"/>
          <w:lang w:val="en-US"/>
        </w:rPr>
        <w:t>a</w:t>
      </w:r>
      <w:r w:rsidRPr="006C498B">
        <w:rPr>
          <w:sz w:val="26"/>
          <w:szCs w:val="26"/>
          <w:lang w:val="en-US"/>
        </w:rPr>
        <w:t xml:space="preserve"> trên suất đầu tư dự án xây dựng đường, nên không phù hợp với các công trình đặc thù có tổng mức đầu tư cao như: hầm giao thông, cầu... dẫn đến phương án tài chính của các dự án đầu tư hầm, cầu</w:t>
      </w:r>
      <w:r w:rsidR="00543460">
        <w:rPr>
          <w:sz w:val="26"/>
          <w:szCs w:val="26"/>
          <w:lang w:val="en-US"/>
        </w:rPr>
        <w:t xml:space="preserve">… </w:t>
      </w:r>
      <w:r w:rsidRPr="006C498B">
        <w:rPr>
          <w:sz w:val="26"/>
          <w:szCs w:val="26"/>
          <w:lang w:val="en-US"/>
        </w:rPr>
        <w:t>không khả thi.</w:t>
      </w:r>
    </w:p>
    <w:p w14:paraId="54384522" w14:textId="17540DE8" w:rsidR="00B562C8" w:rsidRDefault="00590403" w:rsidP="006C498B">
      <w:pPr>
        <w:tabs>
          <w:tab w:val="left" w:pos="567"/>
        </w:tabs>
        <w:spacing w:before="120" w:after="120" w:line="340" w:lineRule="atLeast"/>
        <w:jc w:val="both"/>
        <w:rPr>
          <w:sz w:val="26"/>
          <w:szCs w:val="26"/>
          <w:lang w:val="en-US"/>
        </w:rPr>
      </w:pPr>
      <w:r w:rsidRPr="006C498B">
        <w:rPr>
          <w:sz w:val="26"/>
          <w:szCs w:val="26"/>
          <w:lang w:val="en-US"/>
        </w:rPr>
        <w:tab/>
        <w:t>Ngoài ra, mặc dù một số dự án</w:t>
      </w:r>
      <w:r w:rsidR="00B562C8">
        <w:rPr>
          <w:sz w:val="26"/>
          <w:szCs w:val="26"/>
          <w:lang w:val="en-US"/>
        </w:rPr>
        <w:t xml:space="preserve"> BOT đã được phê duyệt, trong </w:t>
      </w:r>
      <w:r w:rsidR="009D5B86" w:rsidRPr="006C498B">
        <w:rPr>
          <w:sz w:val="26"/>
          <w:szCs w:val="26"/>
          <w:lang w:val="en-US"/>
        </w:rPr>
        <w:t>H</w:t>
      </w:r>
      <w:r w:rsidRPr="006C498B">
        <w:rPr>
          <w:sz w:val="26"/>
          <w:szCs w:val="26"/>
          <w:lang w:val="en-US"/>
        </w:rPr>
        <w:t>ợp đồng dự án có mức thu phí cao hơn quy định t</w:t>
      </w:r>
      <w:r w:rsidR="00B562C8">
        <w:rPr>
          <w:sz w:val="26"/>
          <w:szCs w:val="26"/>
          <w:lang w:val="en-US"/>
        </w:rPr>
        <w:t>ại</w:t>
      </w:r>
      <w:r w:rsidRPr="006C498B">
        <w:rPr>
          <w:sz w:val="26"/>
          <w:szCs w:val="26"/>
          <w:lang w:val="en-US"/>
        </w:rPr>
        <w:t xml:space="preserve"> Thông tư 35/2016</w:t>
      </w:r>
      <w:r w:rsidR="00952D53">
        <w:rPr>
          <w:sz w:val="26"/>
          <w:szCs w:val="26"/>
          <w:lang w:val="en-US"/>
        </w:rPr>
        <w:t>,</w:t>
      </w:r>
      <w:r w:rsidRPr="006C498B">
        <w:rPr>
          <w:sz w:val="26"/>
          <w:szCs w:val="26"/>
          <w:lang w:val="en-US"/>
        </w:rPr>
        <w:t xml:space="preserve"> </w:t>
      </w:r>
      <w:r w:rsidR="00B562C8">
        <w:rPr>
          <w:sz w:val="26"/>
          <w:szCs w:val="26"/>
          <w:lang w:val="en-US"/>
        </w:rPr>
        <w:t xml:space="preserve">nhưng </w:t>
      </w:r>
      <w:r w:rsidRPr="006C498B">
        <w:rPr>
          <w:sz w:val="26"/>
          <w:szCs w:val="26"/>
          <w:lang w:val="en-US"/>
        </w:rPr>
        <w:t xml:space="preserve">khi </w:t>
      </w:r>
      <w:r w:rsidR="00B562C8">
        <w:rPr>
          <w:sz w:val="26"/>
          <w:szCs w:val="26"/>
          <w:lang w:val="en-US"/>
        </w:rPr>
        <w:t>hoàn thành và đưa vào khai thác thì</w:t>
      </w:r>
      <w:r w:rsidRPr="006C498B">
        <w:rPr>
          <w:sz w:val="26"/>
          <w:szCs w:val="26"/>
          <w:lang w:val="en-US"/>
        </w:rPr>
        <w:t xml:space="preserve"> Bộ </w:t>
      </w:r>
      <w:r w:rsidR="00B562C8">
        <w:rPr>
          <w:sz w:val="26"/>
          <w:szCs w:val="26"/>
          <w:lang w:val="en-US"/>
        </w:rPr>
        <w:t>Giao thông Vận tại c</w:t>
      </w:r>
      <w:r w:rsidRPr="006C498B">
        <w:rPr>
          <w:sz w:val="26"/>
          <w:szCs w:val="26"/>
          <w:lang w:val="en-US"/>
        </w:rPr>
        <w:t xml:space="preserve">hỉ cho phép thu mức phí tối đa theo quy định </w:t>
      </w:r>
      <w:r w:rsidR="00B562C8">
        <w:rPr>
          <w:sz w:val="26"/>
          <w:szCs w:val="26"/>
          <w:lang w:val="en-US"/>
        </w:rPr>
        <w:t xml:space="preserve">tại </w:t>
      </w:r>
      <w:r w:rsidRPr="006C498B">
        <w:rPr>
          <w:sz w:val="26"/>
          <w:szCs w:val="26"/>
          <w:lang w:val="en-US"/>
        </w:rPr>
        <w:lastRenderedPageBreak/>
        <w:t>Thông tư 35/</w:t>
      </w:r>
      <w:r w:rsidR="00B562C8" w:rsidRPr="006C498B">
        <w:rPr>
          <w:sz w:val="26"/>
          <w:szCs w:val="26"/>
          <w:lang w:val="en-US"/>
        </w:rPr>
        <w:t>2016</w:t>
      </w:r>
      <w:r w:rsidR="00B562C8">
        <w:rPr>
          <w:sz w:val="26"/>
          <w:szCs w:val="26"/>
          <w:lang w:val="en-US"/>
        </w:rPr>
        <w:t>. Điều này đang gây khó khăn rất lớn cho nhà đầu tư trong việc thực hiện Phương án tài chính của dự án nhưng hiện vẫn chưa có giải pháp xử lý.</w:t>
      </w:r>
    </w:p>
    <w:p w14:paraId="206790D9" w14:textId="1245617B" w:rsidR="00590403" w:rsidRPr="006C498B" w:rsidRDefault="00B562C8" w:rsidP="006C498B">
      <w:pPr>
        <w:tabs>
          <w:tab w:val="left" w:pos="567"/>
        </w:tabs>
        <w:spacing w:before="120" w:after="120" w:line="340" w:lineRule="atLeast"/>
        <w:jc w:val="both"/>
        <w:rPr>
          <w:sz w:val="26"/>
          <w:szCs w:val="26"/>
          <w:lang w:val="en-US"/>
        </w:rPr>
      </w:pPr>
      <w:r>
        <w:rPr>
          <w:sz w:val="26"/>
          <w:szCs w:val="26"/>
          <w:lang w:val="en-US"/>
        </w:rPr>
        <w:tab/>
      </w:r>
      <w:r w:rsidR="00590403" w:rsidRPr="006C498B">
        <w:rPr>
          <w:sz w:val="26"/>
          <w:szCs w:val="26"/>
          <w:lang w:val="en-US"/>
        </w:rPr>
        <w:t xml:space="preserve">Một vướng mắc </w:t>
      </w:r>
      <w:r>
        <w:rPr>
          <w:sz w:val="26"/>
          <w:szCs w:val="26"/>
          <w:lang w:val="en-US"/>
        </w:rPr>
        <w:t xml:space="preserve">khác </w:t>
      </w:r>
      <w:r w:rsidR="00590403" w:rsidRPr="006C498B">
        <w:rPr>
          <w:sz w:val="26"/>
          <w:szCs w:val="26"/>
          <w:lang w:val="en-US"/>
        </w:rPr>
        <w:t>trong việc xác định mức phí và thời hạn thu phí đó là cơ sở tính toán cho việc tăng phí. Các dự án giao thông hiện nay được Bộ GTVT áp dục điều chỉnh tăng phí ở mức 18%/3 năm</w:t>
      </w:r>
      <w:r>
        <w:rPr>
          <w:sz w:val="26"/>
          <w:szCs w:val="26"/>
          <w:lang w:val="en-US"/>
        </w:rPr>
        <w:t>. T</w:t>
      </w:r>
      <w:r w:rsidR="00590403" w:rsidRPr="006C498B">
        <w:rPr>
          <w:sz w:val="26"/>
          <w:szCs w:val="26"/>
          <w:lang w:val="en-US"/>
        </w:rPr>
        <w:t>uy nhiên</w:t>
      </w:r>
      <w:r>
        <w:rPr>
          <w:sz w:val="26"/>
          <w:szCs w:val="26"/>
          <w:lang w:val="en-US"/>
        </w:rPr>
        <w:t>,</w:t>
      </w:r>
      <w:r w:rsidR="00590403" w:rsidRPr="006C498B">
        <w:rPr>
          <w:sz w:val="26"/>
          <w:szCs w:val="26"/>
          <w:lang w:val="en-US"/>
        </w:rPr>
        <w:t xml:space="preserve"> cơ sở để quyết định mức tăng này là chưa thuyết phục.</w:t>
      </w:r>
    </w:p>
    <w:p w14:paraId="452782FE" w14:textId="38D2DB04" w:rsidR="00917727" w:rsidRPr="00E0457D" w:rsidRDefault="00917727" w:rsidP="00AC4C5D">
      <w:pPr>
        <w:spacing w:before="120" w:after="120" w:line="340" w:lineRule="atLeast"/>
        <w:ind w:firstLine="567"/>
        <w:jc w:val="both"/>
        <w:rPr>
          <w:sz w:val="26"/>
          <w:szCs w:val="26"/>
          <w:lang w:val="en-US"/>
        </w:rPr>
      </w:pPr>
      <w:r w:rsidRPr="00E0457D">
        <w:rPr>
          <w:sz w:val="26"/>
          <w:szCs w:val="26"/>
        </w:rPr>
        <w:t xml:space="preserve">Một vấn đề nữa </w:t>
      </w:r>
      <w:r w:rsidR="00B562C8">
        <w:rPr>
          <w:sz w:val="26"/>
          <w:szCs w:val="26"/>
          <w:lang w:val="en-US"/>
        </w:rPr>
        <w:t xml:space="preserve">cũng đang gây bất cập đó </w:t>
      </w:r>
      <w:r w:rsidRPr="00E0457D">
        <w:rPr>
          <w:sz w:val="26"/>
          <w:szCs w:val="26"/>
        </w:rPr>
        <w:t xml:space="preserve">là các </w:t>
      </w:r>
      <w:r w:rsidR="00952D53">
        <w:rPr>
          <w:sz w:val="26"/>
          <w:szCs w:val="26"/>
          <w:lang w:val="en-US"/>
        </w:rPr>
        <w:t xml:space="preserve">dự án </w:t>
      </w:r>
      <w:r w:rsidRPr="00E0457D">
        <w:rPr>
          <w:sz w:val="26"/>
          <w:szCs w:val="26"/>
        </w:rPr>
        <w:t xml:space="preserve">BOT </w:t>
      </w:r>
      <w:r w:rsidR="00952D53">
        <w:rPr>
          <w:sz w:val="26"/>
          <w:szCs w:val="26"/>
          <w:lang w:val="en-US"/>
        </w:rPr>
        <w:t xml:space="preserve">giao thông </w:t>
      </w:r>
      <w:r w:rsidRPr="00E0457D">
        <w:rPr>
          <w:sz w:val="26"/>
          <w:szCs w:val="26"/>
        </w:rPr>
        <w:t>do Bộ Giao thông Vận tải quản lý</w:t>
      </w:r>
      <w:r w:rsidR="00952D53">
        <w:rPr>
          <w:sz w:val="26"/>
          <w:szCs w:val="26"/>
          <w:lang w:val="en-US"/>
        </w:rPr>
        <w:t>,</w:t>
      </w:r>
      <w:r w:rsidRPr="00E0457D">
        <w:rPr>
          <w:sz w:val="26"/>
          <w:szCs w:val="26"/>
        </w:rPr>
        <w:t xml:space="preserve"> nhưng mức thu phí lại do Bộ Tài chính</w:t>
      </w:r>
      <w:r w:rsidR="00952D53">
        <w:rPr>
          <w:sz w:val="26"/>
          <w:szCs w:val="26"/>
          <w:lang w:val="en-US"/>
        </w:rPr>
        <w:t xml:space="preserve"> quy định. </w:t>
      </w:r>
      <w:r w:rsidR="00AC4C5D">
        <w:rPr>
          <w:sz w:val="26"/>
          <w:szCs w:val="26"/>
          <w:lang w:val="en-US"/>
        </w:rPr>
        <w:t>N</w:t>
      </w:r>
      <w:r w:rsidRPr="00E0457D">
        <w:rPr>
          <w:sz w:val="26"/>
          <w:szCs w:val="26"/>
        </w:rPr>
        <w:t xml:space="preserve">ếu Bộ Tài không đồng ý </w:t>
      </w:r>
      <w:r w:rsidR="00B562C8">
        <w:rPr>
          <w:sz w:val="26"/>
          <w:szCs w:val="26"/>
          <w:lang w:val="en-US"/>
        </w:rPr>
        <w:t>với mức thu phí do nhà đầu tư đ</w:t>
      </w:r>
      <w:bookmarkStart w:id="0" w:name="_GoBack"/>
      <w:bookmarkEnd w:id="0"/>
      <w:r w:rsidR="00B562C8">
        <w:rPr>
          <w:sz w:val="26"/>
          <w:szCs w:val="26"/>
          <w:lang w:val="en-US"/>
        </w:rPr>
        <w:t xml:space="preserve">ề xuất và đã được Bộ Giao thông Vận tải chấp thuận </w:t>
      </w:r>
      <w:r w:rsidRPr="00E0457D">
        <w:rPr>
          <w:sz w:val="26"/>
          <w:szCs w:val="26"/>
        </w:rPr>
        <w:t xml:space="preserve">thì phương án tài chính </w:t>
      </w:r>
      <w:r w:rsidR="00AC4C5D">
        <w:rPr>
          <w:sz w:val="26"/>
          <w:szCs w:val="26"/>
          <w:lang w:val="en-US"/>
        </w:rPr>
        <w:t>của dự án rất khó được đảm bảo</w:t>
      </w:r>
      <w:r w:rsidRPr="00E0457D">
        <w:rPr>
          <w:sz w:val="26"/>
          <w:szCs w:val="26"/>
        </w:rPr>
        <w:t xml:space="preserve">. Đây </w:t>
      </w:r>
      <w:r w:rsidR="00AC4C5D">
        <w:rPr>
          <w:sz w:val="26"/>
          <w:szCs w:val="26"/>
          <w:lang w:val="en-US"/>
        </w:rPr>
        <w:t>là vấn đề khiến rất nhiều nhà đầu tư e ngại hiện nay</w:t>
      </w:r>
      <w:r w:rsidRPr="00E0457D">
        <w:rPr>
          <w:sz w:val="26"/>
          <w:szCs w:val="26"/>
        </w:rPr>
        <w:t>.</w:t>
      </w:r>
      <w:r w:rsidR="00AC4C5D">
        <w:rPr>
          <w:sz w:val="26"/>
          <w:szCs w:val="26"/>
          <w:lang w:val="en-US"/>
        </w:rPr>
        <w:t xml:space="preserve"> </w:t>
      </w:r>
      <w:r w:rsidR="00AC4C5D">
        <w:rPr>
          <w:sz w:val="26"/>
          <w:szCs w:val="26"/>
          <w:shd w:val="clear" w:color="auto" w:fill="FFFFFF"/>
          <w:lang w:val="en-US"/>
        </w:rPr>
        <w:t>Theo quan điểm của một số chuyên gia và nhà đầu tư,</w:t>
      </w:r>
      <w:r w:rsidRPr="00E0457D">
        <w:rPr>
          <w:sz w:val="26"/>
          <w:szCs w:val="26"/>
          <w:shd w:val="clear" w:color="auto" w:fill="FFFFFF"/>
        </w:rPr>
        <w:t xml:space="preserve"> cần có cơ chế cho phép nhà đầu tư </w:t>
      </w:r>
      <w:r w:rsidR="00AC4C5D">
        <w:rPr>
          <w:sz w:val="26"/>
          <w:szCs w:val="26"/>
          <w:shd w:val="clear" w:color="auto" w:fill="FFFFFF"/>
          <w:lang w:val="en-US"/>
        </w:rPr>
        <w:t>t</w:t>
      </w:r>
      <w:r w:rsidRPr="00E0457D">
        <w:rPr>
          <w:sz w:val="26"/>
          <w:szCs w:val="26"/>
          <w:shd w:val="clear" w:color="auto" w:fill="FFFFFF"/>
        </w:rPr>
        <w:t xml:space="preserve">hương lượng thời gian và mức thu phí với cơ quan nhà nước để hài hoà lợi ích giữa nhà đầu tư và </w:t>
      </w:r>
      <w:r w:rsidR="00B562C8">
        <w:rPr>
          <w:sz w:val="26"/>
          <w:szCs w:val="26"/>
          <w:shd w:val="clear" w:color="auto" w:fill="FFFFFF"/>
        </w:rPr>
        <w:t>nhà nước</w:t>
      </w:r>
      <w:r w:rsidR="00B562C8">
        <w:rPr>
          <w:sz w:val="26"/>
          <w:szCs w:val="26"/>
          <w:shd w:val="clear" w:color="auto" w:fill="FFFFFF"/>
          <w:lang w:val="en-US"/>
        </w:rPr>
        <w:t>, trên cơ sở đảm bảo quyền lợi của người dân trực tiếp thụ hưởng lợi ích từ các dự án BOT</w:t>
      </w:r>
      <w:r w:rsidRPr="00E0457D">
        <w:rPr>
          <w:sz w:val="26"/>
          <w:szCs w:val="26"/>
          <w:shd w:val="clear" w:color="auto" w:fill="FFFFFF"/>
        </w:rPr>
        <w:t xml:space="preserve">. </w:t>
      </w:r>
    </w:p>
    <w:p w14:paraId="4F6FE993" w14:textId="42C3A47A" w:rsidR="00DB09E2" w:rsidRPr="006C498B" w:rsidRDefault="00B562C8" w:rsidP="00B562C8">
      <w:pPr>
        <w:tabs>
          <w:tab w:val="left" w:pos="567"/>
        </w:tabs>
        <w:spacing w:before="120" w:after="120" w:line="340" w:lineRule="atLeast"/>
        <w:jc w:val="both"/>
        <w:rPr>
          <w:color w:val="333333"/>
          <w:sz w:val="26"/>
          <w:szCs w:val="26"/>
          <w:lang w:val="en-US"/>
        </w:rPr>
      </w:pPr>
      <w:r>
        <w:rPr>
          <w:b/>
          <w:sz w:val="26"/>
          <w:szCs w:val="26"/>
          <w:lang w:val="en-US"/>
        </w:rPr>
        <w:tab/>
      </w:r>
      <w:r w:rsidRPr="00B562C8">
        <w:rPr>
          <w:color w:val="333333"/>
          <w:sz w:val="26"/>
          <w:szCs w:val="26"/>
          <w:lang w:val="en-US"/>
        </w:rPr>
        <w:t xml:space="preserve">Từ </w:t>
      </w:r>
      <w:r>
        <w:rPr>
          <w:color w:val="333333"/>
          <w:sz w:val="26"/>
          <w:szCs w:val="26"/>
          <w:lang w:val="en-US"/>
        </w:rPr>
        <w:t>thực tế nêu trên</w:t>
      </w:r>
      <w:r w:rsidRPr="00B562C8">
        <w:rPr>
          <w:color w:val="333333"/>
          <w:sz w:val="26"/>
          <w:szCs w:val="26"/>
          <w:lang w:val="en-US"/>
        </w:rPr>
        <w:t>,</w:t>
      </w:r>
      <w:r>
        <w:rPr>
          <w:color w:val="333333"/>
          <w:sz w:val="26"/>
          <w:szCs w:val="26"/>
          <w:lang w:val="en-US"/>
        </w:rPr>
        <w:t xml:space="preserve"> các cơ quan n</w:t>
      </w:r>
      <w:r w:rsidR="00AC4C5D">
        <w:rPr>
          <w:color w:val="333333"/>
          <w:sz w:val="26"/>
          <w:szCs w:val="26"/>
          <w:lang w:val="en-US"/>
        </w:rPr>
        <w:t xml:space="preserve">hà nước </w:t>
      </w:r>
      <w:r>
        <w:rPr>
          <w:color w:val="333333"/>
          <w:sz w:val="26"/>
          <w:szCs w:val="26"/>
          <w:lang w:val="en-US"/>
        </w:rPr>
        <w:t xml:space="preserve">có thẩm quyền </w:t>
      </w:r>
      <w:r w:rsidR="00AC4C5D">
        <w:rPr>
          <w:color w:val="333333"/>
          <w:sz w:val="26"/>
          <w:szCs w:val="26"/>
          <w:lang w:val="en-US"/>
        </w:rPr>
        <w:t xml:space="preserve">cần </w:t>
      </w:r>
      <w:r>
        <w:rPr>
          <w:color w:val="333333"/>
          <w:sz w:val="26"/>
          <w:szCs w:val="26"/>
          <w:lang w:val="en-US"/>
        </w:rPr>
        <w:t xml:space="preserve">khẩn trương </w:t>
      </w:r>
      <w:r w:rsidR="00AC4C5D">
        <w:rPr>
          <w:color w:val="333333"/>
          <w:sz w:val="26"/>
          <w:szCs w:val="26"/>
          <w:lang w:val="en-US"/>
        </w:rPr>
        <w:t>rà soát, nghiên cứu và có những điều chỉnh kịp thời về cơ chế, chính sách pháp luật để tháo gỡ những khó khăn, vướng mắc trong hoạt đồng đầu tư và quản lý các dự án đầu tư theo hình thức PPP, đặc biệt là các dự án BOT, BT</w:t>
      </w:r>
      <w:r>
        <w:rPr>
          <w:color w:val="333333"/>
          <w:sz w:val="26"/>
          <w:szCs w:val="26"/>
          <w:lang w:val="en-US"/>
        </w:rPr>
        <w:t xml:space="preserve"> trong thời gian tới</w:t>
      </w:r>
      <w:r w:rsidR="00AC4C5D">
        <w:rPr>
          <w:color w:val="333333"/>
          <w:sz w:val="26"/>
          <w:szCs w:val="26"/>
          <w:lang w:val="en-US"/>
        </w:rPr>
        <w:t>./.</w:t>
      </w:r>
    </w:p>
    <w:p w14:paraId="6D2CC783" w14:textId="77777777" w:rsidR="00EA0DD2" w:rsidRPr="006C498B" w:rsidRDefault="00EA0DD2" w:rsidP="006C498B">
      <w:pPr>
        <w:shd w:val="clear" w:color="auto" w:fill="FFFFFF"/>
        <w:spacing w:before="120" w:after="120" w:line="340" w:lineRule="atLeast"/>
        <w:jc w:val="both"/>
        <w:textAlignment w:val="baseline"/>
        <w:rPr>
          <w:color w:val="333333"/>
          <w:sz w:val="26"/>
          <w:szCs w:val="26"/>
          <w:lang w:val="en-US"/>
        </w:rPr>
      </w:pPr>
    </w:p>
    <w:sectPr w:rsidR="00EA0DD2" w:rsidRPr="006C498B" w:rsidSect="00C075FE">
      <w:footerReference w:type="default" r:id="rId8"/>
      <w:pgSz w:w="11907" w:h="16840" w:code="9"/>
      <w:pgMar w:top="1134" w:right="1021" w:bottom="1021" w:left="164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295E5" w14:textId="77777777" w:rsidR="005623C9" w:rsidRDefault="005623C9" w:rsidP="0078432F">
      <w:r>
        <w:separator/>
      </w:r>
    </w:p>
  </w:endnote>
  <w:endnote w:type="continuationSeparator" w:id="0">
    <w:p w14:paraId="4DCAE70B" w14:textId="77777777" w:rsidR="005623C9" w:rsidRDefault="005623C9" w:rsidP="0078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782306"/>
      <w:docPartObj>
        <w:docPartGallery w:val="Page Numbers (Bottom of Page)"/>
        <w:docPartUnique/>
      </w:docPartObj>
    </w:sdtPr>
    <w:sdtEndPr>
      <w:rPr>
        <w:noProof/>
      </w:rPr>
    </w:sdtEndPr>
    <w:sdtContent>
      <w:p w14:paraId="3B4A0073" w14:textId="1C3015BA" w:rsidR="00B562C8" w:rsidRDefault="00B562C8">
        <w:pPr>
          <w:pStyle w:val="Footer"/>
          <w:jc w:val="right"/>
        </w:pPr>
        <w:r>
          <w:fldChar w:fldCharType="begin"/>
        </w:r>
        <w:r>
          <w:instrText xml:space="preserve"> PAGE   \* MERGEFORMAT </w:instrText>
        </w:r>
        <w:r>
          <w:fldChar w:fldCharType="separate"/>
        </w:r>
        <w:r w:rsidR="001717E6">
          <w:rPr>
            <w:noProof/>
          </w:rPr>
          <w:t>6</w:t>
        </w:r>
        <w:r>
          <w:rPr>
            <w:noProof/>
          </w:rPr>
          <w:fldChar w:fldCharType="end"/>
        </w:r>
      </w:p>
    </w:sdtContent>
  </w:sdt>
  <w:p w14:paraId="324E31FD" w14:textId="77777777" w:rsidR="00B562C8" w:rsidRDefault="00B562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CD27B" w14:textId="77777777" w:rsidR="005623C9" w:rsidRDefault="005623C9" w:rsidP="0078432F">
      <w:r>
        <w:separator/>
      </w:r>
    </w:p>
  </w:footnote>
  <w:footnote w:type="continuationSeparator" w:id="0">
    <w:p w14:paraId="4029E4DC" w14:textId="77777777" w:rsidR="005623C9" w:rsidRDefault="005623C9" w:rsidP="0078432F">
      <w:r>
        <w:continuationSeparator/>
      </w:r>
    </w:p>
  </w:footnote>
  <w:footnote w:id="1">
    <w:p w14:paraId="2E5F6919" w14:textId="77777777" w:rsidR="004C5C19" w:rsidRPr="00E3696A" w:rsidRDefault="004C5C19" w:rsidP="004C5C19">
      <w:pPr>
        <w:spacing w:before="120"/>
        <w:jc w:val="both"/>
        <w:rPr>
          <w:sz w:val="18"/>
          <w:szCs w:val="18"/>
        </w:rPr>
      </w:pPr>
      <w:r w:rsidRPr="00E3696A">
        <w:rPr>
          <w:rStyle w:val="FootnoteReference"/>
          <w:sz w:val="18"/>
          <w:szCs w:val="18"/>
        </w:rPr>
        <w:footnoteRef/>
      </w:r>
      <w:r w:rsidRPr="00E3696A">
        <w:rPr>
          <w:sz w:val="18"/>
          <w:szCs w:val="18"/>
        </w:rPr>
        <w:t xml:space="preserve"> </w:t>
      </w:r>
      <w:r w:rsidRPr="00E3696A">
        <w:rPr>
          <w:b/>
          <w:bCs/>
          <w:sz w:val="18"/>
          <w:szCs w:val="18"/>
        </w:rPr>
        <w:t>Điều 15. Nguồn vốn chủ sở hữu</w:t>
      </w:r>
    </w:p>
    <w:p w14:paraId="1D4FAB57" w14:textId="77777777" w:rsidR="004C5C19" w:rsidRPr="00E3696A" w:rsidRDefault="004C5C19" w:rsidP="004C5C19">
      <w:pPr>
        <w:spacing w:before="120"/>
        <w:jc w:val="both"/>
        <w:rPr>
          <w:i/>
          <w:sz w:val="18"/>
          <w:szCs w:val="18"/>
        </w:rPr>
      </w:pPr>
      <w:r w:rsidRPr="00E3696A">
        <w:rPr>
          <w:i/>
          <w:sz w:val="18"/>
          <w:szCs w:val="18"/>
        </w:rPr>
        <w:t>1. Vốn chủ sở hữu của doanh nghiệp dự án</w:t>
      </w:r>
    </w:p>
    <w:p w14:paraId="146CF87B" w14:textId="77777777" w:rsidR="004C5C19" w:rsidRPr="00E3696A" w:rsidRDefault="004C5C19" w:rsidP="004C5C19">
      <w:pPr>
        <w:spacing w:before="120"/>
        <w:jc w:val="both"/>
        <w:rPr>
          <w:i/>
          <w:sz w:val="18"/>
          <w:szCs w:val="18"/>
        </w:rPr>
      </w:pPr>
      <w:r w:rsidRPr="00E3696A">
        <w:rPr>
          <w:i/>
          <w:sz w:val="18"/>
          <w:szCs w:val="18"/>
        </w:rPr>
        <w:t>a) Vốn chủ sở hữu của doanh nghiệp dự án là vốn chủ sở hữu của nhà đầu tư cam kết góp vốn theo Điều lệ của doanh nghiệp dự án;</w:t>
      </w:r>
    </w:p>
    <w:p w14:paraId="3385524A" w14:textId="77777777" w:rsidR="004C5C19" w:rsidRPr="00E3696A" w:rsidRDefault="004C5C19" w:rsidP="004C5C19">
      <w:pPr>
        <w:spacing w:before="120"/>
        <w:jc w:val="both"/>
        <w:rPr>
          <w:i/>
          <w:sz w:val="18"/>
          <w:szCs w:val="18"/>
        </w:rPr>
      </w:pPr>
      <w:r w:rsidRPr="00E3696A">
        <w:rPr>
          <w:i/>
          <w:sz w:val="18"/>
          <w:szCs w:val="18"/>
        </w:rPr>
        <w:t>b) Nhà đầu tư phải đảm bảo tỷ lệ vốn chủ sở hữu của doanh nghiệp dự án trên tổng vốn đầu tư theo quy định tại Điều 10 Nghị định số 15/2015/NĐ-CP và phải được quy định trong hợp đồng dự án.</w:t>
      </w:r>
    </w:p>
    <w:p w14:paraId="1CB29EED" w14:textId="77777777" w:rsidR="004C5C19" w:rsidRPr="00E3696A" w:rsidRDefault="004C5C19" w:rsidP="004C5C19">
      <w:pPr>
        <w:spacing w:before="120"/>
        <w:jc w:val="both"/>
        <w:rPr>
          <w:i/>
          <w:sz w:val="18"/>
          <w:szCs w:val="18"/>
        </w:rPr>
      </w:pPr>
      <w:r w:rsidRPr="00E3696A">
        <w:rPr>
          <w:i/>
          <w:sz w:val="18"/>
          <w:szCs w:val="18"/>
        </w:rPr>
        <w:t>2. Vốn chủ sở hữu của nhà đầu tư</w:t>
      </w:r>
    </w:p>
    <w:p w14:paraId="0B87ACDD" w14:textId="77777777" w:rsidR="004C5C19" w:rsidRPr="00E3696A" w:rsidRDefault="004C5C19" w:rsidP="004C5C19">
      <w:pPr>
        <w:spacing w:before="120"/>
        <w:jc w:val="both"/>
        <w:rPr>
          <w:i/>
          <w:sz w:val="18"/>
          <w:szCs w:val="18"/>
        </w:rPr>
      </w:pPr>
      <w:r w:rsidRPr="00E3696A">
        <w:rPr>
          <w:i/>
          <w:sz w:val="18"/>
          <w:szCs w:val="18"/>
        </w:rPr>
        <w:t xml:space="preserve">a) Vốn chủ sở hữu của nhà đầu tư được xác định căn cứ vào báo cáo tài chính năm gần nhất của nhà đầu tư đã được đơn vị kiểm toán độc lập kiểm toán và báo cáo tình hình sử dụng vốn chủ sở hữu của nhà đầu tư tại thời </w:t>
      </w:r>
      <w:r w:rsidRPr="00E3696A">
        <w:rPr>
          <w:i/>
          <w:sz w:val="18"/>
          <w:szCs w:val="18"/>
          <w:shd w:val="solid" w:color="FFFFFF" w:fill="auto"/>
        </w:rPr>
        <w:t>Điểm</w:t>
      </w:r>
      <w:r w:rsidRPr="00E3696A">
        <w:rPr>
          <w:i/>
          <w:sz w:val="18"/>
          <w:szCs w:val="18"/>
        </w:rPr>
        <w:t xml:space="preserve"> tham gia thực hiện dự án. </w:t>
      </w:r>
      <w:r w:rsidRPr="00E3696A">
        <w:rPr>
          <w:i/>
          <w:sz w:val="18"/>
          <w:szCs w:val="18"/>
          <w:shd w:val="solid" w:color="FFFFFF" w:fill="auto"/>
        </w:rPr>
        <w:t>Trường hợp</w:t>
      </w:r>
      <w:r w:rsidRPr="00E3696A">
        <w:rPr>
          <w:i/>
          <w:sz w:val="18"/>
          <w:szCs w:val="18"/>
        </w:rPr>
        <w:t xml:space="preserve"> nhà đầu tư là tổ chức mới thành lập trong năm, vốn chủ sở hữu của nhà đầu tư được xác định căn cứ vào báo cáo tài chính đã được đơn vị kiểm toán độc lập kiểm toán từ thời Điểm thành lập đến thời Điểm tham gia dự án; đồng thời đại diện chủ sở hữu, chủ sở hữu hoặc công ty mẹ phải có văn bản cam kết về đảm bảo đủ vốn chủ sở hữu theo phương án tài chính của dự án.</w:t>
      </w:r>
    </w:p>
    <w:p w14:paraId="6EFF47B0" w14:textId="77777777" w:rsidR="004C5C19" w:rsidRPr="00E3696A" w:rsidRDefault="004C5C19" w:rsidP="004C5C19">
      <w:pPr>
        <w:spacing w:before="120"/>
        <w:jc w:val="both"/>
        <w:rPr>
          <w:i/>
          <w:sz w:val="18"/>
          <w:szCs w:val="18"/>
        </w:rPr>
      </w:pPr>
      <w:r w:rsidRPr="00E3696A">
        <w:rPr>
          <w:i/>
          <w:sz w:val="18"/>
          <w:szCs w:val="18"/>
        </w:rPr>
        <w:t>b) 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14:paraId="526E2DFC" w14:textId="77777777" w:rsidR="004C5C19" w:rsidRPr="00E3696A" w:rsidRDefault="004C5C19" w:rsidP="004C5C19">
      <w:pPr>
        <w:spacing w:before="120"/>
        <w:jc w:val="both"/>
        <w:rPr>
          <w:i/>
          <w:sz w:val="18"/>
          <w:szCs w:val="18"/>
        </w:rPr>
      </w:pPr>
      <w:r w:rsidRPr="00E3696A">
        <w:rPr>
          <w:i/>
          <w:sz w:val="18"/>
          <w:szCs w:val="18"/>
        </w:rPr>
        <w:t>c) Nhà đầu tư có trách nhiệm gửi Cơ quan nhà nước có thẩm quyền phương án đảm bảo nguồn vốn chủ sở hữu theo cam kết và tự chịu trách nhiệm trước pháp luật về tính chính xác, hợp pháp của các số liệu, tài liệu liên quan đến vốn chủ sở hữu, danh Mục dự án đang thực hiện, phân bổ vốn chủ sở hữu cho các dự án đang thực hiện đến thời Điểm đàm phán hợp đồng dự án.</w:t>
      </w:r>
    </w:p>
    <w:p w14:paraId="67E710E9" w14:textId="77777777" w:rsidR="004C5C19" w:rsidRPr="00E3696A" w:rsidRDefault="004C5C19" w:rsidP="004C5C19">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2306"/>
    <w:multiLevelType w:val="hybridMultilevel"/>
    <w:tmpl w:val="130AEDA2"/>
    <w:lvl w:ilvl="0" w:tplc="05B69B5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27B17454"/>
    <w:multiLevelType w:val="hybridMultilevel"/>
    <w:tmpl w:val="FDCAFC28"/>
    <w:lvl w:ilvl="0" w:tplc="9C3C44C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F1660"/>
    <w:multiLevelType w:val="hybridMultilevel"/>
    <w:tmpl w:val="4F9A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38"/>
    <w:rsid w:val="00035FC2"/>
    <w:rsid w:val="000370AB"/>
    <w:rsid w:val="000463F4"/>
    <w:rsid w:val="000464EE"/>
    <w:rsid w:val="00056810"/>
    <w:rsid w:val="0006402C"/>
    <w:rsid w:val="000A3BC4"/>
    <w:rsid w:val="000B13E9"/>
    <w:rsid w:val="000B3011"/>
    <w:rsid w:val="000D1675"/>
    <w:rsid w:val="000F16B9"/>
    <w:rsid w:val="001245B9"/>
    <w:rsid w:val="001303A3"/>
    <w:rsid w:val="00146B16"/>
    <w:rsid w:val="00150FBF"/>
    <w:rsid w:val="00160C70"/>
    <w:rsid w:val="001717E6"/>
    <w:rsid w:val="00182702"/>
    <w:rsid w:val="00186C1B"/>
    <w:rsid w:val="001A22C6"/>
    <w:rsid w:val="001B1D85"/>
    <w:rsid w:val="001B57AB"/>
    <w:rsid w:val="001C54B1"/>
    <w:rsid w:val="001D0E9E"/>
    <w:rsid w:val="001D677D"/>
    <w:rsid w:val="001F1E50"/>
    <w:rsid w:val="002109AC"/>
    <w:rsid w:val="0021440D"/>
    <w:rsid w:val="002618F3"/>
    <w:rsid w:val="00265A68"/>
    <w:rsid w:val="00287C20"/>
    <w:rsid w:val="002C1F38"/>
    <w:rsid w:val="00301142"/>
    <w:rsid w:val="00302671"/>
    <w:rsid w:val="003051B7"/>
    <w:rsid w:val="00323518"/>
    <w:rsid w:val="00332ADA"/>
    <w:rsid w:val="00364DBF"/>
    <w:rsid w:val="00374F9E"/>
    <w:rsid w:val="00395017"/>
    <w:rsid w:val="0039614F"/>
    <w:rsid w:val="003C6CB7"/>
    <w:rsid w:val="003D1112"/>
    <w:rsid w:val="003D5616"/>
    <w:rsid w:val="003E4150"/>
    <w:rsid w:val="0043184E"/>
    <w:rsid w:val="0044720F"/>
    <w:rsid w:val="00470813"/>
    <w:rsid w:val="004740F8"/>
    <w:rsid w:val="004741E9"/>
    <w:rsid w:val="0048037F"/>
    <w:rsid w:val="00485BF6"/>
    <w:rsid w:val="004B4F94"/>
    <w:rsid w:val="004B4F95"/>
    <w:rsid w:val="004C5C19"/>
    <w:rsid w:val="004C6E80"/>
    <w:rsid w:val="004D3EA3"/>
    <w:rsid w:val="004D56AA"/>
    <w:rsid w:val="00543460"/>
    <w:rsid w:val="00547465"/>
    <w:rsid w:val="005532FC"/>
    <w:rsid w:val="00557062"/>
    <w:rsid w:val="005623C9"/>
    <w:rsid w:val="00571F1A"/>
    <w:rsid w:val="00572ABD"/>
    <w:rsid w:val="00581329"/>
    <w:rsid w:val="0058297B"/>
    <w:rsid w:val="00590403"/>
    <w:rsid w:val="00595EB6"/>
    <w:rsid w:val="005B6397"/>
    <w:rsid w:val="005C4005"/>
    <w:rsid w:val="005D7417"/>
    <w:rsid w:val="005D7FF4"/>
    <w:rsid w:val="00623C4E"/>
    <w:rsid w:val="00634117"/>
    <w:rsid w:val="006A2A38"/>
    <w:rsid w:val="006A61AD"/>
    <w:rsid w:val="006C498B"/>
    <w:rsid w:val="006D3187"/>
    <w:rsid w:val="006F70C2"/>
    <w:rsid w:val="00726157"/>
    <w:rsid w:val="0074121B"/>
    <w:rsid w:val="007440AC"/>
    <w:rsid w:val="00751A40"/>
    <w:rsid w:val="00753E8A"/>
    <w:rsid w:val="0076302D"/>
    <w:rsid w:val="007631FA"/>
    <w:rsid w:val="00764483"/>
    <w:rsid w:val="00777426"/>
    <w:rsid w:val="0078432F"/>
    <w:rsid w:val="00786781"/>
    <w:rsid w:val="007A4F53"/>
    <w:rsid w:val="007C0F9F"/>
    <w:rsid w:val="007D65DD"/>
    <w:rsid w:val="007E07D7"/>
    <w:rsid w:val="00817292"/>
    <w:rsid w:val="00827C41"/>
    <w:rsid w:val="00831569"/>
    <w:rsid w:val="0084396C"/>
    <w:rsid w:val="008605BC"/>
    <w:rsid w:val="0088767D"/>
    <w:rsid w:val="00917727"/>
    <w:rsid w:val="009222C0"/>
    <w:rsid w:val="00952D53"/>
    <w:rsid w:val="009C0A07"/>
    <w:rsid w:val="009D5B86"/>
    <w:rsid w:val="009D5C52"/>
    <w:rsid w:val="009D737B"/>
    <w:rsid w:val="009F7A93"/>
    <w:rsid w:val="00A50681"/>
    <w:rsid w:val="00A72B93"/>
    <w:rsid w:val="00A76E2B"/>
    <w:rsid w:val="00A859A0"/>
    <w:rsid w:val="00AC4C5D"/>
    <w:rsid w:val="00AD4646"/>
    <w:rsid w:val="00AE47DB"/>
    <w:rsid w:val="00AF015E"/>
    <w:rsid w:val="00AF749F"/>
    <w:rsid w:val="00B0675B"/>
    <w:rsid w:val="00B07A87"/>
    <w:rsid w:val="00B20D52"/>
    <w:rsid w:val="00B30E7E"/>
    <w:rsid w:val="00B55B08"/>
    <w:rsid w:val="00B55E25"/>
    <w:rsid w:val="00B562C8"/>
    <w:rsid w:val="00B766DC"/>
    <w:rsid w:val="00B830A0"/>
    <w:rsid w:val="00BB3C33"/>
    <w:rsid w:val="00BC4D74"/>
    <w:rsid w:val="00BD1C75"/>
    <w:rsid w:val="00BD5E79"/>
    <w:rsid w:val="00BF5D26"/>
    <w:rsid w:val="00C03600"/>
    <w:rsid w:val="00C075FE"/>
    <w:rsid w:val="00C15236"/>
    <w:rsid w:val="00C31E84"/>
    <w:rsid w:val="00C52121"/>
    <w:rsid w:val="00C778CB"/>
    <w:rsid w:val="00C81E84"/>
    <w:rsid w:val="00C855FF"/>
    <w:rsid w:val="00CA1A3B"/>
    <w:rsid w:val="00CA3BE2"/>
    <w:rsid w:val="00CC19E8"/>
    <w:rsid w:val="00CC5CB7"/>
    <w:rsid w:val="00CD7987"/>
    <w:rsid w:val="00D11699"/>
    <w:rsid w:val="00D462E5"/>
    <w:rsid w:val="00D532A7"/>
    <w:rsid w:val="00D54640"/>
    <w:rsid w:val="00D73249"/>
    <w:rsid w:val="00D91092"/>
    <w:rsid w:val="00D9763D"/>
    <w:rsid w:val="00DB09E2"/>
    <w:rsid w:val="00DB669D"/>
    <w:rsid w:val="00DE2F92"/>
    <w:rsid w:val="00E0457D"/>
    <w:rsid w:val="00E21349"/>
    <w:rsid w:val="00E3696A"/>
    <w:rsid w:val="00E37423"/>
    <w:rsid w:val="00E41AD5"/>
    <w:rsid w:val="00E46B0E"/>
    <w:rsid w:val="00E85C92"/>
    <w:rsid w:val="00EA0DD2"/>
    <w:rsid w:val="00EA31E5"/>
    <w:rsid w:val="00EA340A"/>
    <w:rsid w:val="00EA5068"/>
    <w:rsid w:val="00EC7EC9"/>
    <w:rsid w:val="00ED454F"/>
    <w:rsid w:val="00F36D5D"/>
    <w:rsid w:val="00F41A0A"/>
    <w:rsid w:val="00F54DF3"/>
    <w:rsid w:val="00F867FD"/>
    <w:rsid w:val="00F95B66"/>
    <w:rsid w:val="00FB308B"/>
    <w:rsid w:val="00FD61A7"/>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9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38"/>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5434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5D26"/>
    <w:rPr>
      <w:sz w:val="16"/>
      <w:szCs w:val="16"/>
    </w:rPr>
  </w:style>
  <w:style w:type="paragraph" w:styleId="CommentText">
    <w:name w:val="annotation text"/>
    <w:basedOn w:val="Normal"/>
    <w:link w:val="CommentTextChar"/>
    <w:uiPriority w:val="99"/>
    <w:semiHidden/>
    <w:unhideWhenUsed/>
    <w:rsid w:val="00BF5D26"/>
    <w:rPr>
      <w:sz w:val="20"/>
      <w:szCs w:val="20"/>
    </w:rPr>
  </w:style>
  <w:style w:type="character" w:customStyle="1" w:styleId="CommentTextChar">
    <w:name w:val="Comment Text Char"/>
    <w:basedOn w:val="DefaultParagraphFont"/>
    <w:link w:val="CommentText"/>
    <w:uiPriority w:val="99"/>
    <w:semiHidden/>
    <w:rsid w:val="00BF5D26"/>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BF5D26"/>
    <w:rPr>
      <w:b/>
      <w:bCs/>
    </w:rPr>
  </w:style>
  <w:style w:type="character" w:customStyle="1" w:styleId="CommentSubjectChar">
    <w:name w:val="Comment Subject Char"/>
    <w:basedOn w:val="CommentTextChar"/>
    <w:link w:val="CommentSubject"/>
    <w:uiPriority w:val="99"/>
    <w:semiHidden/>
    <w:rsid w:val="00BF5D26"/>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BF5D26"/>
    <w:rPr>
      <w:rFonts w:ascii="Tahoma" w:hAnsi="Tahoma" w:cs="Tahoma"/>
      <w:sz w:val="16"/>
      <w:szCs w:val="16"/>
    </w:rPr>
  </w:style>
  <w:style w:type="character" w:customStyle="1" w:styleId="BalloonTextChar">
    <w:name w:val="Balloon Text Char"/>
    <w:basedOn w:val="DefaultParagraphFont"/>
    <w:link w:val="BalloonText"/>
    <w:uiPriority w:val="99"/>
    <w:semiHidden/>
    <w:rsid w:val="00BF5D26"/>
    <w:rPr>
      <w:rFonts w:ascii="Tahoma" w:eastAsia="Times New Roman" w:hAnsi="Tahoma" w:cs="Tahoma"/>
      <w:sz w:val="16"/>
      <w:szCs w:val="16"/>
      <w:lang w:val="vi-VN" w:eastAsia="vi-VN"/>
    </w:rPr>
  </w:style>
  <w:style w:type="character" w:styleId="Strong">
    <w:name w:val="Strong"/>
    <w:basedOn w:val="DefaultParagraphFont"/>
    <w:uiPriority w:val="22"/>
    <w:qFormat/>
    <w:rsid w:val="00485BF6"/>
    <w:rPr>
      <w:b/>
      <w:bCs/>
    </w:rPr>
  </w:style>
  <w:style w:type="paragraph" w:styleId="ListParagraph">
    <w:name w:val="List Paragraph"/>
    <w:basedOn w:val="Normal"/>
    <w:uiPriority w:val="34"/>
    <w:qFormat/>
    <w:rsid w:val="00FF6DF3"/>
    <w:pPr>
      <w:ind w:left="720"/>
      <w:contextualSpacing/>
    </w:pPr>
  </w:style>
  <w:style w:type="paragraph" w:styleId="NormalWeb">
    <w:name w:val="Normal (Web)"/>
    <w:basedOn w:val="Normal"/>
    <w:uiPriority w:val="99"/>
    <w:unhideWhenUsed/>
    <w:rsid w:val="0078432F"/>
    <w:pPr>
      <w:spacing w:before="100" w:beforeAutospacing="1" w:after="100" w:afterAutospacing="1"/>
    </w:pPr>
    <w:rPr>
      <w:lang w:val="en-US" w:eastAsia="en-US"/>
    </w:rPr>
  </w:style>
  <w:style w:type="paragraph" w:styleId="FootnoteText">
    <w:name w:val="footnote text"/>
    <w:basedOn w:val="Normal"/>
    <w:link w:val="FootnoteTextChar"/>
    <w:uiPriority w:val="99"/>
    <w:semiHidden/>
    <w:unhideWhenUsed/>
    <w:rsid w:val="0078432F"/>
    <w:rPr>
      <w:sz w:val="20"/>
      <w:szCs w:val="20"/>
    </w:rPr>
  </w:style>
  <w:style w:type="character" w:customStyle="1" w:styleId="FootnoteTextChar">
    <w:name w:val="Footnote Text Char"/>
    <w:basedOn w:val="DefaultParagraphFont"/>
    <w:link w:val="FootnoteText"/>
    <w:uiPriority w:val="99"/>
    <w:semiHidden/>
    <w:rsid w:val="0078432F"/>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78432F"/>
    <w:rPr>
      <w:vertAlign w:val="superscript"/>
    </w:rPr>
  </w:style>
  <w:style w:type="character" w:styleId="Hyperlink">
    <w:name w:val="Hyperlink"/>
    <w:basedOn w:val="DefaultParagraphFont"/>
    <w:uiPriority w:val="99"/>
    <w:semiHidden/>
    <w:unhideWhenUsed/>
    <w:rsid w:val="006A2A38"/>
    <w:rPr>
      <w:color w:val="0000FF"/>
      <w:u w:val="single"/>
    </w:rPr>
  </w:style>
  <w:style w:type="character" w:customStyle="1" w:styleId="Heading2Char">
    <w:name w:val="Heading 2 Char"/>
    <w:basedOn w:val="DefaultParagraphFont"/>
    <w:link w:val="Heading2"/>
    <w:uiPriority w:val="9"/>
    <w:semiHidden/>
    <w:rsid w:val="00543460"/>
    <w:rPr>
      <w:rFonts w:asciiTheme="majorHAnsi" w:eastAsiaTheme="majorEastAsia" w:hAnsiTheme="majorHAnsi" w:cstheme="majorBidi"/>
      <w:b/>
      <w:bCs/>
      <w:color w:val="4F81BD" w:themeColor="accent1"/>
      <w:sz w:val="26"/>
      <w:szCs w:val="26"/>
      <w:lang w:val="vi-VN" w:eastAsia="vi-VN"/>
    </w:rPr>
  </w:style>
  <w:style w:type="table" w:styleId="TableGrid">
    <w:name w:val="Table Grid"/>
    <w:basedOn w:val="TableNormal"/>
    <w:uiPriority w:val="59"/>
    <w:rsid w:val="00AC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62C8"/>
    <w:pPr>
      <w:tabs>
        <w:tab w:val="center" w:pos="4680"/>
        <w:tab w:val="right" w:pos="9360"/>
      </w:tabs>
    </w:pPr>
  </w:style>
  <w:style w:type="character" w:customStyle="1" w:styleId="HeaderChar">
    <w:name w:val="Header Char"/>
    <w:basedOn w:val="DefaultParagraphFont"/>
    <w:link w:val="Header"/>
    <w:uiPriority w:val="99"/>
    <w:rsid w:val="00B562C8"/>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562C8"/>
    <w:pPr>
      <w:tabs>
        <w:tab w:val="center" w:pos="4680"/>
        <w:tab w:val="right" w:pos="9360"/>
      </w:tabs>
    </w:pPr>
  </w:style>
  <w:style w:type="character" w:customStyle="1" w:styleId="FooterChar">
    <w:name w:val="Footer Char"/>
    <w:basedOn w:val="DefaultParagraphFont"/>
    <w:link w:val="Footer"/>
    <w:uiPriority w:val="99"/>
    <w:rsid w:val="00B562C8"/>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3021">
      <w:bodyDiv w:val="1"/>
      <w:marLeft w:val="0"/>
      <w:marRight w:val="0"/>
      <w:marTop w:val="0"/>
      <w:marBottom w:val="0"/>
      <w:divBdr>
        <w:top w:val="none" w:sz="0" w:space="0" w:color="auto"/>
        <w:left w:val="none" w:sz="0" w:space="0" w:color="auto"/>
        <w:bottom w:val="none" w:sz="0" w:space="0" w:color="auto"/>
        <w:right w:val="none" w:sz="0" w:space="0" w:color="auto"/>
      </w:divBdr>
    </w:div>
    <w:div w:id="617637522">
      <w:bodyDiv w:val="1"/>
      <w:marLeft w:val="0"/>
      <w:marRight w:val="0"/>
      <w:marTop w:val="0"/>
      <w:marBottom w:val="0"/>
      <w:divBdr>
        <w:top w:val="none" w:sz="0" w:space="0" w:color="auto"/>
        <w:left w:val="none" w:sz="0" w:space="0" w:color="auto"/>
        <w:bottom w:val="none" w:sz="0" w:space="0" w:color="auto"/>
        <w:right w:val="none" w:sz="0" w:space="0" w:color="auto"/>
      </w:divBdr>
    </w:div>
    <w:div w:id="979379191">
      <w:bodyDiv w:val="1"/>
      <w:marLeft w:val="0"/>
      <w:marRight w:val="0"/>
      <w:marTop w:val="0"/>
      <w:marBottom w:val="0"/>
      <w:divBdr>
        <w:top w:val="none" w:sz="0" w:space="0" w:color="auto"/>
        <w:left w:val="none" w:sz="0" w:space="0" w:color="auto"/>
        <w:bottom w:val="none" w:sz="0" w:space="0" w:color="auto"/>
        <w:right w:val="none" w:sz="0" w:space="0" w:color="auto"/>
      </w:divBdr>
    </w:div>
    <w:div w:id="15583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7F6C-03B1-1542-A5C2-5593F19C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2730</Words>
  <Characters>15562</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Vietthink</dc:creator>
  <cp:lastModifiedBy>NT.Ha Vietthink</cp:lastModifiedBy>
  <cp:revision>3</cp:revision>
  <cp:lastPrinted>2018-03-22T02:01:00Z</cp:lastPrinted>
  <dcterms:created xsi:type="dcterms:W3CDTF">2018-03-28T13:06:00Z</dcterms:created>
  <dcterms:modified xsi:type="dcterms:W3CDTF">2018-03-28T13:14:00Z</dcterms:modified>
</cp:coreProperties>
</file>