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Look w:val="0000" w:firstRow="0" w:lastRow="0" w:firstColumn="0" w:lastColumn="0" w:noHBand="0" w:noVBand="0"/>
      </w:tblPr>
      <w:tblGrid>
        <w:gridCol w:w="3261"/>
        <w:gridCol w:w="6237"/>
      </w:tblGrid>
      <w:tr w:rsidR="00920C64" w:rsidRPr="00920C64" w:rsidTr="006209D6">
        <w:trPr>
          <w:trHeight w:val="899"/>
        </w:trPr>
        <w:tc>
          <w:tcPr>
            <w:tcW w:w="3261" w:type="dxa"/>
          </w:tcPr>
          <w:p w:rsidR="00920C64" w:rsidRPr="00920C64" w:rsidRDefault="00920C64" w:rsidP="00920C64">
            <w:pPr>
              <w:spacing w:before="0" w:after="0"/>
              <w:jc w:val="center"/>
              <w:rPr>
                <w:rFonts w:eastAsia="Times New Roman"/>
                <w:b/>
                <w:bCs/>
                <w:noProof/>
                <w:sz w:val="26"/>
                <w:szCs w:val="26"/>
              </w:rPr>
            </w:pPr>
            <w:r w:rsidRPr="00920C64">
              <w:rPr>
                <w:rFonts w:eastAsia="Times New Roman"/>
                <w:b/>
                <w:bCs/>
                <w:noProof/>
                <w:sz w:val="26"/>
                <w:szCs w:val="26"/>
              </w:rPr>
              <w:t xml:space="preserve">  BỘ TÀI CHÍNH</w:t>
            </w:r>
          </w:p>
          <w:p w:rsidR="00920C64" w:rsidRPr="00920C64" w:rsidRDefault="009B6A0E" w:rsidP="00920C64">
            <w:pPr>
              <w:spacing w:before="0" w:after="0"/>
              <w:jc w:val="center"/>
              <w:rPr>
                <w:rFonts w:eastAsia="Times New Roman"/>
                <w:noProof/>
                <w:sz w:val="26"/>
                <w:szCs w:val="26"/>
              </w:rPr>
            </w:pPr>
            <w:r>
              <w:rPr>
                <w:rFonts w:eastAsia="Times New Roman"/>
                <w:noProof/>
                <w:sz w:val="26"/>
                <w:szCs w:val="26"/>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39.6pt;margin-top:3.5pt;width:6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HzJAIAAEk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"/>
              </w:pict>
            </w:r>
          </w:p>
        </w:tc>
        <w:tc>
          <w:tcPr>
            <w:tcW w:w="6237" w:type="dxa"/>
          </w:tcPr>
          <w:p w:rsidR="00920C64" w:rsidRPr="00920C64" w:rsidRDefault="00920C64" w:rsidP="00920C64">
            <w:pPr>
              <w:spacing w:before="0" w:after="0"/>
              <w:jc w:val="center"/>
              <w:rPr>
                <w:rFonts w:eastAsia="Times New Roman"/>
                <w:b/>
                <w:bCs/>
                <w:noProof/>
                <w:sz w:val="26"/>
                <w:szCs w:val="26"/>
              </w:rPr>
            </w:pPr>
            <w:r w:rsidRPr="00920C64">
              <w:rPr>
                <w:rFonts w:eastAsia="Times New Roman"/>
                <w:b/>
                <w:bCs/>
                <w:noProof/>
                <w:sz w:val="26"/>
                <w:szCs w:val="26"/>
              </w:rPr>
              <w:t xml:space="preserve">CỘNG HOÀ XÃ HỘI CHỦ NGHĨA VIỆT </w:t>
            </w:r>
            <w:smartTag w:uri="urn:schemas-microsoft-com:office:smarttags" w:element="place">
              <w:smartTag w:uri="urn:schemas-microsoft-com:office:smarttags" w:element="country-region">
                <w:r w:rsidRPr="00920C64">
                  <w:rPr>
                    <w:rFonts w:eastAsia="Times New Roman"/>
                    <w:b/>
                    <w:bCs/>
                    <w:noProof/>
                    <w:sz w:val="26"/>
                    <w:szCs w:val="26"/>
                  </w:rPr>
                  <w:t>NAM</w:t>
                </w:r>
              </w:smartTag>
            </w:smartTag>
          </w:p>
          <w:p w:rsidR="00920C64" w:rsidRPr="00920C64" w:rsidRDefault="00920C64" w:rsidP="00920C64">
            <w:pPr>
              <w:keepNext/>
              <w:spacing w:before="0" w:after="0"/>
              <w:jc w:val="center"/>
              <w:outlineLvl w:val="1"/>
              <w:rPr>
                <w:rFonts w:eastAsia="Times New Roman"/>
                <w:b/>
                <w:bCs/>
                <w:noProof/>
                <w:sz w:val="26"/>
                <w:szCs w:val="26"/>
              </w:rPr>
            </w:pPr>
            <w:r w:rsidRPr="00920C64">
              <w:rPr>
                <w:rFonts w:eastAsia="Times New Roman"/>
                <w:b/>
                <w:bCs/>
                <w:noProof/>
                <w:szCs w:val="26"/>
              </w:rPr>
              <w:t>Độc lập - Tự do - Hạnh phúc</w:t>
            </w:r>
          </w:p>
          <w:p w:rsidR="00920C64" w:rsidRPr="00920C64" w:rsidRDefault="009B6A0E" w:rsidP="00920C64">
            <w:pPr>
              <w:spacing w:before="0" w:after="0"/>
              <w:jc w:val="center"/>
              <w:rPr>
                <w:rFonts w:eastAsia="Times New Roman"/>
                <w:b/>
                <w:bCs/>
                <w:noProof/>
                <w:sz w:val="26"/>
                <w:szCs w:val="26"/>
              </w:rPr>
            </w:pPr>
            <w:r>
              <w:rPr>
                <w:rFonts w:eastAsia="Times New Roman"/>
                <w:noProof/>
                <w:sz w:val="26"/>
                <w:szCs w:val="26"/>
              </w:rPr>
              <w:pict>
                <v:line id="Straight Connector 5" o:spid="_x0000_s102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8pt" to="233.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kS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Z5gpEgP&#10;Ldp6S8S+86jWSoGA2qJJ0GkwroTwWm1sqJSe1Na8aPrdIaXrjqg9j3xfzwZAspCRvEkJG2fgtt3w&#10;WTOIIQevo2in1vYBEuRAp9ib8703/OQRhcM8y/PsCV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"/>
              </w:pict>
            </w:r>
          </w:p>
        </w:tc>
      </w:tr>
      <w:tr w:rsidR="00920C64" w:rsidRPr="00920C64" w:rsidTr="006209D6">
        <w:tc>
          <w:tcPr>
            <w:tcW w:w="3261" w:type="dxa"/>
          </w:tcPr>
          <w:p w:rsidR="00920C64" w:rsidRPr="00920C64" w:rsidRDefault="00920C64" w:rsidP="00920C64">
            <w:pPr>
              <w:spacing w:before="0" w:after="0"/>
              <w:jc w:val="center"/>
              <w:rPr>
                <w:rFonts w:eastAsia="Times New Roman"/>
                <w:noProof/>
                <w:sz w:val="26"/>
                <w:szCs w:val="26"/>
              </w:rPr>
            </w:pPr>
            <w:r w:rsidRPr="00920C64">
              <w:rPr>
                <w:rFonts w:eastAsia="Times New Roman"/>
                <w:noProof/>
                <w:sz w:val="26"/>
                <w:szCs w:val="26"/>
              </w:rPr>
              <w:t xml:space="preserve">Số:  </w:t>
            </w:r>
            <w:r w:rsidR="00171724">
              <w:rPr>
                <w:rFonts w:eastAsia="Times New Roman"/>
                <w:noProof/>
                <w:sz w:val="26"/>
                <w:szCs w:val="26"/>
                <w:lang w:val="vi-VN"/>
              </w:rPr>
              <w:t xml:space="preserve">         </w:t>
            </w:r>
            <w:r w:rsidRPr="00920C64">
              <w:rPr>
                <w:rFonts w:eastAsia="Times New Roman"/>
                <w:noProof/>
                <w:sz w:val="26"/>
                <w:szCs w:val="26"/>
              </w:rPr>
              <w:t>/TTr-BTC</w:t>
            </w:r>
          </w:p>
        </w:tc>
        <w:tc>
          <w:tcPr>
            <w:tcW w:w="6237" w:type="dxa"/>
          </w:tcPr>
          <w:p w:rsidR="00920C64" w:rsidRPr="00920C64" w:rsidRDefault="00FA77F6" w:rsidP="00E0392A">
            <w:pPr>
              <w:keepNext/>
              <w:spacing w:before="0" w:after="0"/>
              <w:jc w:val="center"/>
              <w:outlineLvl w:val="0"/>
              <w:rPr>
                <w:rFonts w:eastAsia="Times New Roman"/>
                <w:i/>
                <w:iCs/>
                <w:noProof/>
              </w:rPr>
            </w:pPr>
            <w:r>
              <w:rPr>
                <w:rFonts w:eastAsia="Times New Roman"/>
                <w:i/>
                <w:iCs/>
                <w:noProof/>
              </w:rPr>
              <w:t>Hà Nội, ngày</w:t>
            </w:r>
            <w:r w:rsidR="00920C64">
              <w:rPr>
                <w:rFonts w:eastAsia="Times New Roman"/>
                <w:i/>
                <w:iCs/>
                <w:noProof/>
              </w:rPr>
              <w:t xml:space="preserve"> </w:t>
            </w:r>
            <w:r w:rsidR="00E0392A">
              <w:rPr>
                <w:rFonts w:eastAsia="Times New Roman"/>
                <w:i/>
                <w:iCs/>
                <w:noProof/>
              </w:rPr>
              <w:t xml:space="preserve">   </w:t>
            </w:r>
            <w:r w:rsidR="00920C64" w:rsidRPr="00920C64">
              <w:rPr>
                <w:rFonts w:eastAsia="Times New Roman"/>
                <w:i/>
                <w:iCs/>
                <w:noProof/>
              </w:rPr>
              <w:t>tháng</w:t>
            </w:r>
            <w:r w:rsidR="00920C64">
              <w:rPr>
                <w:rFonts w:eastAsia="Times New Roman"/>
                <w:i/>
                <w:iCs/>
                <w:noProof/>
              </w:rPr>
              <w:t xml:space="preserve"> </w:t>
            </w:r>
            <w:r w:rsidR="00E0392A">
              <w:rPr>
                <w:rFonts w:eastAsia="Times New Roman"/>
                <w:i/>
                <w:iCs/>
                <w:noProof/>
              </w:rPr>
              <w:t xml:space="preserve">   </w:t>
            </w:r>
            <w:r w:rsidR="00920C64" w:rsidRPr="00920C64">
              <w:rPr>
                <w:rFonts w:eastAsia="Times New Roman"/>
                <w:i/>
                <w:iCs/>
                <w:noProof/>
              </w:rPr>
              <w:t xml:space="preserve"> năm </w:t>
            </w:r>
            <w:r w:rsidR="00920C64">
              <w:rPr>
                <w:rFonts w:eastAsia="Times New Roman"/>
                <w:i/>
                <w:iCs/>
                <w:noProof/>
              </w:rPr>
              <w:t>2018</w:t>
            </w:r>
          </w:p>
        </w:tc>
      </w:tr>
    </w:tbl>
    <w:p w:rsidR="00920C64" w:rsidRPr="00920C64" w:rsidRDefault="00920C64" w:rsidP="00920C64">
      <w:pPr>
        <w:spacing w:before="0" w:after="0"/>
        <w:jc w:val="center"/>
        <w:outlineLvl w:val="0"/>
        <w:rPr>
          <w:rFonts w:eastAsia="Times New Roman"/>
          <w:b/>
          <w:bCs/>
          <w:noProof/>
          <w:sz w:val="24"/>
          <w:szCs w:val="24"/>
        </w:rPr>
      </w:pPr>
    </w:p>
    <w:p w:rsidR="00920C64" w:rsidRPr="00920C64" w:rsidRDefault="009B6A0E" w:rsidP="00920C64">
      <w:pPr>
        <w:spacing w:after="0"/>
        <w:jc w:val="center"/>
        <w:outlineLvl w:val="0"/>
        <w:rPr>
          <w:rFonts w:eastAsia="Times New Roman"/>
          <w:b/>
          <w:bCs/>
          <w:noProof/>
        </w:rPr>
      </w:pPr>
      <w:r>
        <w:rPr>
          <w:rFonts w:eastAsia="Times New Roman"/>
          <w:b/>
          <w:bCs/>
          <w:noProof/>
          <w:sz w:val="24"/>
          <w:szCs w:val="24"/>
        </w:rPr>
        <w:pict>
          <v:rect id="Rectangle 7" o:spid="_x0000_s1028" style="position:absolute;left:0;text-align:left;margin-left:68.9pt;margin-top:11.4pt;width:78pt;height:22.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" fillcolor="white [3201]" strokecolor="#f79646 [3209]" strokeweight="2pt">
            <v:textbox>
              <w:txbxContent>
                <w:p w:rsidR="00EE7D73" w:rsidRPr="00FA77F6" w:rsidRDefault="00EE7D73" w:rsidP="00642DBE">
                  <w:pPr>
                    <w:spacing w:before="0" w:after="0"/>
                    <w:jc w:val="center"/>
                    <w:rPr>
                      <w:b/>
                      <w:sz w:val="26"/>
                      <w:szCs w:val="26"/>
                    </w:rPr>
                  </w:pPr>
                  <w:r w:rsidRPr="00FA77F6">
                    <w:rPr>
                      <w:b/>
                      <w:sz w:val="26"/>
                      <w:szCs w:val="26"/>
                    </w:rPr>
                    <w:t>DỰ THẢO</w:t>
                  </w:r>
                </w:p>
              </w:txbxContent>
            </v:textbox>
          </v:rect>
        </w:pict>
      </w:r>
    </w:p>
    <w:p w:rsidR="003D102E" w:rsidRDefault="003D102E" w:rsidP="00920C64">
      <w:pPr>
        <w:spacing w:after="0"/>
        <w:jc w:val="center"/>
        <w:outlineLvl w:val="0"/>
        <w:rPr>
          <w:rFonts w:eastAsia="Times New Roman"/>
          <w:b/>
          <w:bCs/>
          <w:noProof/>
        </w:rPr>
      </w:pPr>
    </w:p>
    <w:p w:rsidR="00920C64" w:rsidRPr="00920C64" w:rsidRDefault="00920C64" w:rsidP="00920C64">
      <w:pPr>
        <w:spacing w:after="0"/>
        <w:jc w:val="center"/>
        <w:outlineLvl w:val="0"/>
        <w:rPr>
          <w:rFonts w:eastAsia="Times New Roman"/>
          <w:b/>
          <w:bCs/>
          <w:noProof/>
        </w:rPr>
      </w:pPr>
      <w:r w:rsidRPr="00920C64">
        <w:rPr>
          <w:rFonts w:eastAsia="Times New Roman"/>
          <w:b/>
          <w:bCs/>
          <w:noProof/>
        </w:rPr>
        <w:t xml:space="preserve">TỜ TRÌNH </w:t>
      </w:r>
    </w:p>
    <w:p w:rsidR="00920C64" w:rsidRPr="00920C64" w:rsidRDefault="00920C64" w:rsidP="00920C64">
      <w:pPr>
        <w:keepNext/>
        <w:spacing w:before="0" w:after="0"/>
        <w:jc w:val="center"/>
        <w:outlineLvl w:val="1"/>
        <w:rPr>
          <w:rFonts w:eastAsia="Times New Roman"/>
          <w:b/>
          <w:bCs/>
          <w:noProof/>
        </w:rPr>
      </w:pPr>
      <w:r w:rsidRPr="00920C64">
        <w:rPr>
          <w:rFonts w:eastAsia="Times New Roman"/>
          <w:b/>
          <w:bCs/>
          <w:noProof/>
        </w:rPr>
        <w:t xml:space="preserve">Về </w:t>
      </w:r>
      <w:r>
        <w:rPr>
          <w:rFonts w:eastAsia="Times New Roman"/>
          <w:b/>
          <w:bCs/>
          <w:noProof/>
        </w:rPr>
        <w:t>dự thảo Nghị định của Chính phủ về nghiệp vụ quản lý nợ công</w:t>
      </w:r>
    </w:p>
    <w:p w:rsidR="00920C64" w:rsidRPr="00920C64" w:rsidRDefault="009B6A0E" w:rsidP="00920C64">
      <w:pPr>
        <w:spacing w:before="0" w:after="0"/>
        <w:rPr>
          <w:rFonts w:eastAsia="Times New Roman"/>
          <w:noProof/>
          <w:sz w:val="14"/>
        </w:rPr>
      </w:pPr>
      <w:r>
        <w:rPr>
          <w:rFonts w:eastAsia="Times New Roman"/>
          <w:noProof/>
          <w:sz w:val="14"/>
        </w:rPr>
        <w:pict>
          <v:shape id="Straight Arrow Connector 4" o:spid="_x0000_s1027" type="#_x0000_t32" style="position:absolute;margin-left:176.6pt;margin-top:3.6pt;width:11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"/>
        </w:pict>
      </w:r>
    </w:p>
    <w:p w:rsidR="00920C64" w:rsidRPr="00920C64" w:rsidRDefault="00920C64" w:rsidP="00920C64">
      <w:pPr>
        <w:keepNext/>
        <w:spacing w:before="0" w:after="0"/>
        <w:jc w:val="center"/>
        <w:outlineLvl w:val="1"/>
        <w:rPr>
          <w:rFonts w:eastAsia="Times New Roman"/>
          <w:bCs/>
          <w:noProof/>
        </w:rPr>
      </w:pPr>
    </w:p>
    <w:p w:rsidR="00920C64" w:rsidRPr="00920C64" w:rsidRDefault="00920C64" w:rsidP="00920C64">
      <w:pPr>
        <w:keepNext/>
        <w:spacing w:before="0" w:after="0"/>
        <w:jc w:val="center"/>
        <w:outlineLvl w:val="1"/>
        <w:rPr>
          <w:rFonts w:eastAsia="Times New Roman"/>
          <w:bCs/>
          <w:noProof/>
        </w:rPr>
      </w:pPr>
      <w:r w:rsidRPr="00920C64">
        <w:rPr>
          <w:rFonts w:eastAsia="Times New Roman"/>
          <w:bCs/>
          <w:noProof/>
        </w:rPr>
        <w:t>Kính gửi: Chính phủ</w:t>
      </w:r>
    </w:p>
    <w:p w:rsidR="00920C64" w:rsidRPr="00920C64" w:rsidRDefault="00920C64" w:rsidP="00920C64">
      <w:pPr>
        <w:spacing w:before="0" w:after="0"/>
        <w:rPr>
          <w:rFonts w:eastAsia="Times New Roman"/>
          <w:noProof/>
          <w:sz w:val="24"/>
          <w:szCs w:val="24"/>
        </w:rPr>
      </w:pPr>
    </w:p>
    <w:p w:rsidR="009C444F" w:rsidRDefault="00920C64" w:rsidP="00920C64">
      <w:pPr>
        <w:jc w:val="both"/>
        <w:rPr>
          <w:rFonts w:eastAsia="Times New Roman"/>
          <w:noProof/>
        </w:rPr>
      </w:pPr>
      <w:r>
        <w:rPr>
          <w:rFonts w:eastAsia="Times New Roman"/>
          <w:noProof/>
        </w:rPr>
        <w:tab/>
      </w:r>
      <w:r w:rsidR="00642DBE">
        <w:rPr>
          <w:rFonts w:eastAsia="Times New Roman"/>
          <w:noProof/>
        </w:rPr>
        <w:t xml:space="preserve">Quyết định số </w:t>
      </w:r>
      <w:r w:rsidR="00675070">
        <w:rPr>
          <w:rFonts w:eastAsia="Times New Roman"/>
          <w:noProof/>
          <w:lang w:val="vi-VN"/>
        </w:rPr>
        <w:t>50</w:t>
      </w:r>
      <w:r w:rsidR="00675070">
        <w:rPr>
          <w:rFonts w:eastAsia="Times New Roman"/>
          <w:noProof/>
        </w:rPr>
        <w:t>/</w:t>
      </w:r>
      <w:r w:rsidR="00642DBE">
        <w:rPr>
          <w:rFonts w:eastAsia="Times New Roman"/>
          <w:noProof/>
        </w:rPr>
        <w:t xml:space="preserve">QĐ-TTg ngày </w:t>
      </w:r>
      <w:r w:rsidR="00675070">
        <w:rPr>
          <w:rFonts w:eastAsia="Times New Roman"/>
          <w:noProof/>
          <w:lang w:val="vi-VN"/>
        </w:rPr>
        <w:t xml:space="preserve">11 </w:t>
      </w:r>
      <w:r>
        <w:rPr>
          <w:rFonts w:eastAsia="Times New Roman"/>
          <w:noProof/>
        </w:rPr>
        <w:t xml:space="preserve">tháng </w:t>
      </w:r>
      <w:r w:rsidR="00675070">
        <w:rPr>
          <w:rFonts w:eastAsia="Times New Roman"/>
          <w:noProof/>
          <w:lang w:val="vi-VN"/>
        </w:rPr>
        <w:t xml:space="preserve">01 </w:t>
      </w:r>
      <w:r>
        <w:rPr>
          <w:rFonts w:eastAsia="Times New Roman"/>
          <w:noProof/>
        </w:rPr>
        <w:t>năm 2018 của Thủ tướng Chính phủ về việc ban hành danh mục và phân công cơ quan chủ trì soạn thảo văn bản của Chính phủ, Thủ tướng Chính phủ hướng dẫn thi hành các Luật đã được Quốc hội khóa XIV thông qua tạ</w:t>
      </w:r>
      <w:r w:rsidR="00642DBE">
        <w:rPr>
          <w:rFonts w:eastAsia="Times New Roman"/>
          <w:noProof/>
        </w:rPr>
        <w:t xml:space="preserve">i Kỳ họp thứ 4 giao </w:t>
      </w:r>
      <w:r>
        <w:rPr>
          <w:rFonts w:eastAsia="Times New Roman"/>
          <w:noProof/>
        </w:rPr>
        <w:t>Bộ Tài chính chủ trì, phối hợp với các cơ quan liên quan xây dựng dự thảo Nghị định của Chính phủ hướng về nghiệp vụ quản lý nợ công, trình C</w:t>
      </w:r>
      <w:r w:rsidR="00642DBE">
        <w:rPr>
          <w:rFonts w:eastAsia="Times New Roman"/>
          <w:noProof/>
        </w:rPr>
        <w:t>hính phủ trong tháng 4 năm 2018. Thực hiện phân công của Chính phủ</w:t>
      </w:r>
      <w:r w:rsidR="009B6A0E">
        <w:rPr>
          <w:rFonts w:eastAsia="Times New Roman"/>
          <w:noProof/>
          <w:lang w:val="vi-VN"/>
        </w:rPr>
        <w:t xml:space="preserve">, </w:t>
      </w:r>
      <w:r w:rsidR="00642DBE">
        <w:rPr>
          <w:rFonts w:eastAsia="Times New Roman"/>
          <w:noProof/>
        </w:rPr>
        <w:t>Thủ tướng Chính phủ,</w:t>
      </w:r>
      <w:r>
        <w:rPr>
          <w:rFonts w:eastAsia="Times New Roman"/>
          <w:noProof/>
        </w:rPr>
        <w:t xml:space="preserve"> Bộ Tài chính đã thành lập Ban Soạn thảo, </w:t>
      </w:r>
      <w:r w:rsidR="009C444F">
        <w:rPr>
          <w:rFonts w:eastAsia="Times New Roman"/>
          <w:noProof/>
        </w:rPr>
        <w:t xml:space="preserve">Tổ </w:t>
      </w:r>
      <w:r w:rsidR="0000795E">
        <w:rPr>
          <w:rFonts w:eastAsia="Times New Roman"/>
          <w:noProof/>
        </w:rPr>
        <w:t>biên tập</w:t>
      </w:r>
      <w:r w:rsidR="00EE7D73">
        <w:rPr>
          <w:rFonts w:eastAsia="Times New Roman"/>
          <w:noProof/>
        </w:rPr>
        <w:t xml:space="preserve"> </w:t>
      </w:r>
      <w:r w:rsidR="009C444F">
        <w:rPr>
          <w:rFonts w:eastAsia="Times New Roman"/>
          <w:noProof/>
        </w:rPr>
        <w:t>và tổ chức nghiên cứu, soạn thảo Nghị định</w:t>
      </w:r>
      <w:r w:rsidR="00642DBE">
        <w:rPr>
          <w:rFonts w:eastAsia="Times New Roman"/>
          <w:noProof/>
        </w:rPr>
        <w:t xml:space="preserve"> </w:t>
      </w:r>
      <w:r w:rsidR="009C444F">
        <w:rPr>
          <w:rFonts w:eastAsia="Times New Roman"/>
          <w:noProof/>
        </w:rPr>
        <w:t xml:space="preserve">theo đúng quy định của Luật Ban hành văn bản quy phạm pháp luật. Trong quá trình soạn thảo, Bộ Tài chính đã tổ chức lấy ý kiến các cơ quan có liên quan ở trung ương và địa phương. Hồ sơ dự thảo Nghị định đã được Bộ Tư pháp thẩm định tại văn bản thẩm định số </w:t>
      </w:r>
      <w:r w:rsidR="004D65D4">
        <w:rPr>
          <w:rFonts w:eastAsia="Times New Roman"/>
          <w:noProof/>
        </w:rPr>
        <w:t>…</w:t>
      </w:r>
      <w:r w:rsidR="00642DBE">
        <w:rPr>
          <w:rFonts w:eastAsia="Times New Roman"/>
          <w:noProof/>
        </w:rPr>
        <w:t xml:space="preserve">/BTP-PLDSKT ngày </w:t>
      </w:r>
      <w:r w:rsidR="004D65D4">
        <w:rPr>
          <w:rFonts w:eastAsia="Times New Roman"/>
          <w:noProof/>
        </w:rPr>
        <w:t>…</w:t>
      </w:r>
      <w:r w:rsidR="009C444F">
        <w:rPr>
          <w:rFonts w:eastAsia="Times New Roman"/>
          <w:noProof/>
        </w:rPr>
        <w:t xml:space="preserve"> tháng </w:t>
      </w:r>
      <w:r w:rsidR="004D65D4">
        <w:rPr>
          <w:rFonts w:eastAsia="Times New Roman"/>
          <w:noProof/>
        </w:rPr>
        <w:t>…</w:t>
      </w:r>
      <w:r w:rsidR="009C444F">
        <w:rPr>
          <w:rFonts w:eastAsia="Times New Roman"/>
          <w:noProof/>
        </w:rPr>
        <w:t xml:space="preserve"> năm 2018 của Bộ Tư pháp.</w:t>
      </w:r>
    </w:p>
    <w:p w:rsidR="00920C64" w:rsidRDefault="009C444F" w:rsidP="00920C64">
      <w:pPr>
        <w:jc w:val="both"/>
        <w:rPr>
          <w:rFonts w:eastAsia="Times New Roman"/>
          <w:noProof/>
        </w:rPr>
      </w:pPr>
      <w:r>
        <w:rPr>
          <w:rFonts w:eastAsia="Times New Roman"/>
          <w:noProof/>
        </w:rPr>
        <w:tab/>
        <w:t>Bộ Tài chính báo cáo Chính phủ một số nội dung cơ bản của dự thảo Nghị định của Chính phủ về nghiệp vụ quản lý nợ công (sau đây gọi tắt là Nghị định) như sau:</w:t>
      </w:r>
    </w:p>
    <w:p w:rsidR="00A03B20" w:rsidRDefault="009C444F" w:rsidP="00A03B20">
      <w:pPr>
        <w:ind w:firstLine="720"/>
        <w:jc w:val="both"/>
        <w:rPr>
          <w:b/>
          <w:noProof/>
          <w:sz w:val="26"/>
        </w:rPr>
      </w:pPr>
      <w:r w:rsidRPr="0019291F">
        <w:rPr>
          <w:b/>
          <w:noProof/>
          <w:sz w:val="26"/>
        </w:rPr>
        <w:t>I. SỰ CẦN THIẾT VÀ CĂN CỨ BAN HÀNH NGHỊ ĐỊNH</w:t>
      </w:r>
    </w:p>
    <w:p w:rsidR="00642DBE" w:rsidRPr="004B331A" w:rsidRDefault="00EF78CA" w:rsidP="00A03B20">
      <w:pPr>
        <w:ind w:firstLine="709"/>
        <w:jc w:val="both"/>
      </w:pPr>
      <w:r>
        <w:rPr>
          <w:i/>
          <w:noProof/>
        </w:rPr>
        <w:t xml:space="preserve">- </w:t>
      </w:r>
      <w:r w:rsidR="0019291F" w:rsidRPr="004B331A">
        <w:rPr>
          <w:noProof/>
        </w:rPr>
        <w:t>Luật Quản lý nợ công số 20/2017/QH14 đã được Quốc hội thông q</w:t>
      </w:r>
      <w:r w:rsidR="00642DBE" w:rsidRPr="004B331A">
        <w:rPr>
          <w:noProof/>
        </w:rPr>
        <w:t xml:space="preserve">ua ngày 23 tháng 11 năm 2017, </w:t>
      </w:r>
      <w:r w:rsidR="0019291F" w:rsidRPr="004B331A">
        <w:rPr>
          <w:noProof/>
        </w:rPr>
        <w:t>có hiệu lực thi hành từ ngày 1 tháng 7 năm 2018, trong đó, cùng với việc giao Chính phủ quy định cụ thể thi hành các nội dung về quản lý huy động vốn vay, cho vay lại vốn vay nước ngoài của Chính phủ, cấp và quản lý bảo lãnh</w:t>
      </w:r>
      <w:r w:rsidR="00642DBE" w:rsidRPr="004B331A">
        <w:rPr>
          <w:noProof/>
        </w:rPr>
        <w:t xml:space="preserve"> Chính phủ</w:t>
      </w:r>
      <w:r w:rsidR="0019291F" w:rsidRPr="004B331A">
        <w:rPr>
          <w:noProof/>
        </w:rPr>
        <w:t>, quản lý nợ của chính quyền địa phương và quản lý Quỹ Tích lũy trả nợ, Luật cũng đã đặt ra yêu cầu hướng dẫn các nộ</w:t>
      </w:r>
      <w:r w:rsidR="00642DBE" w:rsidRPr="004B331A">
        <w:rPr>
          <w:noProof/>
        </w:rPr>
        <w:t xml:space="preserve">i dung chung đối với các nghiệp vụ </w:t>
      </w:r>
      <w:r w:rsidR="0019291F" w:rsidRPr="004B331A">
        <w:rPr>
          <w:noProof/>
        </w:rPr>
        <w:t>quản lý nợ công</w:t>
      </w:r>
      <w:r w:rsidR="008C2B58">
        <w:rPr>
          <w:noProof/>
          <w:lang w:val="vi-VN"/>
        </w:rPr>
        <w:t>,</w:t>
      </w:r>
      <w:r w:rsidR="0019291F" w:rsidRPr="004B331A">
        <w:rPr>
          <w:noProof/>
        </w:rPr>
        <w:t xml:space="preserve"> bao gồm: xây dựng và thực hiện các công cụ quản lý nợ công</w:t>
      </w:r>
      <w:r w:rsidR="0000795E">
        <w:rPr>
          <w:noProof/>
        </w:rPr>
        <w:t xml:space="preserve"> bao gồm các chỉ tiêu an toàn nợ công, kế hoạch vay trả nợ công 5 năm, kế hoạch quản lý nợ trung hạn 3 năm, kế hoạch vay trả nợ hẳng năm</w:t>
      </w:r>
      <w:r w:rsidR="0019291F" w:rsidRPr="004B331A">
        <w:rPr>
          <w:noProof/>
        </w:rPr>
        <w:t>; quản lý rủi ro nợ công</w:t>
      </w:r>
      <w:r w:rsidR="00642DBE" w:rsidRPr="004B331A">
        <w:rPr>
          <w:noProof/>
        </w:rPr>
        <w:t>;</w:t>
      </w:r>
      <w:r w:rsidR="0019291F" w:rsidRPr="004B331A">
        <w:rPr>
          <w:noProof/>
        </w:rPr>
        <w:t xml:space="preserve"> </w:t>
      </w:r>
      <w:r w:rsidR="004D65D4">
        <w:t>thống kê, báo</w:t>
      </w:r>
      <w:r w:rsidR="0019291F" w:rsidRPr="004B331A">
        <w:rPr>
          <w:lang w:val="vi-VN"/>
        </w:rPr>
        <w:t xml:space="preserve"> cáo và công bố thông tin về nợ cô</w:t>
      </w:r>
      <w:r w:rsidR="00642DBE" w:rsidRPr="004B331A">
        <w:rPr>
          <w:lang w:val="vi-VN"/>
        </w:rPr>
        <w:t>ng</w:t>
      </w:r>
      <w:r w:rsidR="0000795E">
        <w:t>.</w:t>
      </w:r>
    </w:p>
    <w:p w:rsidR="00A03B20" w:rsidRPr="00866E1E" w:rsidRDefault="0000795E" w:rsidP="00A03B20">
      <w:pPr>
        <w:ind w:firstLine="720"/>
        <w:jc w:val="both"/>
        <w:rPr>
          <w:b/>
          <w:noProof/>
        </w:rPr>
      </w:pPr>
      <w:r w:rsidRPr="008C2B58">
        <w:rPr>
          <w:rFonts w:ascii="14" w:hAnsi="14"/>
        </w:rPr>
        <w:t>C</w:t>
      </w:r>
      <w:r w:rsidRPr="008C2B58">
        <w:rPr>
          <w:rFonts w:ascii="14" w:hAnsi="14" w:hint="eastAsia"/>
        </w:rPr>
        <w:t>á</w:t>
      </w:r>
      <w:r w:rsidRPr="008C2B58">
        <w:rPr>
          <w:rFonts w:ascii="14" w:hAnsi="14"/>
        </w:rPr>
        <w:t>c nội dung n</w:t>
      </w:r>
      <w:r w:rsidRPr="008C2B58">
        <w:rPr>
          <w:rFonts w:ascii="14" w:hAnsi="14" w:hint="eastAsia"/>
        </w:rPr>
        <w:t>ó</w:t>
      </w:r>
      <w:r w:rsidRPr="008C2B58">
        <w:rPr>
          <w:rFonts w:ascii="14" w:hAnsi="14"/>
        </w:rPr>
        <w:t>i tr</w:t>
      </w:r>
      <w:r w:rsidRPr="008C2B58">
        <w:rPr>
          <w:rFonts w:ascii="14" w:hAnsi="14" w:hint="eastAsia"/>
        </w:rPr>
        <w:t>ê</w:t>
      </w:r>
      <w:r w:rsidRPr="008C2B58">
        <w:rPr>
          <w:rFonts w:ascii="14" w:hAnsi="14"/>
        </w:rPr>
        <w:t>n l</w:t>
      </w:r>
      <w:r w:rsidRPr="008C2B58">
        <w:rPr>
          <w:rFonts w:ascii="14" w:hAnsi="14" w:hint="eastAsia"/>
        </w:rPr>
        <w:t>à</w:t>
      </w:r>
      <w:r w:rsidRPr="008C2B58">
        <w:rPr>
          <w:rFonts w:ascii="14" w:hAnsi="14"/>
        </w:rPr>
        <w:t xml:space="preserve"> hết sức quan trọng nhằm </w:t>
      </w:r>
      <w:r w:rsidRPr="008C2B58">
        <w:rPr>
          <w:rFonts w:ascii="14" w:hAnsi="14" w:hint="eastAsia"/>
        </w:rPr>
        <w:t>đ</w:t>
      </w:r>
      <w:r w:rsidRPr="008C2B58">
        <w:rPr>
          <w:rFonts w:ascii="14" w:hAnsi="14"/>
        </w:rPr>
        <w:t>ảm bảo quản l</w:t>
      </w:r>
      <w:r w:rsidRPr="008C2B58">
        <w:rPr>
          <w:rFonts w:ascii="14" w:hAnsi="14" w:hint="eastAsia"/>
        </w:rPr>
        <w:t>ý</w:t>
      </w:r>
      <w:r w:rsidRPr="008C2B58">
        <w:rPr>
          <w:rFonts w:ascii="14" w:hAnsi="14"/>
        </w:rPr>
        <w:t xml:space="preserve"> nợ c</w:t>
      </w:r>
      <w:r w:rsidRPr="008C2B58">
        <w:rPr>
          <w:rFonts w:ascii="14" w:hAnsi="14" w:hint="eastAsia"/>
        </w:rPr>
        <w:t>ô</w:t>
      </w:r>
      <w:r w:rsidRPr="008C2B58">
        <w:rPr>
          <w:rFonts w:ascii="14" w:hAnsi="14"/>
        </w:rPr>
        <w:t>ng bền vững, v</w:t>
      </w:r>
      <w:r w:rsidR="00676AF8" w:rsidRPr="008C2B58">
        <w:rPr>
          <w:rFonts w:ascii="14" w:hAnsi="14" w:hint="eastAsia"/>
        </w:rPr>
        <w:t>ì</w:t>
      </w:r>
      <w:r w:rsidR="00676AF8" w:rsidRPr="008C2B58">
        <w:rPr>
          <w:rFonts w:ascii="14" w:hAnsi="14"/>
        </w:rPr>
        <w:t xml:space="preserve"> vậy, việc ban h</w:t>
      </w:r>
      <w:r w:rsidR="00676AF8" w:rsidRPr="008C2B58">
        <w:rPr>
          <w:rFonts w:ascii="14" w:hAnsi="14" w:hint="eastAsia"/>
        </w:rPr>
        <w:t>à</w:t>
      </w:r>
      <w:r w:rsidR="00676AF8" w:rsidRPr="008C2B58">
        <w:rPr>
          <w:rFonts w:ascii="14" w:hAnsi="14"/>
        </w:rPr>
        <w:t xml:space="preserve">nh Nghị </w:t>
      </w:r>
      <w:r w:rsidR="00676AF8" w:rsidRPr="008C2B58">
        <w:rPr>
          <w:rFonts w:ascii="14" w:hAnsi="14" w:hint="eastAsia"/>
        </w:rPr>
        <w:t>đ</w:t>
      </w:r>
      <w:r w:rsidR="00676AF8" w:rsidRPr="008C2B58">
        <w:rPr>
          <w:rFonts w:ascii="14" w:hAnsi="14"/>
        </w:rPr>
        <w:t>ịnh n</w:t>
      </w:r>
      <w:r w:rsidR="00676AF8" w:rsidRPr="008C2B58">
        <w:rPr>
          <w:rFonts w:ascii="14" w:hAnsi="14" w:hint="eastAsia"/>
        </w:rPr>
        <w:t>à</w:t>
      </w:r>
      <w:r w:rsidR="00676AF8" w:rsidRPr="008C2B58">
        <w:rPr>
          <w:rFonts w:ascii="14" w:hAnsi="14"/>
        </w:rPr>
        <w:t>y l</w:t>
      </w:r>
      <w:r w:rsidR="00676AF8" w:rsidRPr="008C2B58">
        <w:rPr>
          <w:rFonts w:ascii="14" w:hAnsi="14" w:hint="eastAsia"/>
        </w:rPr>
        <w:t>à</w:t>
      </w:r>
      <w:r w:rsidR="00676AF8" w:rsidRPr="008C2B58">
        <w:rPr>
          <w:rFonts w:ascii="14" w:hAnsi="14"/>
        </w:rPr>
        <w:t xml:space="preserve"> cần thiết nhằm quy </w:t>
      </w:r>
      <w:r w:rsidR="00676AF8" w:rsidRPr="008C2B58">
        <w:rPr>
          <w:rFonts w:ascii="14" w:hAnsi="14" w:hint="eastAsia"/>
        </w:rPr>
        <w:t>đ</w:t>
      </w:r>
      <w:r w:rsidR="00676AF8" w:rsidRPr="008C2B58">
        <w:rPr>
          <w:rFonts w:ascii="14" w:hAnsi="14"/>
        </w:rPr>
        <w:t xml:space="preserve">ịnh </w:t>
      </w:r>
      <w:r w:rsidR="00676AF8" w:rsidRPr="008C2B58">
        <w:rPr>
          <w:rFonts w:ascii="14" w:hAnsi="14"/>
        </w:rPr>
        <w:lastRenderedPageBreak/>
        <w:t xml:space="preserve">chi tiết một số nội dung </w:t>
      </w:r>
      <w:r w:rsidR="00676AF8" w:rsidRPr="008C2B58">
        <w:rPr>
          <w:rFonts w:ascii="14" w:hAnsi="14" w:hint="eastAsia"/>
        </w:rPr>
        <w:t>đư</w:t>
      </w:r>
      <w:r w:rsidR="00676AF8" w:rsidRPr="008C2B58">
        <w:rPr>
          <w:rFonts w:ascii="14" w:hAnsi="14"/>
        </w:rPr>
        <w:t xml:space="preserve">ợc </w:t>
      </w:r>
      <w:r w:rsidRPr="008C2B58">
        <w:rPr>
          <w:rFonts w:ascii="14" w:hAnsi="14"/>
        </w:rPr>
        <w:t xml:space="preserve">quy </w:t>
      </w:r>
      <w:r w:rsidRPr="008C2B58">
        <w:rPr>
          <w:rFonts w:ascii="14" w:hAnsi="14" w:hint="eastAsia"/>
        </w:rPr>
        <w:t>đ</w:t>
      </w:r>
      <w:r w:rsidRPr="008C2B58">
        <w:rPr>
          <w:rFonts w:ascii="14" w:hAnsi="14"/>
        </w:rPr>
        <w:t>ịnh trong</w:t>
      </w:r>
      <w:r w:rsidR="00EE7D73">
        <w:rPr>
          <w:rFonts w:ascii="14" w:hAnsi="14"/>
        </w:rPr>
        <w:t xml:space="preserve"> </w:t>
      </w:r>
      <w:r w:rsidR="00676AF8" w:rsidRPr="008C2B58">
        <w:rPr>
          <w:rFonts w:ascii="14" w:hAnsi="14"/>
        </w:rPr>
        <w:t xml:space="preserve">Luật, </w:t>
      </w:r>
      <w:r w:rsidR="00676AF8" w:rsidRPr="008C2B58">
        <w:rPr>
          <w:rFonts w:ascii="14" w:hAnsi="14" w:hint="eastAsia"/>
        </w:rPr>
        <w:t>đ</w:t>
      </w:r>
      <w:r w:rsidR="00676AF8" w:rsidRPr="008C2B58">
        <w:rPr>
          <w:rFonts w:ascii="14" w:hAnsi="14"/>
        </w:rPr>
        <w:t>ảm bảo t</w:t>
      </w:r>
      <w:r w:rsidR="00676AF8" w:rsidRPr="008C2B58">
        <w:rPr>
          <w:rFonts w:ascii="14" w:hAnsi="14" w:hint="eastAsia"/>
        </w:rPr>
        <w:t>í</w:t>
      </w:r>
      <w:r w:rsidR="00676AF8" w:rsidRPr="008C2B58">
        <w:rPr>
          <w:rFonts w:ascii="14" w:hAnsi="14"/>
        </w:rPr>
        <w:t xml:space="preserve">nh khả thi của Luật khi </w:t>
      </w:r>
      <w:r w:rsidR="00676AF8" w:rsidRPr="008C2B58">
        <w:rPr>
          <w:rFonts w:ascii="14" w:hAnsi="14" w:hint="eastAsia"/>
        </w:rPr>
        <w:t>đư</w:t>
      </w:r>
      <w:r w:rsidR="00676AF8" w:rsidRPr="008C2B58">
        <w:rPr>
          <w:rFonts w:ascii="14" w:hAnsi="14"/>
        </w:rPr>
        <w:t>a v</w:t>
      </w:r>
      <w:r w:rsidR="00676AF8" w:rsidRPr="008C2B58">
        <w:rPr>
          <w:rFonts w:ascii="14" w:hAnsi="14" w:hint="eastAsia"/>
        </w:rPr>
        <w:t>à</w:t>
      </w:r>
      <w:r w:rsidR="00676AF8" w:rsidRPr="008C2B58">
        <w:rPr>
          <w:rFonts w:ascii="14" w:hAnsi="14"/>
        </w:rPr>
        <w:t>o thực hiện.</w:t>
      </w:r>
    </w:p>
    <w:p w:rsidR="00A03B20" w:rsidRPr="004B331A" w:rsidRDefault="00EF78CA" w:rsidP="008C2B58">
      <w:pPr>
        <w:ind w:firstLine="709"/>
        <w:jc w:val="both"/>
        <w:rPr>
          <w:rFonts w:eastAsia="SimSun"/>
          <w:i/>
          <w:lang w:val="nb-NO"/>
        </w:rPr>
      </w:pPr>
      <w:r>
        <w:rPr>
          <w:i/>
          <w:noProof/>
        </w:rPr>
        <w:t xml:space="preserve">- </w:t>
      </w:r>
      <w:r w:rsidR="00676AF8" w:rsidRPr="004B331A">
        <w:rPr>
          <w:rFonts w:eastAsia="SimSun"/>
          <w:lang w:val="nb-NO"/>
        </w:rPr>
        <w:t>Nghị quyết số 07-NQ/TW ngày 18/11/2016 của Bộ Chính trị về chủ trương, giải pháp cơ cấu lại ngân sách nhà nước, quản lý nợ công để đảm bảo nền tài chính quốc gia an toàn, bền vững đã chỉ rõ sự cần thiết phải hoàn thiện thể chế, chính sách, công cụ, bộ máy quản lý nợ công để kiểm soát toàn diện rủi ro và hiệu quả nợ công</w:t>
      </w:r>
      <w:r w:rsidR="0000795E">
        <w:rPr>
          <w:rFonts w:eastAsia="SimSun"/>
          <w:lang w:val="nb-NO"/>
        </w:rPr>
        <w:t xml:space="preserve">. </w:t>
      </w:r>
      <w:r w:rsidR="00171724">
        <w:rPr>
          <w:rFonts w:eastAsia="SimSun"/>
          <w:lang w:val="vi-VN"/>
        </w:rPr>
        <w:t>V</w:t>
      </w:r>
      <w:r w:rsidR="00676AF8" w:rsidRPr="008C2B58">
        <w:rPr>
          <w:rFonts w:eastAsia="SimSun"/>
          <w:lang w:val="nb-NO"/>
        </w:rPr>
        <w:t>iệc ban hành Nghị định về nghiệp vụ quản lý nợ</w:t>
      </w:r>
      <w:r w:rsidR="00852747" w:rsidRPr="008C2B58">
        <w:rPr>
          <w:rFonts w:eastAsia="SimSun"/>
          <w:lang w:val="nb-NO"/>
        </w:rPr>
        <w:t xml:space="preserve"> công là cần thiết,</w:t>
      </w:r>
      <w:r w:rsidR="00EE7D73">
        <w:rPr>
          <w:rFonts w:eastAsia="SimSun"/>
          <w:lang w:val="nb-NO"/>
        </w:rPr>
        <w:t xml:space="preserve"> </w:t>
      </w:r>
      <w:r w:rsidR="00852747" w:rsidRPr="008C2B58">
        <w:rPr>
          <w:rFonts w:eastAsia="SimSun"/>
          <w:lang w:val="nb-NO"/>
        </w:rPr>
        <w:t>là bước tiếp theo</w:t>
      </w:r>
      <w:r w:rsidR="00866E1E">
        <w:rPr>
          <w:rFonts w:eastAsia="SimSun"/>
          <w:lang w:val="nb-NO"/>
        </w:rPr>
        <w:t xml:space="preserve"> sau khi ban hành Luật Quản lý nợ công</w:t>
      </w:r>
      <w:r w:rsidR="00852747" w:rsidRPr="008C2B58">
        <w:rPr>
          <w:rFonts w:eastAsia="SimSun"/>
          <w:lang w:val="nb-NO"/>
        </w:rPr>
        <w:t xml:space="preserve"> trong thể chế hóa chủ trương đường lối của Đảng</w:t>
      </w:r>
      <w:r w:rsidR="00866E1E">
        <w:rPr>
          <w:rFonts w:eastAsia="SimSun"/>
          <w:lang w:val="nb-NO"/>
        </w:rPr>
        <w:t>.</w:t>
      </w:r>
      <w:r w:rsidR="00852747" w:rsidRPr="008C2B58">
        <w:rPr>
          <w:rFonts w:eastAsia="SimSun"/>
          <w:lang w:val="nb-NO"/>
        </w:rPr>
        <w:t xml:space="preserve"> </w:t>
      </w:r>
    </w:p>
    <w:p w:rsidR="0019291F" w:rsidRPr="008C2B58" w:rsidRDefault="00EF78CA" w:rsidP="0019291F">
      <w:pPr>
        <w:ind w:firstLine="720"/>
        <w:jc w:val="both"/>
      </w:pPr>
      <w:r>
        <w:rPr>
          <w:rFonts w:eastAsia="SimSun"/>
          <w:b/>
          <w:lang w:val="nb-NO"/>
        </w:rPr>
        <w:t xml:space="preserve">- </w:t>
      </w:r>
      <w:r w:rsidR="00866E1E" w:rsidRPr="008C2B58">
        <w:t xml:space="preserve">Nghị định số 79/2010/NĐ-CP hướng dẫn Luật Quản lý nợ công năm 2009 cũng đã quy định một số nội dung </w:t>
      </w:r>
      <w:r w:rsidR="00DE39EC" w:rsidRPr="008C2B58">
        <w:t>về</w:t>
      </w:r>
      <w:r w:rsidR="00866E1E" w:rsidRPr="008C2B58">
        <w:t xml:space="preserve"> nghiệp vụ quản lý nợ công</w:t>
      </w:r>
      <w:r>
        <w:t xml:space="preserve"> (như các công cụ kế hoạch đối với quản lý nợ công, công tác quản lý rủi ro, công tác thống kê, báo cáo và công khai thông tin nợ công)</w:t>
      </w:r>
      <w:r w:rsidR="00DE39EC" w:rsidRPr="008C2B58">
        <w:t>; những nội dung này vẫ</w:t>
      </w:r>
      <w:r w:rsidR="00EE7D73" w:rsidRPr="008C2B58">
        <w:t xml:space="preserve">n đảm bảo </w:t>
      </w:r>
      <w:r w:rsidR="00DE39EC" w:rsidRPr="008C2B58">
        <w:t>phù hợp, có thể kế thừa; tuy nhiên cũng có một số nội dung cần được bổ sung</w:t>
      </w:r>
      <w:r w:rsidR="00FC3248">
        <w:rPr>
          <w:lang w:val="vi-VN"/>
        </w:rPr>
        <w:t>,</w:t>
      </w:r>
      <w:r w:rsidR="00DE39EC" w:rsidRPr="008C2B58">
        <w:t xml:space="preserve"> sửa đổi nhằm hoàn thiện cơ chế quản lý nợ công theo quy định của Luật Quản lý nợ</w:t>
      </w:r>
      <w:r w:rsidR="009B6A0E">
        <w:t xml:space="preserve"> công năm 2017,</w:t>
      </w:r>
      <w:r w:rsidR="004B331A" w:rsidRPr="008C2B58">
        <w:t xml:space="preserve"> trong đó </w:t>
      </w:r>
      <w:r w:rsidR="009B6A0E">
        <w:rPr>
          <w:lang w:val="vi-VN"/>
        </w:rPr>
        <w:t xml:space="preserve">có các nội dung như đánh </w:t>
      </w:r>
      <w:r w:rsidR="00FA77F6" w:rsidRPr="008C2B58">
        <w:t>giá bền vững nợ, triển khai các công cụ quản lý nợ chủ động gắn với các công cụ kế hoạch về tài chính</w:t>
      </w:r>
      <w:r w:rsidR="009B6A0E">
        <w:rPr>
          <w:lang w:val="vi-VN"/>
        </w:rPr>
        <w:t xml:space="preserve"> </w:t>
      </w:r>
      <w:r w:rsidR="00FA77F6" w:rsidRPr="008C2B58">
        <w:t>- ngân sách, công tác quản lý rủi ro và tăng cường công khai, minh bạch trong công tác quản lý dữ liệu, kế toán, kiểm toán và công bố thông tin nợ công.</w:t>
      </w:r>
      <w:r w:rsidR="00DC7BD2" w:rsidRPr="008C2B58">
        <w:t xml:space="preserve"> </w:t>
      </w:r>
    </w:p>
    <w:p w:rsidR="00932E9F" w:rsidRPr="004B331A" w:rsidRDefault="00B52BDF" w:rsidP="0019291F">
      <w:pPr>
        <w:ind w:firstLine="720"/>
        <w:jc w:val="both"/>
        <w:rPr>
          <w:noProof/>
        </w:rPr>
      </w:pPr>
      <w:r>
        <w:rPr>
          <w:noProof/>
        </w:rPr>
        <w:t>Với các nộ</w:t>
      </w:r>
      <w:r w:rsidR="00EE7D73">
        <w:rPr>
          <w:noProof/>
        </w:rPr>
        <w:t>i dung giải trình trên</w:t>
      </w:r>
      <w:r>
        <w:rPr>
          <w:noProof/>
        </w:rPr>
        <w:t xml:space="preserve">, Bộ Tài chính thấy rằng việc ban hành Nghị định về nghiệp vụ quản lý nợ công là cần thiết và có cơ sở pháp lý. </w:t>
      </w:r>
    </w:p>
    <w:p w:rsidR="009C444F" w:rsidRPr="00A03B20" w:rsidRDefault="009C444F" w:rsidP="0019291F">
      <w:pPr>
        <w:ind w:firstLine="720"/>
        <w:jc w:val="both"/>
        <w:rPr>
          <w:b/>
          <w:noProof/>
          <w:sz w:val="26"/>
        </w:rPr>
      </w:pPr>
      <w:r w:rsidRPr="00A03B20">
        <w:rPr>
          <w:b/>
          <w:noProof/>
          <w:sz w:val="26"/>
        </w:rPr>
        <w:t>II. QUAN ĐIỂM VÀ NGUYÊN TẮC XÂY DỰNG NGHỊ ĐỊNH</w:t>
      </w:r>
    </w:p>
    <w:p w:rsidR="009C444F" w:rsidRPr="00A03B20" w:rsidRDefault="009C444F" w:rsidP="0019291F">
      <w:pPr>
        <w:ind w:firstLine="720"/>
        <w:jc w:val="both"/>
        <w:rPr>
          <w:b/>
          <w:noProof/>
        </w:rPr>
      </w:pPr>
      <w:r w:rsidRPr="00A03B20">
        <w:rPr>
          <w:b/>
          <w:noProof/>
        </w:rPr>
        <w:t xml:space="preserve">1. </w:t>
      </w:r>
      <w:r w:rsidR="003D102E">
        <w:rPr>
          <w:b/>
          <w:noProof/>
        </w:rPr>
        <w:t>Q</w:t>
      </w:r>
      <w:r w:rsidR="00A03B20" w:rsidRPr="00A03B20">
        <w:rPr>
          <w:b/>
          <w:noProof/>
        </w:rPr>
        <w:t>uan điểm</w:t>
      </w:r>
    </w:p>
    <w:p w:rsidR="00B52BDF" w:rsidRDefault="00B52BDF" w:rsidP="0019291F">
      <w:pPr>
        <w:ind w:firstLine="720"/>
        <w:jc w:val="both"/>
        <w:rPr>
          <w:noProof/>
        </w:rPr>
      </w:pPr>
      <w:r>
        <w:rPr>
          <w:noProof/>
        </w:rPr>
        <w:t xml:space="preserve">- Quán triệt quan điểm của Đảng, pháp luật của Nhà nước (Luật Quản lý nợ công 2017) trong việc xây dựng Nghị định nhằm </w:t>
      </w:r>
      <w:r w:rsidR="00DE39EC">
        <w:rPr>
          <w:noProof/>
        </w:rPr>
        <w:t xml:space="preserve">hoàn thiện hệ thống </w:t>
      </w:r>
      <w:r>
        <w:rPr>
          <w:noProof/>
        </w:rPr>
        <w:t xml:space="preserve">công cụ quản lý nợ công và </w:t>
      </w:r>
      <w:r w:rsidR="00DE39EC">
        <w:rPr>
          <w:noProof/>
        </w:rPr>
        <w:t xml:space="preserve">phương thức </w:t>
      </w:r>
      <w:r>
        <w:rPr>
          <w:noProof/>
        </w:rPr>
        <w:t xml:space="preserve">quản lý nợ chặt chẽ, hiệu quả, công khai, minh bạch. </w:t>
      </w:r>
    </w:p>
    <w:p w:rsidR="00B52BDF" w:rsidRDefault="00B52BDF" w:rsidP="0019291F">
      <w:pPr>
        <w:ind w:firstLine="720"/>
        <w:jc w:val="both"/>
        <w:rPr>
          <w:noProof/>
        </w:rPr>
      </w:pPr>
      <w:r>
        <w:rPr>
          <w:noProof/>
        </w:rPr>
        <w:t xml:space="preserve">- Đảm bảo tính thống nhất của hệ thống các văn bản pháp luật, bao gồm Luật Quản lý nợ công </w:t>
      </w:r>
      <w:r w:rsidR="00EF78CA">
        <w:rPr>
          <w:noProof/>
        </w:rPr>
        <w:t xml:space="preserve">năm 2017 </w:t>
      </w:r>
      <w:r>
        <w:rPr>
          <w:noProof/>
        </w:rPr>
        <w:t xml:space="preserve">cũng như Luật Ngân sách nhà nước năm 2015 và các văn bản pháp luật khác có liên quan. </w:t>
      </w:r>
    </w:p>
    <w:p w:rsidR="00B52BDF" w:rsidRDefault="00B52BDF" w:rsidP="0019291F">
      <w:pPr>
        <w:ind w:firstLine="720"/>
        <w:jc w:val="both"/>
        <w:rPr>
          <w:noProof/>
        </w:rPr>
      </w:pPr>
      <w:r>
        <w:rPr>
          <w:noProof/>
        </w:rPr>
        <w:t xml:space="preserve">- Xác định rõ vai trò trách nhiệm của các cơ quan trong việc quản lý, giám sát </w:t>
      </w:r>
      <w:r w:rsidR="00EE7D73">
        <w:rPr>
          <w:noProof/>
        </w:rPr>
        <w:t xml:space="preserve">thực hiện </w:t>
      </w:r>
      <w:r>
        <w:rPr>
          <w:noProof/>
        </w:rPr>
        <w:t xml:space="preserve">các chỉ tiêu an toàn nợ công và các công cụ quản lý, phòng ngừa rủi ro một cách hiệu quả, khả thi. </w:t>
      </w:r>
    </w:p>
    <w:p w:rsidR="00A03B20" w:rsidRDefault="00A03B20" w:rsidP="00A03B20">
      <w:pPr>
        <w:ind w:firstLine="720"/>
        <w:jc w:val="both"/>
        <w:rPr>
          <w:b/>
          <w:noProof/>
        </w:rPr>
      </w:pPr>
      <w:r>
        <w:rPr>
          <w:b/>
          <w:noProof/>
        </w:rPr>
        <w:t>2</w:t>
      </w:r>
      <w:r w:rsidR="009C444F" w:rsidRPr="00A03B20">
        <w:rPr>
          <w:b/>
          <w:noProof/>
        </w:rPr>
        <w:t>. Nguyên tắc xây dựng Nghị định</w:t>
      </w:r>
    </w:p>
    <w:p w:rsidR="00B52BDF" w:rsidRDefault="00B52BDF" w:rsidP="00A03B20">
      <w:pPr>
        <w:ind w:firstLine="720"/>
        <w:jc w:val="both"/>
        <w:rPr>
          <w:rFonts w:ascii="14" w:hAnsi="14"/>
        </w:rPr>
      </w:pPr>
      <w:r>
        <w:rPr>
          <w:rFonts w:ascii="14" w:hAnsi="14"/>
        </w:rPr>
        <w:t xml:space="preserve">- Kế thừa các quy định </w:t>
      </w:r>
      <w:r w:rsidR="00DE39EC">
        <w:rPr>
          <w:rFonts w:ascii="14" w:hAnsi="14"/>
        </w:rPr>
        <w:t xml:space="preserve">còn phù hợp của Nghị định 79/2010/NĐ-CP, bổ sung sửa đổi một số quy định theo Luật Quản lý nợ công năm 2017. </w:t>
      </w:r>
    </w:p>
    <w:p w:rsidR="00DE39EC" w:rsidRDefault="00DE39EC" w:rsidP="00DE39EC">
      <w:pPr>
        <w:ind w:firstLine="720"/>
        <w:jc w:val="both"/>
        <w:rPr>
          <w:rFonts w:ascii="14" w:hAnsi="14"/>
        </w:rPr>
      </w:pPr>
      <w:r>
        <w:rPr>
          <w:rFonts w:ascii="14" w:hAnsi="14"/>
        </w:rPr>
        <w:lastRenderedPageBreak/>
        <w:t>- Nghị định được soạn thảo chi tiết để có thể thực thi ngay, hạn chế việc hướng dẫn chi tiết dưới hình thứ</w:t>
      </w:r>
      <w:r w:rsidR="00EE7D73">
        <w:rPr>
          <w:rFonts w:ascii="14" w:hAnsi="14"/>
        </w:rPr>
        <w:t xml:space="preserve">c thông tư. </w:t>
      </w:r>
    </w:p>
    <w:p w:rsidR="00DE39EC" w:rsidRPr="008C2B58" w:rsidRDefault="00DE39EC" w:rsidP="00DE39EC">
      <w:pPr>
        <w:ind w:firstLine="720"/>
        <w:jc w:val="both"/>
        <w:rPr>
          <w:rFonts w:ascii="14" w:hAnsi="14"/>
        </w:rPr>
      </w:pPr>
      <w:r>
        <w:rPr>
          <w:rFonts w:ascii="14" w:hAnsi="14"/>
        </w:rPr>
        <w:t xml:space="preserve">- Đối với các quy định về thủ tục hành chính được quy định rõ ràng </w:t>
      </w:r>
      <w:r w:rsidR="00EE7D73">
        <w:rPr>
          <w:rFonts w:ascii="14" w:hAnsi="14"/>
        </w:rPr>
        <w:t xml:space="preserve">nội dung, </w:t>
      </w:r>
      <w:r>
        <w:rPr>
          <w:rFonts w:ascii="14" w:hAnsi="14"/>
        </w:rPr>
        <w:t xml:space="preserve">hồ sơ cũng như </w:t>
      </w:r>
      <w:r w:rsidR="00EE7D73">
        <w:rPr>
          <w:rFonts w:ascii="14" w:hAnsi="14"/>
        </w:rPr>
        <w:t xml:space="preserve">trình tự thủ tục. </w:t>
      </w:r>
    </w:p>
    <w:p w:rsidR="009C444F" w:rsidRPr="003D102E" w:rsidRDefault="009C444F" w:rsidP="0019291F">
      <w:pPr>
        <w:ind w:firstLine="720"/>
        <w:jc w:val="both"/>
        <w:rPr>
          <w:b/>
          <w:noProof/>
          <w:sz w:val="26"/>
        </w:rPr>
      </w:pPr>
      <w:r w:rsidRPr="003D102E">
        <w:rPr>
          <w:b/>
          <w:noProof/>
          <w:sz w:val="26"/>
        </w:rPr>
        <w:t>III. BỐ CỤC VÀ NỘI DUNG CƠ BẢN CỦA NGHỊ ĐỊNH</w:t>
      </w:r>
    </w:p>
    <w:p w:rsidR="009C444F" w:rsidRDefault="003D102E" w:rsidP="003D102E">
      <w:pPr>
        <w:ind w:firstLine="720"/>
        <w:jc w:val="both"/>
        <w:rPr>
          <w:rFonts w:ascii="14" w:hAnsi="14"/>
          <w:b/>
        </w:rPr>
      </w:pPr>
      <w:r w:rsidRPr="003D102E">
        <w:rPr>
          <w:rFonts w:ascii="14" w:hAnsi="14"/>
          <w:b/>
        </w:rPr>
        <w:t>1. Bố cục</w:t>
      </w:r>
    </w:p>
    <w:p w:rsidR="003F78E4" w:rsidRPr="00477301" w:rsidRDefault="00477301" w:rsidP="003D102E">
      <w:pPr>
        <w:ind w:firstLine="720"/>
        <w:jc w:val="both"/>
        <w:rPr>
          <w:rFonts w:ascii="14" w:hAnsi="14"/>
        </w:rPr>
      </w:pPr>
      <w:r w:rsidRPr="00477301">
        <w:rPr>
          <w:rFonts w:ascii="14" w:hAnsi="14"/>
        </w:rPr>
        <w:t xml:space="preserve">Dự thảo Nghị định của Chính phủ về nghiệp vụ quản lý nợ công gồm </w:t>
      </w:r>
      <w:r w:rsidR="004D65D4">
        <w:rPr>
          <w:rFonts w:ascii="14" w:hAnsi="14"/>
        </w:rPr>
        <w:t xml:space="preserve">5 chương với </w:t>
      </w:r>
      <w:r w:rsidR="008C2B58">
        <w:rPr>
          <w:rFonts w:ascii="14" w:hAnsi="14"/>
          <w:lang w:val="vi-VN"/>
        </w:rPr>
        <w:t>29</w:t>
      </w:r>
      <w:r w:rsidR="004D65D4">
        <w:rPr>
          <w:rFonts w:ascii="14" w:hAnsi="14"/>
        </w:rPr>
        <w:t xml:space="preserve"> Điều </w:t>
      </w:r>
      <w:r w:rsidRPr="00477301">
        <w:rPr>
          <w:rFonts w:ascii="14" w:hAnsi="14"/>
        </w:rPr>
        <w:t>theo bố cục như sau:</w:t>
      </w:r>
    </w:p>
    <w:p w:rsidR="00477301" w:rsidRPr="00477301" w:rsidRDefault="00E778F9" w:rsidP="00477301">
      <w:pPr>
        <w:ind w:firstLine="720"/>
        <w:jc w:val="both"/>
        <w:rPr>
          <w:rFonts w:ascii="14" w:hAnsi="14"/>
        </w:rPr>
      </w:pPr>
      <w:r>
        <w:rPr>
          <w:rFonts w:ascii="14" w:hAnsi="14"/>
        </w:rPr>
        <w:t>a)</w:t>
      </w:r>
      <w:r w:rsidR="00477301">
        <w:rPr>
          <w:rFonts w:ascii="14" w:hAnsi="14"/>
        </w:rPr>
        <w:t xml:space="preserve"> </w:t>
      </w:r>
      <w:r w:rsidR="00477301" w:rsidRPr="00477301">
        <w:rPr>
          <w:rFonts w:ascii="14" w:hAnsi="14"/>
        </w:rPr>
        <w:t>Chương I. Những quy định chung gồm</w:t>
      </w:r>
      <w:r w:rsidR="00477301">
        <w:rPr>
          <w:rFonts w:ascii="14" w:hAnsi="14"/>
        </w:rPr>
        <w:t xml:space="preserve"> 3 Điề</w:t>
      </w:r>
      <w:r>
        <w:rPr>
          <w:rFonts w:ascii="14" w:hAnsi="14"/>
        </w:rPr>
        <w:t>u (</w:t>
      </w:r>
      <w:r w:rsidR="00477301">
        <w:rPr>
          <w:rFonts w:ascii="14" w:hAnsi="14"/>
        </w:rPr>
        <w:t>từ Điều 1 đến Điề</w:t>
      </w:r>
      <w:r>
        <w:rPr>
          <w:rFonts w:ascii="14" w:hAnsi="14"/>
        </w:rPr>
        <w:t>u 3).</w:t>
      </w:r>
      <w:r w:rsidR="00477301">
        <w:rPr>
          <w:rFonts w:ascii="14" w:hAnsi="14"/>
        </w:rPr>
        <w:t xml:space="preserve"> </w:t>
      </w:r>
    </w:p>
    <w:p w:rsidR="00477301" w:rsidRDefault="00E778F9" w:rsidP="003D102E">
      <w:pPr>
        <w:ind w:firstLine="720"/>
        <w:jc w:val="both"/>
        <w:rPr>
          <w:rFonts w:ascii="14" w:hAnsi="14"/>
        </w:rPr>
      </w:pPr>
      <w:r>
        <w:rPr>
          <w:rFonts w:ascii="14" w:hAnsi="14"/>
        </w:rPr>
        <w:t>b)</w:t>
      </w:r>
      <w:r w:rsidR="00477301" w:rsidRPr="00477301">
        <w:rPr>
          <w:rFonts w:ascii="14" w:hAnsi="14"/>
        </w:rPr>
        <w:t xml:space="preserve"> Chương II. Công cụ quản lý nợ công</w:t>
      </w:r>
      <w:r w:rsidR="00477301">
        <w:rPr>
          <w:rFonts w:ascii="14" w:hAnsi="14"/>
        </w:rPr>
        <w:t>, gồm 4 Mục với 1</w:t>
      </w:r>
      <w:r w:rsidR="008C2B58">
        <w:rPr>
          <w:rFonts w:ascii="14" w:hAnsi="14"/>
          <w:lang w:val="vi-VN"/>
        </w:rPr>
        <w:t>4</w:t>
      </w:r>
      <w:r w:rsidR="00477301">
        <w:rPr>
          <w:rFonts w:ascii="14" w:hAnsi="14"/>
        </w:rPr>
        <w:t xml:space="preserve"> Điều </w:t>
      </w:r>
      <w:r>
        <w:rPr>
          <w:rFonts w:ascii="14" w:hAnsi="14"/>
        </w:rPr>
        <w:t>(</w:t>
      </w:r>
      <w:r w:rsidR="00477301">
        <w:rPr>
          <w:rFonts w:ascii="14" w:hAnsi="14"/>
        </w:rPr>
        <w:t xml:space="preserve">từ Điều 4 đến Điều </w:t>
      </w:r>
      <w:r w:rsidR="008C2B58">
        <w:rPr>
          <w:rFonts w:ascii="14" w:hAnsi="14"/>
        </w:rPr>
        <w:t>1</w:t>
      </w:r>
      <w:r w:rsidR="008C2B58">
        <w:rPr>
          <w:rFonts w:ascii="14" w:hAnsi="14"/>
          <w:lang w:val="vi-VN"/>
        </w:rPr>
        <w:t>7</w:t>
      </w:r>
      <w:r>
        <w:rPr>
          <w:rFonts w:ascii="14" w:hAnsi="14"/>
        </w:rPr>
        <w:t>).</w:t>
      </w:r>
    </w:p>
    <w:p w:rsidR="00477301" w:rsidRDefault="00E778F9" w:rsidP="003D102E">
      <w:pPr>
        <w:ind w:firstLine="720"/>
        <w:jc w:val="both"/>
        <w:rPr>
          <w:rFonts w:ascii="14" w:hAnsi="14"/>
        </w:rPr>
      </w:pPr>
      <w:r>
        <w:rPr>
          <w:rFonts w:ascii="14" w:hAnsi="14"/>
        </w:rPr>
        <w:t>c)</w:t>
      </w:r>
      <w:r w:rsidR="00477301">
        <w:rPr>
          <w:rFonts w:ascii="14" w:hAnsi="14"/>
        </w:rPr>
        <w:t xml:space="preserve"> Chương III. Quản lý rủi ro </w:t>
      </w:r>
      <w:r w:rsidR="00EE2473">
        <w:rPr>
          <w:rFonts w:ascii="14" w:hAnsi="14"/>
        </w:rPr>
        <w:t xml:space="preserve">đối với </w:t>
      </w:r>
      <w:r w:rsidR="004D65D4">
        <w:rPr>
          <w:rFonts w:ascii="14" w:hAnsi="14"/>
        </w:rPr>
        <w:t xml:space="preserve">danh mục </w:t>
      </w:r>
      <w:r w:rsidR="00477301">
        <w:rPr>
          <w:rFonts w:ascii="14" w:hAnsi="14"/>
        </w:rPr>
        <w:t xml:space="preserve">nợ công, gồm </w:t>
      </w:r>
      <w:r w:rsidR="004D65D4">
        <w:rPr>
          <w:rFonts w:ascii="14" w:hAnsi="14"/>
        </w:rPr>
        <w:t>5</w:t>
      </w:r>
      <w:r w:rsidR="00EE2473">
        <w:rPr>
          <w:rFonts w:ascii="14" w:hAnsi="14"/>
        </w:rPr>
        <w:t xml:space="preserve"> Điều, từ Điều </w:t>
      </w:r>
      <w:r w:rsidR="008C2B58">
        <w:rPr>
          <w:rFonts w:ascii="14" w:hAnsi="14"/>
        </w:rPr>
        <w:t>1</w:t>
      </w:r>
      <w:r w:rsidR="008C2B58">
        <w:rPr>
          <w:rFonts w:ascii="14" w:hAnsi="14"/>
          <w:lang w:val="vi-VN"/>
        </w:rPr>
        <w:t>8</w:t>
      </w:r>
      <w:r w:rsidR="008C2B58">
        <w:rPr>
          <w:rFonts w:ascii="14" w:hAnsi="14"/>
        </w:rPr>
        <w:t xml:space="preserve"> </w:t>
      </w:r>
      <w:r w:rsidR="00EE2473">
        <w:rPr>
          <w:rFonts w:ascii="14" w:hAnsi="14"/>
        </w:rPr>
        <w:t xml:space="preserve">đến Điều </w:t>
      </w:r>
      <w:r w:rsidR="004D65D4">
        <w:rPr>
          <w:rFonts w:ascii="14" w:hAnsi="14"/>
        </w:rPr>
        <w:t>23).</w:t>
      </w:r>
    </w:p>
    <w:p w:rsidR="00EE2473" w:rsidRDefault="00E778F9" w:rsidP="003D102E">
      <w:pPr>
        <w:ind w:firstLine="720"/>
        <w:jc w:val="both"/>
        <w:rPr>
          <w:rFonts w:ascii="14" w:hAnsi="14"/>
        </w:rPr>
      </w:pPr>
      <w:r>
        <w:rPr>
          <w:rFonts w:ascii="14" w:hAnsi="14"/>
        </w:rPr>
        <w:t>d)</w:t>
      </w:r>
      <w:r w:rsidR="00EE2473">
        <w:rPr>
          <w:rFonts w:ascii="14" w:hAnsi="14"/>
        </w:rPr>
        <w:t xml:space="preserve"> Chương IV. Về </w:t>
      </w:r>
      <w:r w:rsidR="004D65D4">
        <w:rPr>
          <w:rFonts w:ascii="14" w:hAnsi="14"/>
        </w:rPr>
        <w:t xml:space="preserve">thống kê, báo cáo và công bố thông tin về nợ công, gồm </w:t>
      </w:r>
      <w:r>
        <w:rPr>
          <w:rFonts w:ascii="14" w:hAnsi="14"/>
        </w:rPr>
        <w:t xml:space="preserve"> </w:t>
      </w:r>
      <w:r w:rsidR="004D65D4">
        <w:rPr>
          <w:rFonts w:ascii="14" w:hAnsi="14"/>
        </w:rPr>
        <w:t xml:space="preserve">5 Điều </w:t>
      </w:r>
      <w:r>
        <w:rPr>
          <w:rFonts w:ascii="14" w:hAnsi="14"/>
        </w:rPr>
        <w:t>(</w:t>
      </w:r>
      <w:r w:rsidR="00EE2473">
        <w:rPr>
          <w:rFonts w:ascii="14" w:hAnsi="14"/>
        </w:rPr>
        <w:t xml:space="preserve">từ Điều </w:t>
      </w:r>
      <w:r w:rsidR="008C2B58">
        <w:rPr>
          <w:rFonts w:ascii="14" w:hAnsi="14"/>
        </w:rPr>
        <w:t>2</w:t>
      </w:r>
      <w:r w:rsidR="008C2B58">
        <w:rPr>
          <w:rFonts w:ascii="14" w:hAnsi="14"/>
          <w:lang w:val="vi-VN"/>
        </w:rPr>
        <w:t>3</w:t>
      </w:r>
      <w:r w:rsidR="008C2B58">
        <w:rPr>
          <w:rFonts w:ascii="14" w:hAnsi="14"/>
        </w:rPr>
        <w:t xml:space="preserve"> </w:t>
      </w:r>
      <w:r w:rsidR="00EE2473">
        <w:rPr>
          <w:rFonts w:ascii="14" w:hAnsi="14"/>
        </w:rPr>
        <w:t>đến Điề</w:t>
      </w:r>
      <w:r w:rsidR="004D65D4">
        <w:rPr>
          <w:rFonts w:ascii="14" w:hAnsi="14"/>
        </w:rPr>
        <w:t xml:space="preserve">u </w:t>
      </w:r>
      <w:r w:rsidR="008C2B58">
        <w:rPr>
          <w:rFonts w:ascii="14" w:hAnsi="14"/>
        </w:rPr>
        <w:t>2</w:t>
      </w:r>
      <w:r w:rsidR="008C2B58">
        <w:rPr>
          <w:rFonts w:ascii="14" w:hAnsi="14"/>
          <w:lang w:val="vi-VN"/>
        </w:rPr>
        <w:t>7</w:t>
      </w:r>
      <w:r>
        <w:rPr>
          <w:rFonts w:ascii="14" w:hAnsi="14"/>
        </w:rPr>
        <w:t>).</w:t>
      </w:r>
    </w:p>
    <w:p w:rsidR="00EE2473" w:rsidRDefault="00E778F9" w:rsidP="003D102E">
      <w:pPr>
        <w:ind w:firstLine="720"/>
        <w:jc w:val="both"/>
        <w:rPr>
          <w:rFonts w:ascii="14" w:hAnsi="14"/>
        </w:rPr>
      </w:pPr>
      <w:r>
        <w:rPr>
          <w:rFonts w:ascii="14" w:hAnsi="14"/>
        </w:rPr>
        <w:t>đ)</w:t>
      </w:r>
      <w:r w:rsidR="00EE2473">
        <w:rPr>
          <w:rFonts w:ascii="14" w:hAnsi="14"/>
        </w:rPr>
        <w:t xml:space="preserve"> Chương V. Điều khoản thi hành, gồm 2 Điều </w:t>
      </w:r>
      <w:r w:rsidR="008C2B58">
        <w:rPr>
          <w:rFonts w:ascii="14" w:hAnsi="14"/>
        </w:rPr>
        <w:t>2</w:t>
      </w:r>
      <w:r w:rsidR="008C2B58">
        <w:rPr>
          <w:rFonts w:ascii="14" w:hAnsi="14"/>
          <w:lang w:val="vi-VN"/>
        </w:rPr>
        <w:t>8</w:t>
      </w:r>
      <w:r w:rsidR="008C2B58">
        <w:rPr>
          <w:rFonts w:ascii="14" w:hAnsi="14"/>
        </w:rPr>
        <w:t xml:space="preserve"> </w:t>
      </w:r>
      <w:r w:rsidR="004D65D4">
        <w:rPr>
          <w:rFonts w:ascii="14" w:hAnsi="14"/>
        </w:rPr>
        <w:t xml:space="preserve">và </w:t>
      </w:r>
      <w:r w:rsidR="008C2B58">
        <w:rPr>
          <w:rFonts w:ascii="14" w:hAnsi="14"/>
          <w:lang w:val="vi-VN"/>
        </w:rPr>
        <w:t>Điều 29</w:t>
      </w:r>
      <w:r w:rsidR="004D65D4">
        <w:rPr>
          <w:rFonts w:ascii="14" w:hAnsi="14"/>
        </w:rPr>
        <w:t xml:space="preserve">.  </w:t>
      </w:r>
    </w:p>
    <w:p w:rsidR="00920C64" w:rsidRPr="00920C64" w:rsidRDefault="003D102E" w:rsidP="003D102E">
      <w:pPr>
        <w:ind w:firstLine="720"/>
        <w:jc w:val="both"/>
        <w:rPr>
          <w:rFonts w:ascii="14" w:hAnsi="14"/>
          <w:b/>
        </w:rPr>
      </w:pPr>
      <w:r w:rsidRPr="003D102E">
        <w:rPr>
          <w:rFonts w:ascii="14" w:hAnsi="14"/>
          <w:b/>
        </w:rPr>
        <w:t>2. Những nội dung cơ bản của Nghị định</w:t>
      </w:r>
      <w:r w:rsidR="009C444F" w:rsidRPr="003D102E">
        <w:rPr>
          <w:rFonts w:ascii="14" w:hAnsi="14"/>
          <w:b/>
        </w:rPr>
        <w:t xml:space="preserve"> </w:t>
      </w:r>
    </w:p>
    <w:p w:rsidR="003F78E4" w:rsidRDefault="003F78E4" w:rsidP="003F78E4">
      <w:pPr>
        <w:ind w:firstLine="720"/>
        <w:jc w:val="both"/>
        <w:rPr>
          <w:rFonts w:ascii="14" w:hAnsi="14"/>
        </w:rPr>
      </w:pPr>
      <w:r w:rsidRPr="003F78E4">
        <w:rPr>
          <w:rFonts w:ascii="14" w:hAnsi="14"/>
          <w:b/>
          <w:i/>
        </w:rPr>
        <w:t>a) Chương I. Những quy đị</w:t>
      </w:r>
      <w:r w:rsidR="00E778F9">
        <w:rPr>
          <w:rFonts w:ascii="14" w:hAnsi="14"/>
          <w:b/>
          <w:i/>
        </w:rPr>
        <w:t>nh chung</w:t>
      </w:r>
      <w:r>
        <w:rPr>
          <w:rFonts w:ascii="14" w:hAnsi="14"/>
        </w:rPr>
        <w:t xml:space="preserve">: gồm phạm vi điều chỉnh, </w:t>
      </w:r>
      <w:r w:rsidR="004D65D4">
        <w:rPr>
          <w:rFonts w:ascii="14" w:hAnsi="14"/>
        </w:rPr>
        <w:t>đối tượng áp dụng và giải thích từ ngữ.</w:t>
      </w:r>
    </w:p>
    <w:p w:rsidR="004D65D4" w:rsidRDefault="00457452" w:rsidP="004D65D4">
      <w:pPr>
        <w:ind w:firstLine="720"/>
        <w:jc w:val="both"/>
        <w:rPr>
          <w:lang w:val="vi-VN"/>
        </w:rPr>
      </w:pPr>
      <w:r>
        <w:rPr>
          <w:rFonts w:ascii="14" w:hAnsi="14"/>
        </w:rPr>
        <w:t>- Về phạm vi</w:t>
      </w:r>
      <w:r w:rsidR="00E778F9">
        <w:rPr>
          <w:rFonts w:ascii="14" w:hAnsi="14"/>
        </w:rPr>
        <w:t xml:space="preserve"> điều chỉnh</w:t>
      </w:r>
      <w:r>
        <w:rPr>
          <w:rFonts w:ascii="14" w:hAnsi="14"/>
        </w:rPr>
        <w:t xml:space="preserve">: </w:t>
      </w:r>
      <w:r w:rsidR="004D65D4" w:rsidRPr="009846EC">
        <w:t xml:space="preserve">Nghị định này quy định </w:t>
      </w:r>
      <w:r w:rsidR="004D65D4" w:rsidRPr="009846EC">
        <w:rPr>
          <w:lang w:val="vi-VN"/>
        </w:rPr>
        <w:t xml:space="preserve">về </w:t>
      </w:r>
      <w:r w:rsidR="004D65D4" w:rsidRPr="009846EC">
        <w:t>nghiệp vụ quản lý nợ công bao gồm: công cụ quản lý nợ công</w:t>
      </w:r>
      <w:r w:rsidR="004D65D4">
        <w:t xml:space="preserve">; </w:t>
      </w:r>
      <w:r w:rsidR="004D65D4" w:rsidRPr="009846EC">
        <w:t>q</w:t>
      </w:r>
      <w:r w:rsidR="004D65D4" w:rsidRPr="009846EC">
        <w:rPr>
          <w:lang w:val="vi-VN"/>
        </w:rPr>
        <w:t xml:space="preserve">uản lý rủi ro </w:t>
      </w:r>
      <w:r w:rsidR="004D65D4">
        <w:t xml:space="preserve">đối với danh mục </w:t>
      </w:r>
      <w:r w:rsidR="004D65D4" w:rsidRPr="009846EC">
        <w:rPr>
          <w:lang w:val="vi-VN"/>
        </w:rPr>
        <w:t>nợ công; thống kê, báo cáo và công bố thông tin về nợ công.</w:t>
      </w:r>
    </w:p>
    <w:p w:rsidR="004D65D4" w:rsidRPr="00592FCD" w:rsidRDefault="00457452" w:rsidP="004D65D4">
      <w:pPr>
        <w:ind w:firstLine="720"/>
        <w:jc w:val="both"/>
        <w:rPr>
          <w:lang w:val="vi-VN"/>
        </w:rPr>
      </w:pPr>
      <w:r>
        <w:rPr>
          <w:rFonts w:ascii="14" w:hAnsi="14"/>
        </w:rPr>
        <w:t xml:space="preserve">- </w:t>
      </w:r>
      <w:r w:rsidR="004D65D4">
        <w:rPr>
          <w:rFonts w:ascii="14" w:hAnsi="14"/>
        </w:rPr>
        <w:t xml:space="preserve">Đối tượng áp dụng của Nghị định (tại Điều 2) là </w:t>
      </w:r>
      <w:r w:rsidR="004D65D4">
        <w:rPr>
          <w:lang w:val="vi-VN"/>
        </w:rPr>
        <w:t>Bộ Tài chính, Ủy ban nhân dân cấp tỉnh, các tổ chức, cá nhân có liên quan</w:t>
      </w:r>
      <w:r w:rsidR="004D65D4" w:rsidRPr="00927302">
        <w:rPr>
          <w:lang w:val="vi-VN"/>
        </w:rPr>
        <w:t xml:space="preserve"> trong công tác quản lý nợ công</w:t>
      </w:r>
      <w:r w:rsidR="004D65D4">
        <w:rPr>
          <w:lang w:val="vi-VN"/>
        </w:rPr>
        <w:t>.</w:t>
      </w:r>
    </w:p>
    <w:p w:rsidR="002C6C80" w:rsidRPr="002C6C80" w:rsidRDefault="003F78E4" w:rsidP="003F78E4">
      <w:pPr>
        <w:ind w:firstLine="720"/>
        <w:jc w:val="both"/>
        <w:rPr>
          <w:rFonts w:ascii="14" w:hAnsi="14"/>
        </w:rPr>
      </w:pPr>
      <w:r w:rsidRPr="003F78E4">
        <w:rPr>
          <w:rFonts w:ascii="14" w:hAnsi="14"/>
          <w:b/>
          <w:i/>
        </w:rPr>
        <w:t>b) Chương II. Công cụ quản lý nợ công</w:t>
      </w:r>
      <w:r w:rsidR="00721902">
        <w:rPr>
          <w:rFonts w:ascii="14" w:hAnsi="14"/>
          <w:b/>
          <w:i/>
        </w:rPr>
        <w:t xml:space="preserve">: </w:t>
      </w:r>
      <w:r w:rsidR="002C6C80" w:rsidRPr="002C6C80">
        <w:rPr>
          <w:rFonts w:ascii="14" w:hAnsi="14"/>
        </w:rPr>
        <w:t xml:space="preserve">Các công cụ quản lý nợ công được quy định trên nguyên tắc thống nhất, đồng bộ và gắn kết với </w:t>
      </w:r>
      <w:r w:rsidR="009B6A0E">
        <w:rPr>
          <w:rFonts w:ascii="14" w:hAnsi="14"/>
          <w:lang w:val="vi-VN"/>
        </w:rPr>
        <w:t xml:space="preserve">quy </w:t>
      </w:r>
      <w:r w:rsidR="002C6C80" w:rsidRPr="002C6C80">
        <w:rPr>
          <w:rFonts w:ascii="14" w:hAnsi="14"/>
        </w:rPr>
        <w:t>trình kế hoạ</w:t>
      </w:r>
      <w:r w:rsidR="0004094E">
        <w:rPr>
          <w:rFonts w:ascii="14" w:hAnsi="14"/>
        </w:rPr>
        <w:t>ch tài chính -</w:t>
      </w:r>
      <w:r w:rsidR="002C6C80" w:rsidRPr="002C6C80">
        <w:rPr>
          <w:rFonts w:ascii="14" w:hAnsi="14"/>
        </w:rPr>
        <w:t xml:space="preserve"> ngân sách, cụ thể gồm:</w:t>
      </w:r>
    </w:p>
    <w:p w:rsidR="003F78E4" w:rsidRDefault="003F78E4" w:rsidP="003F78E4">
      <w:pPr>
        <w:ind w:firstLine="720"/>
        <w:jc w:val="both"/>
        <w:rPr>
          <w:rFonts w:ascii="14" w:hAnsi="14"/>
        </w:rPr>
      </w:pPr>
      <w:r w:rsidRPr="002C6C80">
        <w:rPr>
          <w:rFonts w:ascii="14" w:hAnsi="14"/>
          <w:i/>
        </w:rPr>
        <w:t>Mục 1.</w:t>
      </w:r>
      <w:r>
        <w:rPr>
          <w:rFonts w:ascii="14" w:hAnsi="14"/>
        </w:rPr>
        <w:t xml:space="preserve"> Chỉ tiêu an toàn nợ công</w:t>
      </w:r>
      <w:r w:rsidR="002C6C80">
        <w:rPr>
          <w:rFonts w:ascii="14" w:hAnsi="14"/>
        </w:rPr>
        <w:t xml:space="preserve">: quy định cụ thể về các chỉ tiêu an toàn nợ công theo quy định tại </w:t>
      </w:r>
      <w:r w:rsidR="009B6A0E">
        <w:rPr>
          <w:rFonts w:ascii="14" w:hAnsi="14"/>
          <w:lang w:val="vi-VN"/>
        </w:rPr>
        <w:t>K</w:t>
      </w:r>
      <w:r w:rsidR="002C6C80">
        <w:rPr>
          <w:rFonts w:ascii="14" w:hAnsi="14"/>
        </w:rPr>
        <w:t>hoản 1, Điều 21 Luật Quản lý nợ công, theo đó hướng dẫn về các chỉ tiêu an toàn nợ công, ngưỡng cảnh báo</w:t>
      </w:r>
      <w:r w:rsidR="0004094E">
        <w:rPr>
          <w:rFonts w:ascii="14" w:hAnsi="14"/>
        </w:rPr>
        <w:t xml:space="preserve"> an toàn nợ công</w:t>
      </w:r>
      <w:r w:rsidR="002C6C80">
        <w:rPr>
          <w:rFonts w:ascii="14" w:hAnsi="14"/>
        </w:rPr>
        <w:t>, phương thức và quy trình điều chỉnh chỉ tiêu an toàn nợ công và biện pháp thực hiện khi chỉ tiêu nợ công chạm ngưỡng cảnh báo.</w:t>
      </w:r>
    </w:p>
    <w:p w:rsidR="003F78E4" w:rsidRDefault="003F78E4" w:rsidP="003F78E4">
      <w:pPr>
        <w:ind w:firstLine="720"/>
        <w:jc w:val="both"/>
        <w:rPr>
          <w:rFonts w:ascii="14" w:hAnsi="14"/>
        </w:rPr>
      </w:pPr>
      <w:r w:rsidRPr="002C6C80">
        <w:rPr>
          <w:rFonts w:ascii="14" w:hAnsi="14"/>
          <w:i/>
        </w:rPr>
        <w:t>Mục 2.</w:t>
      </w:r>
      <w:r>
        <w:rPr>
          <w:rFonts w:ascii="14" w:hAnsi="14"/>
        </w:rPr>
        <w:t xml:space="preserve"> Kế hoạch vay, trả nợ công 05 năm</w:t>
      </w:r>
      <w:r w:rsidR="002C6C80">
        <w:rPr>
          <w:rFonts w:ascii="14" w:hAnsi="14"/>
        </w:rPr>
        <w:t>: quy định về căn cứ lập, nội dung của báo cáo kế hoạch, trình tự lập, điều chỉnh và trách nhiệm của các cơ quan trong công tác này.</w:t>
      </w:r>
      <w:r w:rsidR="002A42C7">
        <w:rPr>
          <w:rFonts w:ascii="14" w:hAnsi="14"/>
        </w:rPr>
        <w:t xml:space="preserve"> </w:t>
      </w:r>
    </w:p>
    <w:p w:rsidR="002C6C80" w:rsidRDefault="002C6C80" w:rsidP="003F78E4">
      <w:pPr>
        <w:ind w:firstLine="720"/>
        <w:jc w:val="both"/>
        <w:rPr>
          <w:rFonts w:ascii="14" w:hAnsi="14"/>
        </w:rPr>
      </w:pPr>
      <w:r>
        <w:rPr>
          <w:rFonts w:ascii="14" w:hAnsi="14"/>
        </w:rPr>
        <w:t xml:space="preserve">Nội dung của kế hoạch vay, trả nợ công 5 năm căn cứ vào quy định tại </w:t>
      </w:r>
      <w:r w:rsidR="009B6A0E">
        <w:rPr>
          <w:rFonts w:ascii="14" w:hAnsi="14"/>
          <w:lang w:val="vi-VN"/>
        </w:rPr>
        <w:t>K</w:t>
      </w:r>
      <w:bookmarkStart w:id="0" w:name="_GoBack"/>
      <w:bookmarkEnd w:id="0"/>
      <w:r>
        <w:rPr>
          <w:rFonts w:ascii="14" w:hAnsi="14"/>
        </w:rPr>
        <w:t xml:space="preserve">hoản 1 Điều 22 Luật Quản lý nợ công. Thời hạn lập, trình kế hoạch tham khảo </w:t>
      </w:r>
      <w:r>
        <w:rPr>
          <w:rFonts w:ascii="14" w:hAnsi="14"/>
        </w:rPr>
        <w:lastRenderedPageBreak/>
        <w:t>quy định của Nghị đị</w:t>
      </w:r>
      <w:r w:rsidR="0004094E">
        <w:rPr>
          <w:rFonts w:ascii="14" w:hAnsi="14"/>
        </w:rPr>
        <w:t xml:space="preserve">nh 163/2016/NĐ-CP </w:t>
      </w:r>
      <w:r>
        <w:rPr>
          <w:rFonts w:ascii="14" w:hAnsi="14"/>
        </w:rPr>
        <w:t>và Nghị định 45</w:t>
      </w:r>
      <w:r w:rsidR="0004094E">
        <w:rPr>
          <w:rFonts w:ascii="14" w:hAnsi="14"/>
        </w:rPr>
        <w:t>/2017/NĐ-CP hướng dẫn thi hành Luật Ngân sách nhà nước</w:t>
      </w:r>
      <w:r>
        <w:rPr>
          <w:rFonts w:ascii="14" w:hAnsi="14"/>
        </w:rPr>
        <w:t xml:space="preserve"> nhằm đảm bảo tiến độ cũng như trình tự lập, giảm thiểu thủ tục hành chính và yêu cầu</w:t>
      </w:r>
      <w:r w:rsidR="0004094E">
        <w:rPr>
          <w:rFonts w:ascii="14" w:hAnsi="14"/>
        </w:rPr>
        <w:t xml:space="preserve"> cung cấp hồ sơ, thông tin</w:t>
      </w:r>
      <w:r>
        <w:rPr>
          <w:rFonts w:ascii="14" w:hAnsi="14"/>
        </w:rPr>
        <w:t xml:space="preserve"> đối với các cơ quan có liên quan</w:t>
      </w:r>
      <w:r w:rsidR="0004094E">
        <w:rPr>
          <w:rFonts w:ascii="14" w:hAnsi="14"/>
        </w:rPr>
        <w:t xml:space="preserve"> và phù hợp với thời gian trình cấp có thẩm quyền quyết định</w:t>
      </w:r>
      <w:r>
        <w:rPr>
          <w:rFonts w:ascii="14" w:hAnsi="14"/>
        </w:rPr>
        <w:t>.</w:t>
      </w:r>
    </w:p>
    <w:p w:rsidR="002C6C80" w:rsidRDefault="003F78E4" w:rsidP="003F78E4">
      <w:pPr>
        <w:ind w:firstLine="720"/>
        <w:jc w:val="both"/>
        <w:rPr>
          <w:rFonts w:ascii="14" w:hAnsi="14"/>
        </w:rPr>
      </w:pPr>
      <w:r w:rsidRPr="002C6C80">
        <w:rPr>
          <w:rFonts w:ascii="14" w:hAnsi="14"/>
          <w:i/>
        </w:rPr>
        <w:t>Mục 3.</w:t>
      </w:r>
      <w:r>
        <w:rPr>
          <w:rFonts w:ascii="14" w:hAnsi="14"/>
        </w:rPr>
        <w:t xml:space="preserve"> Chương trình quản lý nợ công 03 năm</w:t>
      </w:r>
      <w:r w:rsidR="002C6C80">
        <w:rPr>
          <w:rFonts w:ascii="14" w:hAnsi="14"/>
        </w:rPr>
        <w:t>: Tương tự như đối với hướng dẫn tại Mục 2, Mục 3 cũng bám sát trình tự xây dựng kế hoạch tài chính ngân sách 03 năm</w:t>
      </w:r>
      <w:r w:rsidR="002A42C7">
        <w:rPr>
          <w:rFonts w:ascii="14" w:hAnsi="14"/>
        </w:rPr>
        <w:t xml:space="preserve"> và bám sát quy định tại Điều 23 Luật Quản lý nợ công số 20/2017/QH14.</w:t>
      </w:r>
      <w:r w:rsidR="0004094E">
        <w:rPr>
          <w:rFonts w:ascii="14" w:hAnsi="14"/>
        </w:rPr>
        <w:t xml:space="preserve"> Chương trình quản lý nợ công 03 năm được lập hằng năm theo hình thức cuốn chiếu, theo đó năm đầu tiên là năm hiện hành (năm kế hoạch) và 02 năm tiếp theo.</w:t>
      </w:r>
    </w:p>
    <w:p w:rsidR="003F78E4" w:rsidRDefault="003F78E4" w:rsidP="003F78E4">
      <w:pPr>
        <w:ind w:firstLine="720"/>
        <w:jc w:val="both"/>
        <w:rPr>
          <w:rFonts w:ascii="14" w:hAnsi="14"/>
        </w:rPr>
      </w:pPr>
      <w:r w:rsidRPr="002C6C80">
        <w:rPr>
          <w:rFonts w:ascii="14" w:hAnsi="14"/>
          <w:i/>
        </w:rPr>
        <w:t>Mục 4.</w:t>
      </w:r>
      <w:r>
        <w:rPr>
          <w:rFonts w:ascii="14" w:hAnsi="14"/>
        </w:rPr>
        <w:t xml:space="preserve"> Kế hoạch vay, trả nợ công hàng năm</w:t>
      </w:r>
      <w:r w:rsidR="002C6C80">
        <w:rPr>
          <w:rFonts w:ascii="14" w:hAnsi="14"/>
        </w:rPr>
        <w:t xml:space="preserve">: về cơ bản nội dung này kế thừa </w:t>
      </w:r>
      <w:r w:rsidR="002A42C7">
        <w:rPr>
          <w:rFonts w:ascii="14" w:hAnsi="14"/>
        </w:rPr>
        <w:t xml:space="preserve">quy định tại Nghị định số 79/2017/NĐ-CP và bám sát quy định tại Điều 24 Luật Quản lý nợ công số 20/2017/QH14, trong đó có xây dựng hạn mức cho vay lại và hạn mức bảo lãnh Chính phủ hàng năm. </w:t>
      </w:r>
    </w:p>
    <w:p w:rsidR="004D65D4" w:rsidRDefault="003F78E4" w:rsidP="003F78E4">
      <w:pPr>
        <w:ind w:firstLine="720"/>
        <w:jc w:val="both"/>
        <w:rPr>
          <w:rFonts w:ascii="14" w:hAnsi="14"/>
        </w:rPr>
      </w:pPr>
      <w:r w:rsidRPr="00721902">
        <w:rPr>
          <w:rFonts w:ascii="14" w:hAnsi="14"/>
          <w:b/>
          <w:i/>
        </w:rPr>
        <w:t xml:space="preserve">c) Chương III. </w:t>
      </w:r>
      <w:r w:rsidR="00E855B8" w:rsidRPr="00721902">
        <w:rPr>
          <w:rFonts w:ascii="14" w:hAnsi="14"/>
          <w:b/>
          <w:i/>
        </w:rPr>
        <w:t>Quản lý rủi ro đối với nợ công</w:t>
      </w:r>
      <w:r w:rsidR="00721902">
        <w:rPr>
          <w:rFonts w:ascii="14" w:hAnsi="14"/>
          <w:b/>
          <w:i/>
        </w:rPr>
        <w:t xml:space="preserve">: </w:t>
      </w:r>
      <w:r w:rsidR="002A42C7">
        <w:rPr>
          <w:rFonts w:ascii="14" w:hAnsi="14"/>
        </w:rPr>
        <w:t>Nội dung này kế thừa các quy định của Nghị định số 79/2017/NĐ-CP và Quyết định số 56</w:t>
      </w:r>
      <w:r w:rsidR="00721902">
        <w:rPr>
          <w:rFonts w:ascii="14" w:hAnsi="14"/>
        </w:rPr>
        <w:t xml:space="preserve">/2012/QĐ-TTg của Thủ tướng Chính phủ về quy chế quản lý và xử lý rủi ro đối với danh mục nợ công; hướng dẫn cụ thể công tác quản lý rủi ro nợ công theo các bước quy trình quản lý rủi ro, gồm: </w:t>
      </w:r>
    </w:p>
    <w:p w:rsidR="00BA3A65" w:rsidRDefault="00BA3A65" w:rsidP="003F78E4">
      <w:pPr>
        <w:ind w:firstLine="720"/>
        <w:jc w:val="both"/>
        <w:rPr>
          <w:rFonts w:ascii="14" w:hAnsi="14"/>
        </w:rPr>
      </w:pPr>
      <w:r>
        <w:rPr>
          <w:rFonts w:ascii="14" w:hAnsi="14"/>
        </w:rPr>
        <w:t xml:space="preserve">- </w:t>
      </w:r>
      <w:r w:rsidR="004D65D4">
        <w:rPr>
          <w:rFonts w:ascii="14" w:hAnsi="14"/>
        </w:rPr>
        <w:t>Nhận diện rủi ro đối với danh mục nợ công, bao gồm rủi ro lãi suất, tỷ gi</w:t>
      </w:r>
      <w:r w:rsidR="00866E1E">
        <w:rPr>
          <w:rFonts w:ascii="14" w:hAnsi="14"/>
        </w:rPr>
        <w:t>á</w:t>
      </w:r>
      <w:r w:rsidR="004D65D4">
        <w:rPr>
          <w:rFonts w:ascii="14" w:hAnsi="14"/>
        </w:rPr>
        <w:t xml:space="preserve">; rủi ro thanh khoản và rủi ro </w:t>
      </w:r>
      <w:r w:rsidR="00BD1CCE">
        <w:rPr>
          <w:rFonts w:ascii="14" w:hAnsi="14"/>
          <w:lang w:val="vi-VN"/>
        </w:rPr>
        <w:t>đảo nợ</w:t>
      </w:r>
      <w:r w:rsidR="004D65D4">
        <w:rPr>
          <w:rFonts w:ascii="14" w:hAnsi="14"/>
        </w:rPr>
        <w:t>. Những rủi ro liên quan đến cho vay lại vốn vay ODA và vay ưu đãi và rủi ro liên quan đến cấp bảo lãnh được quy định tại các Nghị định khác của Chính phủ về cho vay lại và cấp, quản lý bảo lãnh Chính phủ.</w:t>
      </w:r>
    </w:p>
    <w:p w:rsidR="00BA3A65" w:rsidRDefault="00BA3A65" w:rsidP="003F78E4">
      <w:pPr>
        <w:ind w:firstLine="720"/>
        <w:jc w:val="both"/>
        <w:rPr>
          <w:rFonts w:ascii="14" w:hAnsi="14"/>
        </w:rPr>
      </w:pPr>
      <w:r>
        <w:rPr>
          <w:rFonts w:ascii="14" w:hAnsi="14"/>
        </w:rPr>
        <w:t xml:space="preserve">- Đánh giá rủi ro (tại Điều </w:t>
      </w:r>
      <w:r w:rsidR="008C2B58">
        <w:rPr>
          <w:rFonts w:ascii="14" w:hAnsi="14"/>
          <w:lang w:val="vi-VN"/>
        </w:rPr>
        <w:t>19</w:t>
      </w:r>
      <w:r>
        <w:rPr>
          <w:rFonts w:ascii="14" w:hAnsi="14"/>
        </w:rPr>
        <w:t>), trong đó quy định nội dung đánh giá, trách nhiệm và tần suất đánh giá.</w:t>
      </w:r>
    </w:p>
    <w:p w:rsidR="002A42C7" w:rsidRDefault="00BA3A65" w:rsidP="003F78E4">
      <w:pPr>
        <w:ind w:firstLine="720"/>
        <w:jc w:val="both"/>
        <w:rPr>
          <w:rFonts w:ascii="14" w:hAnsi="14"/>
        </w:rPr>
      </w:pPr>
      <w:r>
        <w:rPr>
          <w:rFonts w:ascii="14" w:hAnsi="14"/>
        </w:rPr>
        <w:t xml:space="preserve">- Các biện pháp phòng ngừa đối với từng loại rủi ro: lãi suất, tỷ giá (Điều </w:t>
      </w:r>
      <w:r w:rsidR="008C2B58">
        <w:rPr>
          <w:rFonts w:ascii="14" w:hAnsi="14"/>
        </w:rPr>
        <w:t>2</w:t>
      </w:r>
      <w:r w:rsidR="008C2B58">
        <w:rPr>
          <w:rFonts w:ascii="14" w:hAnsi="14"/>
          <w:lang w:val="vi-VN"/>
        </w:rPr>
        <w:t>0</w:t>
      </w:r>
      <w:r>
        <w:rPr>
          <w:rFonts w:ascii="14" w:hAnsi="14"/>
        </w:rPr>
        <w:t xml:space="preserve">) thanh khoản (Điều </w:t>
      </w:r>
      <w:r w:rsidR="008C2B58">
        <w:rPr>
          <w:rFonts w:ascii="14" w:hAnsi="14"/>
        </w:rPr>
        <w:t>2</w:t>
      </w:r>
      <w:r w:rsidR="008C2B58">
        <w:rPr>
          <w:rFonts w:ascii="14" w:hAnsi="14"/>
          <w:lang w:val="vi-VN"/>
        </w:rPr>
        <w:t>1</w:t>
      </w:r>
      <w:r>
        <w:rPr>
          <w:rFonts w:ascii="14" w:hAnsi="14"/>
        </w:rPr>
        <w:t xml:space="preserve">); </w:t>
      </w:r>
      <w:r w:rsidR="008C2B58">
        <w:rPr>
          <w:rFonts w:ascii="14" w:hAnsi="14"/>
          <w:lang w:val="vi-VN"/>
        </w:rPr>
        <w:t xml:space="preserve">đảo nợ </w:t>
      </w:r>
      <w:r>
        <w:rPr>
          <w:rFonts w:ascii="14" w:hAnsi="14"/>
        </w:rPr>
        <w:t xml:space="preserve">(Điều </w:t>
      </w:r>
      <w:r w:rsidR="008C2B58">
        <w:rPr>
          <w:rFonts w:ascii="14" w:hAnsi="14"/>
        </w:rPr>
        <w:t>2</w:t>
      </w:r>
      <w:r w:rsidR="008C2B58">
        <w:rPr>
          <w:rFonts w:ascii="14" w:hAnsi="14"/>
          <w:lang w:val="vi-VN"/>
        </w:rPr>
        <w:t>2</w:t>
      </w:r>
      <w:r>
        <w:rPr>
          <w:rFonts w:ascii="14" w:hAnsi="14"/>
        </w:rPr>
        <w:t>)</w:t>
      </w:r>
      <w:r w:rsidR="004D65D4">
        <w:rPr>
          <w:rFonts w:ascii="14" w:hAnsi="14"/>
        </w:rPr>
        <w:t xml:space="preserve">   </w:t>
      </w:r>
    </w:p>
    <w:p w:rsidR="00BA3A65" w:rsidRDefault="00BA3A65" w:rsidP="00BA3A65">
      <w:pPr>
        <w:ind w:firstLine="720"/>
        <w:jc w:val="both"/>
        <w:rPr>
          <w:rFonts w:ascii="14" w:hAnsi="14"/>
        </w:rPr>
      </w:pPr>
      <w:r>
        <w:rPr>
          <w:rFonts w:ascii="14" w:hAnsi="14"/>
          <w:b/>
          <w:i/>
        </w:rPr>
        <w:t xml:space="preserve"> </w:t>
      </w:r>
      <w:r w:rsidR="00E855B8" w:rsidRPr="00477301">
        <w:rPr>
          <w:rFonts w:ascii="14" w:hAnsi="14"/>
          <w:b/>
          <w:i/>
        </w:rPr>
        <w:t xml:space="preserve">đ) </w:t>
      </w:r>
      <w:r w:rsidR="00477301">
        <w:rPr>
          <w:rFonts w:ascii="14" w:hAnsi="14"/>
          <w:b/>
          <w:i/>
        </w:rPr>
        <w:t xml:space="preserve">Chương </w:t>
      </w:r>
      <w:r>
        <w:rPr>
          <w:rFonts w:ascii="14" w:hAnsi="14"/>
          <w:b/>
          <w:i/>
        </w:rPr>
        <w:t xml:space="preserve">IV </w:t>
      </w:r>
      <w:r w:rsidRPr="00BA3A65">
        <w:rPr>
          <w:rFonts w:ascii="14" w:hAnsi="14"/>
        </w:rPr>
        <w:t xml:space="preserve">quy định về thống kê, báo cáo và công bố thông tin về nợ công, gồm 5 Điều (từ Điều </w:t>
      </w:r>
      <w:r w:rsidR="008C2B58" w:rsidRPr="00BA3A65">
        <w:rPr>
          <w:rFonts w:ascii="14" w:hAnsi="14"/>
        </w:rPr>
        <w:t>2</w:t>
      </w:r>
      <w:r w:rsidR="008C2B58">
        <w:rPr>
          <w:rFonts w:ascii="14" w:hAnsi="14"/>
          <w:lang w:val="vi-VN"/>
        </w:rPr>
        <w:t>3</w:t>
      </w:r>
      <w:r w:rsidR="008C2B58" w:rsidRPr="00BA3A65">
        <w:rPr>
          <w:rFonts w:ascii="14" w:hAnsi="14"/>
        </w:rPr>
        <w:t xml:space="preserve"> </w:t>
      </w:r>
      <w:r w:rsidRPr="00BA3A65">
        <w:rPr>
          <w:rFonts w:ascii="14" w:hAnsi="14"/>
        </w:rPr>
        <w:t xml:space="preserve">đến Điều </w:t>
      </w:r>
      <w:r w:rsidR="008C2B58" w:rsidRPr="00BA3A65">
        <w:rPr>
          <w:rFonts w:ascii="14" w:hAnsi="14"/>
        </w:rPr>
        <w:t>2</w:t>
      </w:r>
      <w:r w:rsidR="008C2B58">
        <w:rPr>
          <w:rFonts w:ascii="14" w:hAnsi="14"/>
          <w:lang w:val="vi-VN"/>
        </w:rPr>
        <w:t>7</w:t>
      </w:r>
      <w:r>
        <w:rPr>
          <w:rFonts w:ascii="14" w:hAnsi="14"/>
        </w:rPr>
        <w:t>), cụ thể là:</w:t>
      </w:r>
    </w:p>
    <w:p w:rsidR="00BA3A65" w:rsidRDefault="00BA3A65" w:rsidP="00BA3A65">
      <w:pPr>
        <w:ind w:firstLine="720"/>
        <w:jc w:val="both"/>
        <w:rPr>
          <w:rFonts w:ascii="14" w:hAnsi="14"/>
        </w:rPr>
      </w:pPr>
      <w:r>
        <w:rPr>
          <w:rFonts w:ascii="14" w:hAnsi="14"/>
        </w:rPr>
        <w:t xml:space="preserve">- Việc tổ chức thông tin về nợ công (quy định tại Điều </w:t>
      </w:r>
      <w:r w:rsidR="008C2B58">
        <w:rPr>
          <w:rFonts w:ascii="14" w:hAnsi="14"/>
        </w:rPr>
        <w:t>2</w:t>
      </w:r>
      <w:r w:rsidR="008C2B58">
        <w:rPr>
          <w:rFonts w:ascii="14" w:hAnsi="14"/>
          <w:lang w:val="vi-VN"/>
        </w:rPr>
        <w:t>3</w:t>
      </w:r>
      <w:r>
        <w:rPr>
          <w:rFonts w:ascii="14" w:hAnsi="14"/>
        </w:rPr>
        <w:t>) bao gồm các quy định về nội dung tổ chức thông tin; phân loại thông tin nợ công; phương pháp và nguyên tắc thu thập và tổ chức thông tin; thời hạn báo cáo thông tin. Nghị định giao Bộ trưởng Bộ Tài chính quy định mẫu biểu báo cáo và hướng dẫn thực hiện việc tổ chức thông tin về nợ công.</w:t>
      </w:r>
    </w:p>
    <w:p w:rsidR="00BA3A65" w:rsidRDefault="00BA3A65" w:rsidP="00BA3A65">
      <w:pPr>
        <w:ind w:firstLine="720"/>
        <w:jc w:val="both"/>
        <w:rPr>
          <w:rFonts w:ascii="14" w:hAnsi="14"/>
        </w:rPr>
      </w:pPr>
      <w:r>
        <w:rPr>
          <w:rFonts w:ascii="14" w:hAnsi="14"/>
        </w:rPr>
        <w:t xml:space="preserve">- Trách nhiệm của các cơ quan trong cung cấp và tổ chức thông tin nợ công được quy định tại Điều </w:t>
      </w:r>
      <w:r w:rsidR="008C2B58">
        <w:rPr>
          <w:rFonts w:ascii="14" w:hAnsi="14"/>
        </w:rPr>
        <w:t>2</w:t>
      </w:r>
      <w:r w:rsidR="008C2B58">
        <w:rPr>
          <w:rFonts w:ascii="14" w:hAnsi="14"/>
          <w:lang w:val="vi-VN"/>
        </w:rPr>
        <w:t>4</w:t>
      </w:r>
      <w:r>
        <w:rPr>
          <w:rFonts w:ascii="14" w:hAnsi="14"/>
        </w:rPr>
        <w:t>, gồm: Bộ Tài chính, Ngân hàng Nhà nước Việt Nam; các Bộ, cơ quan ngang bộ, ủy ban nhân dân cấp tỉnh, các cơ quan cho vay lại, chủ dự án và các doanh nghiệp, tổ chức tín dụng có liên quan.</w:t>
      </w:r>
    </w:p>
    <w:p w:rsidR="00BA3A65" w:rsidRDefault="00BA3A65" w:rsidP="00BA3A65">
      <w:pPr>
        <w:ind w:firstLine="720"/>
        <w:jc w:val="both"/>
        <w:rPr>
          <w:rFonts w:ascii="14" w:hAnsi="14"/>
        </w:rPr>
      </w:pPr>
      <w:r>
        <w:rPr>
          <w:rFonts w:ascii="14" w:hAnsi="14"/>
        </w:rPr>
        <w:lastRenderedPageBreak/>
        <w:t xml:space="preserve">- Quy định về cơ sở dữ liệu nợ công gồm: nguyên tắc xây dựng, nội dung cơ sở dữ liệu, </w:t>
      </w:r>
      <w:r w:rsidR="00E0392A">
        <w:rPr>
          <w:rFonts w:ascii="14" w:hAnsi="14"/>
        </w:rPr>
        <w:t xml:space="preserve">chủ thể chủ trì quản lý (Bộ Tài chính). </w:t>
      </w:r>
    </w:p>
    <w:p w:rsidR="00E0392A" w:rsidRDefault="00E0392A" w:rsidP="00BA3A65">
      <w:pPr>
        <w:ind w:firstLine="720"/>
        <w:jc w:val="both"/>
        <w:rPr>
          <w:rFonts w:ascii="14" w:hAnsi="14"/>
        </w:rPr>
      </w:pPr>
      <w:r>
        <w:rPr>
          <w:rFonts w:ascii="14" w:hAnsi="14"/>
        </w:rPr>
        <w:t>- Ngoài các báo cáo về nợ công quy định tại Luật Quản lý nợ công, Nghị định này hướng dẫn nội dung và trách nhiệm của các cơ quan trong việc lập, trình báo cáo giám sát chỉ tiêu an toàn nợ công.</w:t>
      </w:r>
    </w:p>
    <w:p w:rsidR="00BA3A65" w:rsidRDefault="00E0392A" w:rsidP="00DF6B5B">
      <w:pPr>
        <w:ind w:firstLine="709"/>
        <w:jc w:val="both"/>
        <w:rPr>
          <w:rFonts w:ascii="14" w:hAnsi="14"/>
          <w:b/>
          <w:i/>
        </w:rPr>
      </w:pPr>
      <w:r>
        <w:rPr>
          <w:rFonts w:ascii="14" w:hAnsi="14"/>
        </w:rPr>
        <w:t xml:space="preserve">- Điều </w:t>
      </w:r>
      <w:r w:rsidR="008C2B58">
        <w:rPr>
          <w:rFonts w:ascii="14" w:hAnsi="14"/>
        </w:rPr>
        <w:t>2</w:t>
      </w:r>
      <w:r w:rsidR="008C2B58">
        <w:rPr>
          <w:rFonts w:ascii="14" w:hAnsi="14"/>
          <w:lang w:val="vi-VN"/>
        </w:rPr>
        <w:t>7</w:t>
      </w:r>
      <w:r w:rsidR="008C2B58">
        <w:rPr>
          <w:rFonts w:ascii="14" w:hAnsi="14"/>
        </w:rPr>
        <w:t xml:space="preserve"> </w:t>
      </w:r>
      <w:r>
        <w:rPr>
          <w:rFonts w:ascii="14" w:hAnsi="14"/>
        </w:rPr>
        <w:t xml:space="preserve">của Chương này quy định về công bố thông tin về nợ công, trong đó, Bộ trưởng </w:t>
      </w:r>
      <w:r w:rsidRPr="001D4717">
        <w:rPr>
          <w:lang w:val="nl-NL"/>
        </w:rPr>
        <w:t>Bộ Tài chính công khai, cung cấp thông tin về tình hình vay, trả nợ trong nước và nước ngoài của Chính phủ, nợ được Chính phủ bảo lãnh; vay, trả nợ nước ngoài của quốc gia, nợ của chính quyền địa phương theo quy định của pháp luật thông qua hình thức phát hành Bản tin về nợ</w:t>
      </w:r>
      <w:r>
        <w:rPr>
          <w:lang w:val="nl-NL"/>
        </w:rPr>
        <w:t xml:space="preserve"> công, được phát hành 6 tháng một lần. </w:t>
      </w:r>
    </w:p>
    <w:p w:rsidR="00477301" w:rsidRPr="001D4717" w:rsidRDefault="00FC3248" w:rsidP="00112AED">
      <w:pPr>
        <w:ind w:firstLine="709"/>
        <w:jc w:val="both"/>
        <w:rPr>
          <w:lang w:val="nl-NL"/>
        </w:rPr>
      </w:pPr>
      <w:r>
        <w:rPr>
          <w:rFonts w:ascii="14" w:hAnsi="14"/>
          <w:b/>
          <w:i/>
          <w:lang w:val="vi-VN"/>
        </w:rPr>
        <w:t>e</w:t>
      </w:r>
      <w:r w:rsidR="00477301" w:rsidRPr="00477301">
        <w:rPr>
          <w:rFonts w:ascii="14" w:hAnsi="14"/>
          <w:b/>
          <w:i/>
        </w:rPr>
        <w:t>) Chương V. Điều khoản thi hành</w:t>
      </w:r>
      <w:r w:rsidR="00477301">
        <w:rPr>
          <w:rFonts w:ascii="14" w:hAnsi="14"/>
        </w:rPr>
        <w:t xml:space="preserve">, gồm các Điều </w:t>
      </w:r>
      <w:r w:rsidR="008C2B58">
        <w:rPr>
          <w:rFonts w:ascii="14" w:hAnsi="14"/>
        </w:rPr>
        <w:t>2</w:t>
      </w:r>
      <w:r w:rsidR="008C2B58">
        <w:rPr>
          <w:rFonts w:ascii="14" w:hAnsi="14"/>
          <w:lang w:val="vi-VN"/>
        </w:rPr>
        <w:t>8</w:t>
      </w:r>
      <w:r w:rsidR="008C2B58">
        <w:rPr>
          <w:rFonts w:ascii="14" w:hAnsi="14"/>
        </w:rPr>
        <w:t xml:space="preserve"> </w:t>
      </w:r>
      <w:r w:rsidR="00477301">
        <w:rPr>
          <w:rFonts w:ascii="14" w:hAnsi="14"/>
        </w:rPr>
        <w:t xml:space="preserve">và Điều </w:t>
      </w:r>
      <w:r w:rsidR="008C2B58">
        <w:rPr>
          <w:rFonts w:ascii="14" w:hAnsi="14"/>
          <w:lang w:val="vi-VN"/>
        </w:rPr>
        <w:t>29</w:t>
      </w:r>
      <w:r w:rsidR="008C2B58">
        <w:rPr>
          <w:rFonts w:ascii="14" w:hAnsi="14"/>
        </w:rPr>
        <w:t xml:space="preserve"> </w:t>
      </w:r>
      <w:r w:rsidR="00477301">
        <w:rPr>
          <w:rFonts w:ascii="14" w:hAnsi="14"/>
        </w:rPr>
        <w:t xml:space="preserve">theo đó </w:t>
      </w:r>
      <w:r w:rsidR="00477301" w:rsidRPr="001D4717">
        <w:rPr>
          <w:lang w:val="nl-NL"/>
        </w:rPr>
        <w:t xml:space="preserve">Nghị định này có hiệu lực thi hành kể từ ngày </w:t>
      </w:r>
      <w:r w:rsidR="00477301" w:rsidRPr="00DF0B8C">
        <w:rPr>
          <w:lang w:val="vi-VN"/>
        </w:rPr>
        <w:t>01</w:t>
      </w:r>
      <w:r w:rsidR="00477301" w:rsidRPr="001D4717">
        <w:rPr>
          <w:lang w:val="nl-NL"/>
        </w:rPr>
        <w:t xml:space="preserve"> tháng </w:t>
      </w:r>
      <w:r w:rsidR="00477301" w:rsidRPr="00DF0B8C">
        <w:rPr>
          <w:lang w:val="vi-VN"/>
        </w:rPr>
        <w:t>7</w:t>
      </w:r>
      <w:r w:rsidR="00477301" w:rsidRPr="001D4717">
        <w:rPr>
          <w:lang w:val="nl-NL"/>
        </w:rPr>
        <w:t xml:space="preserve"> năm 201</w:t>
      </w:r>
      <w:r w:rsidR="00477301" w:rsidRPr="00DF0B8C">
        <w:rPr>
          <w:lang w:val="vi-VN"/>
        </w:rPr>
        <w:t>8</w:t>
      </w:r>
      <w:r w:rsidR="00477301" w:rsidRPr="001D4717">
        <w:rPr>
          <w:lang w:val="nl-NL"/>
        </w:rPr>
        <w:t>.</w:t>
      </w:r>
      <w:r w:rsidR="00477301">
        <w:rPr>
          <w:lang w:val="nl-NL"/>
        </w:rPr>
        <w:t xml:space="preserve"> </w:t>
      </w:r>
      <w:r w:rsidR="00477301" w:rsidRPr="001D4717">
        <w:rPr>
          <w:lang w:val="nl-NL"/>
        </w:rPr>
        <w:t>Những quy định trước đây của Chính phủ, các Bộ, cơ quan ngang Bộ, cơ quan thuộc Chính phủ trái với nội dung Nghị định này hết hiệu lực thi hành kể từ ngày Nghị định này có hiệu lực.</w:t>
      </w:r>
    </w:p>
    <w:p w:rsidR="00920C64" w:rsidRDefault="003D102E" w:rsidP="00112AED">
      <w:pPr>
        <w:ind w:firstLine="720"/>
        <w:jc w:val="both"/>
        <w:rPr>
          <w:rFonts w:eastAsia="Times New Roman"/>
          <w:b/>
          <w:bCs/>
          <w:noProof/>
          <w:sz w:val="26"/>
          <w:szCs w:val="26"/>
        </w:rPr>
      </w:pPr>
      <w:bookmarkStart w:id="1" w:name="21"/>
      <w:bookmarkEnd w:id="1"/>
      <w:r>
        <w:rPr>
          <w:rFonts w:eastAsia="Times New Roman"/>
          <w:b/>
          <w:bCs/>
          <w:noProof/>
          <w:sz w:val="26"/>
          <w:szCs w:val="26"/>
        </w:rPr>
        <w:t>I</w:t>
      </w:r>
      <w:r w:rsidR="00920C64" w:rsidRPr="00920C64">
        <w:rPr>
          <w:rFonts w:eastAsia="Times New Roman"/>
          <w:b/>
          <w:bCs/>
          <w:noProof/>
          <w:sz w:val="26"/>
          <w:szCs w:val="26"/>
          <w:lang w:val="vi-VN"/>
        </w:rPr>
        <w:t xml:space="preserve">V. GIẢI TRÌNH, TIẾP THU Ý KIẾN CỦA CÁC BỘ NGÀNH VÀ </w:t>
      </w:r>
      <w:r w:rsidR="009F7C91">
        <w:rPr>
          <w:rFonts w:eastAsia="Times New Roman"/>
          <w:b/>
          <w:bCs/>
          <w:noProof/>
          <w:sz w:val="26"/>
          <w:szCs w:val="26"/>
          <w:lang w:val="vi-VN"/>
        </w:rPr>
        <w:t>Ý KIẾN THẨM ĐỊNH CỦA BỘ TƯ PHÁP</w:t>
      </w:r>
    </w:p>
    <w:p w:rsidR="009F7C91" w:rsidRPr="009A25F8" w:rsidRDefault="009F7C91" w:rsidP="00112AED">
      <w:pPr>
        <w:ind w:firstLine="720"/>
        <w:jc w:val="both"/>
        <w:rPr>
          <w:rFonts w:eastAsia="Times New Roman"/>
          <w:b/>
          <w:bCs/>
          <w:noProof/>
          <w:lang w:val="vi-VN"/>
        </w:rPr>
      </w:pPr>
      <w:r w:rsidRPr="009F7C91">
        <w:rPr>
          <w:rFonts w:eastAsia="Times New Roman"/>
          <w:b/>
          <w:bCs/>
          <w:noProof/>
        </w:rPr>
        <w:t>1. Ý kiến các Bộ, ngành và địa phương</w:t>
      </w:r>
      <w:r w:rsidR="009A25F8">
        <w:rPr>
          <w:rFonts w:eastAsia="Times New Roman"/>
          <w:b/>
          <w:bCs/>
          <w:noProof/>
          <w:lang w:val="vi-VN"/>
        </w:rPr>
        <w:t>:</w:t>
      </w:r>
    </w:p>
    <w:p w:rsidR="00112AED" w:rsidRDefault="009F7C91" w:rsidP="00112AED">
      <w:pPr>
        <w:ind w:firstLine="720"/>
        <w:jc w:val="both"/>
        <w:rPr>
          <w:rFonts w:eastAsia="Times New Roman"/>
          <w:b/>
          <w:bCs/>
          <w:noProof/>
        </w:rPr>
      </w:pPr>
      <w:r w:rsidRPr="009F7C91">
        <w:rPr>
          <w:rFonts w:eastAsia="Times New Roman"/>
          <w:b/>
          <w:bCs/>
          <w:noProof/>
        </w:rPr>
        <w:t>2. Ý kiến thẩm định của Bộ Tư pháp</w:t>
      </w:r>
      <w:r w:rsidR="00112AED">
        <w:rPr>
          <w:rFonts w:eastAsia="Times New Roman"/>
          <w:b/>
          <w:bCs/>
          <w:noProof/>
        </w:rPr>
        <w:t xml:space="preserve">: </w:t>
      </w:r>
    </w:p>
    <w:p w:rsidR="00112AED" w:rsidRDefault="00BE43D7" w:rsidP="00112AED">
      <w:pPr>
        <w:jc w:val="both"/>
        <w:rPr>
          <w:rFonts w:eastAsia="Times New Roman"/>
          <w:b/>
          <w:caps/>
          <w:noProof/>
          <w:sz w:val="26"/>
        </w:rPr>
      </w:pPr>
      <w:r w:rsidRPr="009F7C91">
        <w:rPr>
          <w:rFonts w:eastAsia="Times New Roman"/>
          <w:b/>
          <w:noProof/>
        </w:rPr>
        <w:tab/>
      </w:r>
      <w:r w:rsidR="00920C64" w:rsidRPr="00112AED">
        <w:rPr>
          <w:rFonts w:eastAsia="Times New Roman"/>
          <w:b/>
          <w:noProof/>
          <w:sz w:val="26"/>
          <w:lang w:val="vi-VN"/>
        </w:rPr>
        <w:t xml:space="preserve">V. </w:t>
      </w:r>
      <w:r w:rsidR="00866E1E">
        <w:rPr>
          <w:rFonts w:eastAsia="Times New Roman"/>
          <w:b/>
          <w:caps/>
          <w:noProof/>
          <w:sz w:val="26"/>
        </w:rPr>
        <w:t>MỘT SỐ VẤN ĐỀ</w:t>
      </w:r>
      <w:r w:rsidR="003D102E" w:rsidRPr="00112AED">
        <w:rPr>
          <w:rFonts w:eastAsia="Times New Roman"/>
          <w:b/>
          <w:caps/>
          <w:noProof/>
          <w:sz w:val="26"/>
        </w:rPr>
        <w:t xml:space="preserve"> CÒN Ý KIẾN KHÁC NHAU</w:t>
      </w:r>
    </w:p>
    <w:p w:rsidR="00EF78CA" w:rsidRPr="008C2B58" w:rsidRDefault="00675070" w:rsidP="00112AED">
      <w:pPr>
        <w:ind w:firstLine="720"/>
        <w:jc w:val="both"/>
        <w:rPr>
          <w:rFonts w:eastAsia="Times New Roman"/>
          <w:bCs/>
          <w:noProof/>
          <w:lang w:val="vi-VN"/>
        </w:rPr>
      </w:pPr>
      <w:r>
        <w:rPr>
          <w:rFonts w:eastAsia="Times New Roman"/>
          <w:bCs/>
          <w:noProof/>
          <w:lang w:val="vi-VN"/>
        </w:rPr>
        <w:t>.......</w:t>
      </w:r>
    </w:p>
    <w:p w:rsidR="00866E1E" w:rsidRPr="00BE43D7" w:rsidRDefault="00866E1E" w:rsidP="00112AED">
      <w:pPr>
        <w:ind w:firstLine="720"/>
        <w:jc w:val="both"/>
        <w:rPr>
          <w:rFonts w:eastAsia="Times New Roman"/>
          <w:noProof/>
        </w:rPr>
      </w:pPr>
      <w:r>
        <w:rPr>
          <w:rFonts w:eastAsia="Times New Roman"/>
          <w:noProof/>
        </w:rPr>
        <w:t xml:space="preserve">Trên đây là một số nội dung cơ bản của dự thảo Nghị định của Chính phủ về nghiệp vụ quản lý nợ </w:t>
      </w:r>
      <w:r w:rsidR="00932E9F">
        <w:rPr>
          <w:rFonts w:eastAsia="Times New Roman"/>
          <w:noProof/>
        </w:rPr>
        <w:t>công; Bộ Tài chính kính trình Chính phủ xem xét, quyết định./.</w:t>
      </w:r>
    </w:p>
    <w:p w:rsidR="00920C64" w:rsidRPr="00920C64" w:rsidRDefault="00920C64" w:rsidP="00920C64">
      <w:pPr>
        <w:jc w:val="both"/>
        <w:rPr>
          <w:rFonts w:eastAsia="Times New Roman"/>
          <w:noProof/>
          <w:sz w:val="2"/>
          <w:szCs w:val="24"/>
          <w:lang w:val="vi-VN"/>
        </w:rPr>
      </w:pPr>
    </w:p>
    <w:tbl>
      <w:tblPr>
        <w:tblW w:w="0" w:type="auto"/>
        <w:tblLook w:val="04A0" w:firstRow="1" w:lastRow="0" w:firstColumn="1" w:lastColumn="0" w:noHBand="0" w:noVBand="1"/>
      </w:tblPr>
      <w:tblGrid>
        <w:gridCol w:w="6487"/>
        <w:gridCol w:w="2801"/>
      </w:tblGrid>
      <w:tr w:rsidR="00920C64" w:rsidRPr="00920C64" w:rsidTr="0000795E">
        <w:tc>
          <w:tcPr>
            <w:tcW w:w="6487" w:type="dxa"/>
          </w:tcPr>
          <w:p w:rsidR="00920C64" w:rsidRPr="00920C64" w:rsidRDefault="00920C64" w:rsidP="00920C64">
            <w:pPr>
              <w:spacing w:before="0" w:after="0"/>
              <w:jc w:val="both"/>
              <w:rPr>
                <w:rFonts w:eastAsia="Times New Roman"/>
                <w:noProof/>
                <w:sz w:val="24"/>
                <w:szCs w:val="24"/>
                <w:lang w:val="vi-VN"/>
              </w:rPr>
            </w:pPr>
            <w:r w:rsidRPr="00920C64">
              <w:rPr>
                <w:rFonts w:eastAsia="Times New Roman"/>
                <w:b/>
                <w:bCs/>
                <w:i/>
                <w:iCs/>
                <w:noProof/>
                <w:sz w:val="24"/>
                <w:szCs w:val="24"/>
                <w:lang w:val="vi-VN"/>
              </w:rPr>
              <w:t>Nơi nhận:</w:t>
            </w:r>
          </w:p>
          <w:p w:rsidR="00920C64" w:rsidRPr="00920C64" w:rsidRDefault="00920C64" w:rsidP="00920C64">
            <w:pPr>
              <w:spacing w:before="0" w:after="0"/>
              <w:jc w:val="both"/>
              <w:rPr>
                <w:rFonts w:eastAsia="Times New Roman"/>
                <w:noProof/>
                <w:sz w:val="22"/>
                <w:szCs w:val="22"/>
                <w:lang w:val="vi-VN"/>
              </w:rPr>
            </w:pPr>
            <w:r w:rsidRPr="00920C64">
              <w:rPr>
                <w:rFonts w:eastAsia="Times New Roman"/>
                <w:b/>
                <w:noProof/>
                <w:sz w:val="22"/>
                <w:szCs w:val="22"/>
                <w:lang w:val="vi-VN"/>
              </w:rPr>
              <w:t xml:space="preserve">- </w:t>
            </w:r>
            <w:r w:rsidRPr="00920C64">
              <w:rPr>
                <w:rFonts w:eastAsia="Times New Roman"/>
                <w:noProof/>
                <w:sz w:val="22"/>
                <w:szCs w:val="22"/>
                <w:lang w:val="vi-VN"/>
              </w:rPr>
              <w:t>Như trên;</w:t>
            </w:r>
          </w:p>
          <w:p w:rsidR="00920C64" w:rsidRPr="00920C64" w:rsidRDefault="00920C64" w:rsidP="00920C64">
            <w:pPr>
              <w:spacing w:before="0" w:after="0"/>
              <w:jc w:val="both"/>
              <w:rPr>
                <w:rFonts w:eastAsia="Times New Roman"/>
                <w:noProof/>
                <w:sz w:val="22"/>
                <w:szCs w:val="22"/>
                <w:lang w:val="vi-VN"/>
              </w:rPr>
            </w:pPr>
            <w:r w:rsidRPr="00920C64">
              <w:rPr>
                <w:rFonts w:eastAsia="Times New Roman"/>
                <w:noProof/>
                <w:sz w:val="22"/>
                <w:szCs w:val="22"/>
                <w:lang w:val="vi-VN"/>
              </w:rPr>
              <w:t>- PTTg Vương Đình Huệ;</w:t>
            </w:r>
          </w:p>
          <w:p w:rsidR="00920C64" w:rsidRPr="00920C64" w:rsidRDefault="00920C64" w:rsidP="00920C64">
            <w:pPr>
              <w:spacing w:before="0" w:after="0"/>
              <w:jc w:val="both"/>
              <w:rPr>
                <w:rFonts w:eastAsia="Times New Roman"/>
                <w:noProof/>
                <w:sz w:val="22"/>
                <w:szCs w:val="22"/>
                <w:lang w:val="vi-VN"/>
              </w:rPr>
            </w:pPr>
            <w:r w:rsidRPr="00920C64">
              <w:rPr>
                <w:rFonts w:eastAsia="Times New Roman"/>
                <w:b/>
                <w:noProof/>
                <w:sz w:val="24"/>
                <w:szCs w:val="24"/>
                <w:lang w:val="vi-VN"/>
              </w:rPr>
              <w:t xml:space="preserve">- </w:t>
            </w:r>
            <w:r w:rsidRPr="00920C64">
              <w:rPr>
                <w:rFonts w:eastAsia="Times New Roman"/>
                <w:noProof/>
                <w:sz w:val="22"/>
                <w:szCs w:val="22"/>
                <w:lang w:val="vi-VN"/>
              </w:rPr>
              <w:t>Văn phòng Chính phủ;</w:t>
            </w:r>
          </w:p>
          <w:p w:rsidR="00920C64" w:rsidRPr="00920C64" w:rsidRDefault="00920C64" w:rsidP="00920C64">
            <w:pPr>
              <w:spacing w:before="0" w:after="0"/>
              <w:jc w:val="both"/>
              <w:rPr>
                <w:rFonts w:eastAsia="Times New Roman"/>
                <w:noProof/>
                <w:sz w:val="22"/>
                <w:szCs w:val="22"/>
                <w:lang w:val="vi-VN"/>
              </w:rPr>
            </w:pPr>
            <w:r w:rsidRPr="00920C64">
              <w:rPr>
                <w:rFonts w:eastAsia="Times New Roman"/>
                <w:noProof/>
                <w:sz w:val="22"/>
                <w:szCs w:val="22"/>
                <w:lang w:val="vi-VN"/>
              </w:rPr>
              <w:t>- Bộ Tư pháp;</w:t>
            </w:r>
          </w:p>
          <w:p w:rsidR="00920C64" w:rsidRPr="00920C64" w:rsidRDefault="00920C64" w:rsidP="00920C64">
            <w:pPr>
              <w:spacing w:before="0" w:after="0"/>
              <w:jc w:val="both"/>
              <w:rPr>
                <w:rFonts w:eastAsia="Times New Roman"/>
                <w:noProof/>
                <w:sz w:val="22"/>
                <w:szCs w:val="22"/>
                <w:lang w:val="vi-VN"/>
              </w:rPr>
            </w:pPr>
            <w:r w:rsidRPr="00920C64">
              <w:rPr>
                <w:rFonts w:eastAsia="Times New Roman"/>
                <w:noProof/>
                <w:sz w:val="22"/>
                <w:szCs w:val="22"/>
                <w:lang w:val="vi-VN"/>
              </w:rPr>
              <w:t>- Bộ KH&amp;ĐT;</w:t>
            </w:r>
          </w:p>
          <w:p w:rsidR="00920C64" w:rsidRPr="00920C64" w:rsidRDefault="00920C64" w:rsidP="00920C64">
            <w:pPr>
              <w:spacing w:before="0" w:after="0"/>
              <w:jc w:val="both"/>
              <w:rPr>
                <w:rFonts w:eastAsia="Times New Roman"/>
                <w:noProof/>
                <w:sz w:val="22"/>
                <w:szCs w:val="22"/>
                <w:lang w:val="vi-VN"/>
              </w:rPr>
            </w:pPr>
            <w:r w:rsidRPr="00920C64">
              <w:rPr>
                <w:rFonts w:eastAsia="Times New Roman"/>
                <w:noProof/>
                <w:sz w:val="22"/>
                <w:szCs w:val="22"/>
                <w:lang w:val="vi-VN"/>
              </w:rPr>
              <w:t>- Ngân hàng Nhà nước Việt Nam;</w:t>
            </w:r>
          </w:p>
          <w:p w:rsidR="00920C64" w:rsidRPr="00920C64" w:rsidRDefault="00920C64" w:rsidP="00920C64">
            <w:pPr>
              <w:spacing w:before="0" w:after="0"/>
              <w:jc w:val="both"/>
              <w:rPr>
                <w:rFonts w:eastAsia="Times New Roman"/>
                <w:noProof/>
                <w:sz w:val="22"/>
                <w:szCs w:val="22"/>
                <w:lang w:val="vi-VN"/>
              </w:rPr>
            </w:pPr>
            <w:r w:rsidRPr="00920C64">
              <w:rPr>
                <w:rFonts w:eastAsia="Times New Roman"/>
                <w:noProof/>
                <w:sz w:val="22"/>
                <w:szCs w:val="22"/>
                <w:lang w:val="vi-VN"/>
              </w:rPr>
              <w:t>- Lưu: VT, QLN ( …b).</w:t>
            </w:r>
          </w:p>
          <w:p w:rsidR="00920C64" w:rsidRPr="00920C64" w:rsidRDefault="00920C64" w:rsidP="00920C64">
            <w:pPr>
              <w:spacing w:after="0" w:line="360" w:lineRule="atLeast"/>
              <w:jc w:val="both"/>
              <w:rPr>
                <w:rFonts w:eastAsia="Times New Roman"/>
                <w:noProof/>
                <w:sz w:val="24"/>
                <w:szCs w:val="24"/>
                <w:u w:val="single"/>
                <w:lang w:val="vi-VN"/>
              </w:rPr>
            </w:pPr>
          </w:p>
        </w:tc>
        <w:tc>
          <w:tcPr>
            <w:tcW w:w="2801" w:type="dxa"/>
          </w:tcPr>
          <w:p w:rsidR="00920C64" w:rsidRPr="00920C64" w:rsidRDefault="00920C64" w:rsidP="00920C64">
            <w:pPr>
              <w:spacing w:before="0" w:after="0"/>
              <w:jc w:val="center"/>
              <w:rPr>
                <w:rFonts w:eastAsia="Times New Roman"/>
                <w:b/>
                <w:noProof/>
                <w:sz w:val="26"/>
                <w:szCs w:val="24"/>
                <w:lang w:val="vi-VN"/>
              </w:rPr>
            </w:pPr>
            <w:r w:rsidRPr="00920C64">
              <w:rPr>
                <w:rFonts w:eastAsia="Times New Roman"/>
                <w:b/>
                <w:noProof/>
                <w:sz w:val="26"/>
                <w:szCs w:val="24"/>
                <w:lang w:val="vi-VN"/>
              </w:rPr>
              <w:t>BỘ TRƯỞNG</w:t>
            </w:r>
          </w:p>
          <w:p w:rsidR="00920C64" w:rsidRPr="00920C64" w:rsidRDefault="00920C64" w:rsidP="00920C64">
            <w:pPr>
              <w:spacing w:after="0" w:line="360" w:lineRule="atLeast"/>
              <w:jc w:val="both"/>
              <w:rPr>
                <w:rFonts w:eastAsia="Times New Roman"/>
                <w:noProof/>
                <w:sz w:val="24"/>
                <w:szCs w:val="24"/>
                <w:lang w:val="vi-VN"/>
              </w:rPr>
            </w:pPr>
          </w:p>
          <w:p w:rsidR="00920C64" w:rsidRPr="00920C64" w:rsidRDefault="00920C64" w:rsidP="00920C64">
            <w:pPr>
              <w:spacing w:after="0" w:line="360" w:lineRule="atLeast"/>
              <w:jc w:val="center"/>
              <w:rPr>
                <w:rFonts w:eastAsia="Times New Roman"/>
                <w:noProof/>
                <w:sz w:val="24"/>
                <w:szCs w:val="24"/>
                <w:lang w:val="vi-VN"/>
              </w:rPr>
            </w:pPr>
          </w:p>
          <w:p w:rsidR="00920C64" w:rsidRPr="00920C64" w:rsidRDefault="00920C64" w:rsidP="00920C64">
            <w:pPr>
              <w:spacing w:after="0" w:line="360" w:lineRule="atLeast"/>
              <w:jc w:val="both"/>
              <w:rPr>
                <w:rFonts w:eastAsia="Times New Roman"/>
                <w:noProof/>
                <w:sz w:val="24"/>
                <w:szCs w:val="24"/>
                <w:lang w:val="vi-VN"/>
              </w:rPr>
            </w:pPr>
          </w:p>
          <w:p w:rsidR="00920C64" w:rsidRPr="00920C64" w:rsidRDefault="00920C64" w:rsidP="00920C64">
            <w:pPr>
              <w:spacing w:after="0" w:line="360" w:lineRule="atLeast"/>
              <w:jc w:val="center"/>
              <w:rPr>
                <w:rFonts w:eastAsia="Times New Roman"/>
                <w:b/>
                <w:noProof/>
                <w:lang w:val="vi-VN"/>
              </w:rPr>
            </w:pPr>
            <w:r w:rsidRPr="00920C64">
              <w:rPr>
                <w:rFonts w:eastAsia="Times New Roman"/>
                <w:b/>
                <w:noProof/>
                <w:lang w:val="vi-VN"/>
              </w:rPr>
              <w:t>Đinh Tiến Dũng</w:t>
            </w:r>
          </w:p>
        </w:tc>
      </w:tr>
    </w:tbl>
    <w:p w:rsidR="00920C64" w:rsidRPr="00920C64" w:rsidRDefault="00920C64" w:rsidP="00920C64">
      <w:pPr>
        <w:spacing w:before="0" w:after="0"/>
        <w:jc w:val="both"/>
        <w:rPr>
          <w:rFonts w:eastAsia="Times New Roman"/>
          <w:noProof/>
          <w:sz w:val="24"/>
          <w:szCs w:val="24"/>
          <w:lang w:val="vi-VN"/>
        </w:rPr>
      </w:pPr>
    </w:p>
    <w:p w:rsidR="00674D3A" w:rsidRPr="00920C64" w:rsidRDefault="00674D3A" w:rsidP="00920C64"/>
    <w:sectPr w:rsidR="00674D3A" w:rsidRPr="00920C64" w:rsidSect="00B6126C">
      <w:footerReference w:type="even" r:id="rId8"/>
      <w:footerReference w:type="default" r:id="rId9"/>
      <w:pgSz w:w="11907" w:h="16840" w:code="9"/>
      <w:pgMar w:top="1134" w:right="1361" w:bottom="1134" w:left="1361" w:header="34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73" w:rsidRDefault="00EE7D73" w:rsidP="003D102E">
      <w:pPr>
        <w:spacing w:before="0" w:after="0"/>
      </w:pPr>
      <w:r>
        <w:separator/>
      </w:r>
    </w:p>
  </w:endnote>
  <w:endnote w:type="continuationSeparator" w:id="0">
    <w:p w:rsidR="00EE7D73" w:rsidRDefault="00EE7D73" w:rsidP="003D10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14">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3" w:rsidRDefault="00EE7D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D73" w:rsidRDefault="00EE7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756619721"/>
      <w:docPartObj>
        <w:docPartGallery w:val="Page Numbers (Bottom of Page)"/>
        <w:docPartUnique/>
      </w:docPartObj>
    </w:sdtPr>
    <w:sdtEndPr>
      <w:rPr>
        <w:noProof/>
      </w:rPr>
    </w:sdtEndPr>
    <w:sdtContent>
      <w:p w:rsidR="00EE7D73" w:rsidRDefault="00675070">
        <w:pPr>
          <w:pStyle w:val="Footer"/>
          <w:jc w:val="right"/>
        </w:pPr>
        <w:r>
          <w:fldChar w:fldCharType="begin"/>
        </w:r>
        <w:r>
          <w:instrText xml:space="preserve"> PAGE   \* MERGEFORMAT </w:instrText>
        </w:r>
        <w:r>
          <w:fldChar w:fldCharType="separate"/>
        </w:r>
        <w:r w:rsidR="009B6A0E">
          <w:t>3</w:t>
        </w:r>
        <w:r>
          <w:fldChar w:fldCharType="end"/>
        </w:r>
      </w:p>
    </w:sdtContent>
  </w:sdt>
  <w:p w:rsidR="00EE7D73" w:rsidRDefault="00EE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73" w:rsidRDefault="00EE7D73" w:rsidP="003D102E">
      <w:pPr>
        <w:spacing w:before="0" w:after="0"/>
      </w:pPr>
      <w:r>
        <w:separator/>
      </w:r>
    </w:p>
  </w:footnote>
  <w:footnote w:type="continuationSeparator" w:id="0">
    <w:p w:rsidR="00EE7D73" w:rsidRDefault="00EE7D73" w:rsidP="003D102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03F3"/>
    <w:multiLevelType w:val="hybridMultilevel"/>
    <w:tmpl w:val="B330BB7C"/>
    <w:lvl w:ilvl="0" w:tplc="FB347BF4">
      <w:start w:val="1"/>
      <w:numFmt w:val="bullet"/>
      <w:lvlText w:val="-"/>
      <w:lvlJc w:val="left"/>
      <w:pPr>
        <w:ind w:left="1080" w:hanging="360"/>
      </w:pPr>
      <w:rPr>
        <w:rFonts w:ascii="Times New Roman" w:eastAsia="SimSu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D17B25"/>
    <w:multiLevelType w:val="hybridMultilevel"/>
    <w:tmpl w:val="F5E275F2"/>
    <w:lvl w:ilvl="0" w:tplc="6FB840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342A13"/>
    <w:multiLevelType w:val="hybridMultilevel"/>
    <w:tmpl w:val="ECD0A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0C64"/>
    <w:rsid w:val="0000795E"/>
    <w:rsid w:val="0004094E"/>
    <w:rsid w:val="00112AED"/>
    <w:rsid w:val="00171724"/>
    <w:rsid w:val="0019291F"/>
    <w:rsid w:val="002A42C7"/>
    <w:rsid w:val="002C6C80"/>
    <w:rsid w:val="00327CEC"/>
    <w:rsid w:val="003D102E"/>
    <w:rsid w:val="003F78E4"/>
    <w:rsid w:val="00457452"/>
    <w:rsid w:val="00477301"/>
    <w:rsid w:val="004B331A"/>
    <w:rsid w:val="004D65D4"/>
    <w:rsid w:val="00550E09"/>
    <w:rsid w:val="006209D6"/>
    <w:rsid w:val="00642DBE"/>
    <w:rsid w:val="00655E07"/>
    <w:rsid w:val="00674D3A"/>
    <w:rsid w:val="00675070"/>
    <w:rsid w:val="00676AF8"/>
    <w:rsid w:val="006C167A"/>
    <w:rsid w:val="00721902"/>
    <w:rsid w:val="00747974"/>
    <w:rsid w:val="00781D75"/>
    <w:rsid w:val="00852747"/>
    <w:rsid w:val="00866E1E"/>
    <w:rsid w:val="008C2B58"/>
    <w:rsid w:val="00920C64"/>
    <w:rsid w:val="00932E9F"/>
    <w:rsid w:val="00981E03"/>
    <w:rsid w:val="009A20B3"/>
    <w:rsid w:val="009A25F8"/>
    <w:rsid w:val="009B6A0E"/>
    <w:rsid w:val="009C444F"/>
    <w:rsid w:val="009F7C91"/>
    <w:rsid w:val="00A03B20"/>
    <w:rsid w:val="00A9602E"/>
    <w:rsid w:val="00B52BDF"/>
    <w:rsid w:val="00B6126C"/>
    <w:rsid w:val="00BA3A65"/>
    <w:rsid w:val="00BA7FEA"/>
    <w:rsid w:val="00BD1CCE"/>
    <w:rsid w:val="00BE43D7"/>
    <w:rsid w:val="00DC7BD2"/>
    <w:rsid w:val="00DE39EC"/>
    <w:rsid w:val="00DF6B5B"/>
    <w:rsid w:val="00E0392A"/>
    <w:rsid w:val="00E778F9"/>
    <w:rsid w:val="00E855B8"/>
    <w:rsid w:val="00EE2473"/>
    <w:rsid w:val="00EE7D73"/>
    <w:rsid w:val="00EF78CA"/>
    <w:rsid w:val="00F06F95"/>
    <w:rsid w:val="00FA77F6"/>
    <w:rsid w:val="00FC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1"/>
    <o:shapelayout v:ext="edit">
      <o:idmap v:ext="edit" data="1"/>
      <o:rules v:ext="edit">
        <o:r id="V:Rule3" type="connector" idref="#Straight Arrow Connector 6"/>
        <o:r id="V:Rule4" type="connector" idref="#Straight Arrow Connector 4"/>
      </o:rules>
    </o:shapelayout>
  </w:shapeDefaults>
  <w:decimalSymbol w:val="."/>
  <w:listSeparator w:val=","/>
  <w14:docId w14:val="61C296F4"/>
  <w15:docId w15:val="{41FC4AD4-805F-4CC2-9CAD-F39DECB1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EC"/>
  </w:style>
  <w:style w:type="paragraph" w:styleId="Heading1">
    <w:name w:val="heading 1"/>
    <w:basedOn w:val="Normal"/>
    <w:next w:val="Normal"/>
    <w:link w:val="Heading1Char"/>
    <w:qFormat/>
    <w:rsid w:val="00920C64"/>
    <w:pPr>
      <w:keepNext/>
      <w:spacing w:before="0" w:after="0"/>
      <w:jc w:val="center"/>
      <w:outlineLvl w:val="0"/>
    </w:pPr>
    <w:rPr>
      <w:rFonts w:eastAsia="Times New Roman"/>
      <w:i/>
      <w:iCs/>
      <w:noProof/>
    </w:rPr>
  </w:style>
  <w:style w:type="paragraph" w:styleId="Heading2">
    <w:name w:val="heading 2"/>
    <w:basedOn w:val="Normal"/>
    <w:next w:val="Normal"/>
    <w:link w:val="Heading2Char"/>
    <w:qFormat/>
    <w:rsid w:val="00920C64"/>
    <w:pPr>
      <w:keepNext/>
      <w:spacing w:before="0" w:after="0"/>
      <w:jc w:val="center"/>
      <w:outlineLvl w:val="1"/>
    </w:pPr>
    <w:rPr>
      <w:rFonts w:eastAsia="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C6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20C64"/>
    <w:rPr>
      <w:rFonts w:eastAsia="Times New Roman"/>
      <w:i/>
      <w:iCs/>
      <w:noProof/>
    </w:rPr>
  </w:style>
  <w:style w:type="character" w:customStyle="1" w:styleId="Heading2Char">
    <w:name w:val="Heading 2 Char"/>
    <w:basedOn w:val="DefaultParagraphFont"/>
    <w:link w:val="Heading2"/>
    <w:rsid w:val="00920C64"/>
    <w:rPr>
      <w:rFonts w:eastAsia="Times New Roman"/>
      <w:b/>
      <w:bCs/>
      <w:noProof/>
    </w:rPr>
  </w:style>
  <w:style w:type="numbering" w:customStyle="1" w:styleId="NoList1">
    <w:name w:val="No List1"/>
    <w:next w:val="NoList"/>
    <w:uiPriority w:val="99"/>
    <w:semiHidden/>
    <w:unhideWhenUsed/>
    <w:rsid w:val="00920C64"/>
  </w:style>
  <w:style w:type="paragraph" w:styleId="NormalWeb">
    <w:name w:val="Normal (Web)"/>
    <w:basedOn w:val="Normal"/>
    <w:rsid w:val="00920C64"/>
    <w:pPr>
      <w:spacing w:before="100" w:beforeAutospacing="1" w:after="100" w:afterAutospacing="1"/>
    </w:pPr>
    <w:rPr>
      <w:rFonts w:eastAsia="Times New Roman"/>
      <w:noProof/>
      <w:sz w:val="24"/>
      <w:szCs w:val="24"/>
    </w:rPr>
  </w:style>
  <w:style w:type="paragraph" w:styleId="ListParagraph">
    <w:name w:val="List Paragraph"/>
    <w:basedOn w:val="Normal"/>
    <w:qFormat/>
    <w:rsid w:val="00920C64"/>
    <w:pPr>
      <w:spacing w:before="0" w:after="200" w:line="276" w:lineRule="auto"/>
      <w:ind w:left="720"/>
    </w:pPr>
    <w:rPr>
      <w:rFonts w:ascii="Cambria" w:eastAsia="Times New Roman" w:hAnsi="Cambria"/>
      <w:noProof/>
      <w:sz w:val="22"/>
      <w:szCs w:val="22"/>
      <w:lang w:val="vi-VN"/>
    </w:rPr>
  </w:style>
  <w:style w:type="paragraph" w:styleId="Footer">
    <w:name w:val="footer"/>
    <w:basedOn w:val="Normal"/>
    <w:link w:val="FooterChar"/>
    <w:uiPriority w:val="99"/>
    <w:rsid w:val="00920C64"/>
    <w:pPr>
      <w:tabs>
        <w:tab w:val="center" w:pos="4320"/>
        <w:tab w:val="right" w:pos="8640"/>
      </w:tabs>
      <w:spacing w:before="0" w:after="0"/>
    </w:pPr>
    <w:rPr>
      <w:rFonts w:eastAsia="Times New Roman"/>
      <w:noProof/>
      <w:sz w:val="24"/>
      <w:szCs w:val="24"/>
    </w:rPr>
  </w:style>
  <w:style w:type="character" w:customStyle="1" w:styleId="FooterChar">
    <w:name w:val="Footer Char"/>
    <w:basedOn w:val="DefaultParagraphFont"/>
    <w:link w:val="Footer"/>
    <w:uiPriority w:val="99"/>
    <w:rsid w:val="00920C64"/>
    <w:rPr>
      <w:rFonts w:eastAsia="Times New Roman"/>
      <w:noProof/>
      <w:sz w:val="24"/>
      <w:szCs w:val="24"/>
    </w:rPr>
  </w:style>
  <w:style w:type="character" w:styleId="PageNumber">
    <w:name w:val="page number"/>
    <w:basedOn w:val="DefaultParagraphFont"/>
    <w:semiHidden/>
    <w:rsid w:val="00920C64"/>
  </w:style>
  <w:style w:type="paragraph" w:styleId="BodyText">
    <w:name w:val="Body Text"/>
    <w:basedOn w:val="Normal"/>
    <w:link w:val="BodyTextChar"/>
    <w:semiHidden/>
    <w:rsid w:val="00920C64"/>
    <w:pPr>
      <w:spacing w:before="0" w:after="0"/>
      <w:jc w:val="center"/>
    </w:pPr>
    <w:rPr>
      <w:rFonts w:eastAsia="Times New Roman"/>
      <w:b/>
      <w:bCs/>
      <w:noProof/>
      <w:sz w:val="25"/>
      <w:szCs w:val="26"/>
    </w:rPr>
  </w:style>
  <w:style w:type="character" w:customStyle="1" w:styleId="BodyTextChar">
    <w:name w:val="Body Text Char"/>
    <w:basedOn w:val="DefaultParagraphFont"/>
    <w:link w:val="BodyText"/>
    <w:semiHidden/>
    <w:rsid w:val="00920C64"/>
    <w:rPr>
      <w:rFonts w:eastAsia="Times New Roman"/>
      <w:b/>
      <w:bCs/>
      <w:noProof/>
      <w:sz w:val="25"/>
      <w:szCs w:val="26"/>
    </w:rPr>
  </w:style>
  <w:style w:type="paragraph" w:styleId="Header">
    <w:name w:val="header"/>
    <w:basedOn w:val="Normal"/>
    <w:link w:val="HeaderChar"/>
    <w:uiPriority w:val="99"/>
    <w:unhideWhenUsed/>
    <w:rsid w:val="003D102E"/>
    <w:pPr>
      <w:tabs>
        <w:tab w:val="center" w:pos="4680"/>
        <w:tab w:val="right" w:pos="9360"/>
      </w:tabs>
      <w:spacing w:before="0" w:after="0"/>
    </w:pPr>
  </w:style>
  <w:style w:type="character" w:customStyle="1" w:styleId="HeaderChar">
    <w:name w:val="Header Char"/>
    <w:basedOn w:val="DefaultParagraphFont"/>
    <w:link w:val="Header"/>
    <w:uiPriority w:val="99"/>
    <w:rsid w:val="003D102E"/>
  </w:style>
  <w:style w:type="paragraph" w:styleId="BalloonText">
    <w:name w:val="Balloon Text"/>
    <w:basedOn w:val="Normal"/>
    <w:link w:val="BalloonTextChar"/>
    <w:uiPriority w:val="99"/>
    <w:semiHidden/>
    <w:unhideWhenUsed/>
    <w:rsid w:val="00866E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5678-7EDC-477A-96B9-076E89B3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nguyentrongnghia1</dc:creator>
  <cp:lastModifiedBy>Nguyen Thanh Chung</cp:lastModifiedBy>
  <cp:revision>23</cp:revision>
  <cp:lastPrinted>2018-01-17T02:01:00Z</cp:lastPrinted>
  <dcterms:created xsi:type="dcterms:W3CDTF">2018-01-04T01:31:00Z</dcterms:created>
  <dcterms:modified xsi:type="dcterms:W3CDTF">2018-01-17T10:10:00Z</dcterms:modified>
</cp:coreProperties>
</file>