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07" w:rsidRPr="00A6359A" w:rsidRDefault="00AD047F" w:rsidP="008A0C9E">
      <w:pPr>
        <w:jc w:val="center"/>
        <w:rPr>
          <w:b/>
          <w:sz w:val="26"/>
          <w:szCs w:val="26"/>
        </w:rPr>
      </w:pPr>
      <w:r w:rsidRPr="00A6359A">
        <w:rPr>
          <w:b/>
          <w:sz w:val="26"/>
          <w:szCs w:val="26"/>
        </w:rPr>
        <w:t xml:space="preserve">BẢN TỔNG HỢP Ý KIẾN GÓP Ý CỦA CÁC </w:t>
      </w:r>
      <w:r w:rsidR="00B7185B" w:rsidRPr="00A6359A">
        <w:rPr>
          <w:b/>
          <w:sz w:val="26"/>
          <w:szCs w:val="26"/>
        </w:rPr>
        <w:t xml:space="preserve">CƠ QUAN </w:t>
      </w:r>
    </w:p>
    <w:p w:rsidR="00AD047F" w:rsidRPr="00A6359A" w:rsidRDefault="00B7185B" w:rsidP="008A0C9E">
      <w:pPr>
        <w:jc w:val="center"/>
        <w:rPr>
          <w:b/>
          <w:spacing w:val="-4"/>
          <w:sz w:val="26"/>
          <w:szCs w:val="26"/>
        </w:rPr>
      </w:pPr>
      <w:r w:rsidRPr="00A6359A">
        <w:rPr>
          <w:b/>
          <w:spacing w:val="-4"/>
          <w:sz w:val="26"/>
          <w:szCs w:val="26"/>
        </w:rPr>
        <w:t xml:space="preserve">VỀ </w:t>
      </w:r>
      <w:r w:rsidR="001C3A04">
        <w:rPr>
          <w:b/>
          <w:spacing w:val="-4"/>
          <w:sz w:val="26"/>
          <w:szCs w:val="26"/>
        </w:rPr>
        <w:t>ĐỀ XUẤT LUẬT SỬA ĐỔI, BỔ SUNG MỘT SỐ ĐIỀU CỦA LUẬT ĐẦU TƯ, LUẬT DOANH NGHIỆP</w:t>
      </w:r>
    </w:p>
    <w:p w:rsidR="008A0C9E" w:rsidRDefault="008A0C9E" w:rsidP="008A0C9E">
      <w:pPr>
        <w:jc w:val="center"/>
        <w:rPr>
          <w:i/>
          <w:sz w:val="26"/>
          <w:szCs w:val="26"/>
        </w:rPr>
      </w:pPr>
    </w:p>
    <w:p w:rsidR="001C3A04" w:rsidRPr="00A6359A" w:rsidRDefault="001C3A04" w:rsidP="008A0C9E">
      <w:pPr>
        <w:jc w:val="center"/>
        <w:rPr>
          <w:i/>
          <w:sz w:val="26"/>
          <w:szCs w:val="26"/>
        </w:rPr>
      </w:pPr>
    </w:p>
    <w:tbl>
      <w:tblPr>
        <w:tblpPr w:leftFromText="180" w:rightFromText="180" w:vertAnchor="text" w:tblpX="352" w:tblpY="1"/>
        <w:tblOverlap w:val="neve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907"/>
        <w:gridCol w:w="1276"/>
        <w:gridCol w:w="6407"/>
        <w:gridCol w:w="1701"/>
        <w:gridCol w:w="3986"/>
      </w:tblGrid>
      <w:tr w:rsidR="000915CE" w:rsidRPr="00C10014" w:rsidTr="006F2D44">
        <w:trPr>
          <w:trHeight w:val="355"/>
          <w:tblHeader/>
        </w:trPr>
        <w:tc>
          <w:tcPr>
            <w:tcW w:w="619" w:type="dxa"/>
            <w:tcBorders>
              <w:bottom w:val="single" w:sz="4" w:space="0" w:color="auto"/>
            </w:tcBorders>
            <w:shd w:val="clear" w:color="auto" w:fill="DEEAF6"/>
          </w:tcPr>
          <w:p w:rsidR="000915CE" w:rsidRPr="00C10014" w:rsidRDefault="000915CE" w:rsidP="00E70B9F">
            <w:pPr>
              <w:spacing w:before="120" w:after="120"/>
              <w:jc w:val="center"/>
              <w:rPr>
                <w:b/>
                <w:sz w:val="26"/>
                <w:szCs w:val="26"/>
              </w:rPr>
            </w:pPr>
            <w:r w:rsidRPr="00C10014">
              <w:rPr>
                <w:b/>
                <w:sz w:val="26"/>
                <w:szCs w:val="26"/>
              </w:rPr>
              <w:t>TT</w:t>
            </w:r>
          </w:p>
        </w:tc>
        <w:tc>
          <w:tcPr>
            <w:tcW w:w="907" w:type="dxa"/>
            <w:tcBorders>
              <w:bottom w:val="single" w:sz="4" w:space="0" w:color="auto"/>
            </w:tcBorders>
            <w:shd w:val="clear" w:color="auto" w:fill="DEEAF6"/>
            <w:vAlign w:val="center"/>
          </w:tcPr>
          <w:p w:rsidR="000915CE" w:rsidRPr="00C10014" w:rsidRDefault="000915CE" w:rsidP="00E70B9F">
            <w:pPr>
              <w:spacing w:before="120" w:after="120"/>
              <w:ind w:left="-130" w:right="-167"/>
              <w:jc w:val="center"/>
              <w:rPr>
                <w:b/>
                <w:sz w:val="26"/>
                <w:szCs w:val="26"/>
              </w:rPr>
            </w:pPr>
            <w:r w:rsidRPr="00C10014">
              <w:rPr>
                <w:b/>
                <w:sz w:val="26"/>
                <w:szCs w:val="26"/>
              </w:rPr>
              <w:t>LUẬT</w:t>
            </w:r>
          </w:p>
        </w:tc>
        <w:tc>
          <w:tcPr>
            <w:tcW w:w="1276" w:type="dxa"/>
            <w:tcBorders>
              <w:bottom w:val="single" w:sz="4" w:space="0" w:color="auto"/>
            </w:tcBorders>
            <w:shd w:val="clear" w:color="auto" w:fill="DEEAF6"/>
          </w:tcPr>
          <w:p w:rsidR="000915CE" w:rsidRPr="00C10014" w:rsidRDefault="000915CE" w:rsidP="00E70B9F">
            <w:pPr>
              <w:spacing w:before="120" w:after="120"/>
              <w:jc w:val="center"/>
              <w:rPr>
                <w:b/>
                <w:sz w:val="26"/>
                <w:szCs w:val="26"/>
              </w:rPr>
            </w:pPr>
            <w:r w:rsidRPr="00C10014">
              <w:rPr>
                <w:b/>
                <w:sz w:val="26"/>
                <w:szCs w:val="26"/>
              </w:rPr>
              <w:t>ĐIỀU KHOẢN</w:t>
            </w:r>
          </w:p>
        </w:tc>
        <w:tc>
          <w:tcPr>
            <w:tcW w:w="6407" w:type="dxa"/>
            <w:tcBorders>
              <w:bottom w:val="single" w:sz="4" w:space="0" w:color="auto"/>
            </w:tcBorders>
            <w:shd w:val="clear" w:color="auto" w:fill="DEEAF6"/>
            <w:vAlign w:val="center"/>
          </w:tcPr>
          <w:p w:rsidR="000915CE" w:rsidRPr="00C10014" w:rsidRDefault="000915CE" w:rsidP="00E70B9F">
            <w:pPr>
              <w:spacing w:before="120" w:after="120"/>
              <w:jc w:val="center"/>
              <w:rPr>
                <w:b/>
                <w:sz w:val="26"/>
                <w:szCs w:val="26"/>
              </w:rPr>
            </w:pPr>
            <w:r w:rsidRPr="00C10014">
              <w:rPr>
                <w:b/>
                <w:sz w:val="26"/>
                <w:szCs w:val="26"/>
              </w:rPr>
              <w:t>NỘI DUNG GÓP Ý</w:t>
            </w:r>
          </w:p>
        </w:tc>
        <w:tc>
          <w:tcPr>
            <w:tcW w:w="1701" w:type="dxa"/>
            <w:tcBorders>
              <w:bottom w:val="single" w:sz="4" w:space="0" w:color="auto"/>
            </w:tcBorders>
            <w:shd w:val="clear" w:color="auto" w:fill="DEEAF6"/>
          </w:tcPr>
          <w:p w:rsidR="000915CE" w:rsidRPr="00C10014" w:rsidRDefault="000915CE" w:rsidP="00030956">
            <w:pPr>
              <w:spacing w:before="120" w:after="120"/>
              <w:jc w:val="center"/>
              <w:rPr>
                <w:b/>
                <w:sz w:val="26"/>
                <w:szCs w:val="26"/>
              </w:rPr>
            </w:pPr>
            <w:r w:rsidRPr="00C10014">
              <w:rPr>
                <w:b/>
                <w:sz w:val="26"/>
                <w:szCs w:val="26"/>
              </w:rPr>
              <w:t>C</w:t>
            </w:r>
            <w:r w:rsidR="00030956">
              <w:rPr>
                <w:b/>
                <w:sz w:val="26"/>
                <w:szCs w:val="26"/>
              </w:rPr>
              <w:t>Q</w:t>
            </w:r>
            <w:r w:rsidRPr="00C10014">
              <w:rPr>
                <w:b/>
                <w:sz w:val="26"/>
                <w:szCs w:val="26"/>
              </w:rPr>
              <w:t xml:space="preserve"> ĐỀ XUẤT</w:t>
            </w:r>
          </w:p>
        </w:tc>
        <w:tc>
          <w:tcPr>
            <w:tcW w:w="3986" w:type="dxa"/>
            <w:tcBorders>
              <w:bottom w:val="single" w:sz="4" w:space="0" w:color="auto"/>
            </w:tcBorders>
            <w:shd w:val="clear" w:color="auto" w:fill="DEEAF6"/>
          </w:tcPr>
          <w:p w:rsidR="000915CE" w:rsidRPr="00C10014" w:rsidRDefault="009D57BF" w:rsidP="00A6359A">
            <w:pPr>
              <w:spacing w:before="120" w:after="120"/>
              <w:jc w:val="center"/>
              <w:rPr>
                <w:b/>
                <w:sz w:val="26"/>
                <w:szCs w:val="26"/>
              </w:rPr>
            </w:pPr>
            <w:r>
              <w:rPr>
                <w:b/>
                <w:sz w:val="26"/>
                <w:szCs w:val="26"/>
              </w:rPr>
              <w:t>GIẢI TRÌNH TIẾP THU</w:t>
            </w:r>
          </w:p>
        </w:tc>
      </w:tr>
      <w:tr w:rsidR="000915CE" w:rsidRPr="00C10014" w:rsidTr="006F2D44">
        <w:trPr>
          <w:trHeight w:val="372"/>
        </w:trPr>
        <w:tc>
          <w:tcPr>
            <w:tcW w:w="619" w:type="dxa"/>
            <w:shd w:val="clear" w:color="auto" w:fill="FBE4D5"/>
          </w:tcPr>
          <w:p w:rsidR="000915CE" w:rsidRPr="00C10014" w:rsidRDefault="000915CE" w:rsidP="000D6F6C">
            <w:pPr>
              <w:spacing w:before="40" w:after="40"/>
              <w:ind w:left="142"/>
              <w:jc w:val="center"/>
              <w:rPr>
                <w:sz w:val="26"/>
                <w:szCs w:val="26"/>
              </w:rPr>
            </w:pPr>
            <w:r w:rsidRPr="00C10014">
              <w:rPr>
                <w:sz w:val="26"/>
                <w:szCs w:val="26"/>
              </w:rPr>
              <w:t>1</w:t>
            </w:r>
          </w:p>
        </w:tc>
        <w:tc>
          <w:tcPr>
            <w:tcW w:w="10291" w:type="dxa"/>
            <w:gridSpan w:val="4"/>
            <w:shd w:val="clear" w:color="auto" w:fill="FBE4D5"/>
          </w:tcPr>
          <w:p w:rsidR="000915CE" w:rsidRPr="00C10014" w:rsidRDefault="000915CE" w:rsidP="00A6359A">
            <w:pPr>
              <w:spacing w:before="40" w:after="40"/>
              <w:jc w:val="center"/>
              <w:rPr>
                <w:sz w:val="26"/>
                <w:szCs w:val="26"/>
              </w:rPr>
            </w:pPr>
            <w:r w:rsidRPr="00C10014">
              <w:rPr>
                <w:b/>
                <w:sz w:val="26"/>
                <w:szCs w:val="26"/>
              </w:rPr>
              <w:t>Luật Đầu tư</w:t>
            </w:r>
          </w:p>
        </w:tc>
        <w:tc>
          <w:tcPr>
            <w:tcW w:w="3986" w:type="dxa"/>
            <w:shd w:val="clear" w:color="auto" w:fill="FBE4D5"/>
          </w:tcPr>
          <w:p w:rsidR="000915CE" w:rsidRPr="00C10014" w:rsidRDefault="000915CE" w:rsidP="00A6359A">
            <w:pPr>
              <w:spacing w:before="40" w:after="40"/>
              <w:jc w:val="center"/>
              <w:rPr>
                <w:b/>
                <w:sz w:val="26"/>
                <w:szCs w:val="26"/>
              </w:rPr>
            </w:pPr>
          </w:p>
        </w:tc>
      </w:tr>
      <w:tr w:rsidR="000915CE" w:rsidRPr="00C10014" w:rsidTr="006F2D44">
        <w:trPr>
          <w:trHeight w:val="372"/>
        </w:trPr>
        <w:tc>
          <w:tcPr>
            <w:tcW w:w="619" w:type="dxa"/>
          </w:tcPr>
          <w:p w:rsidR="000915CE" w:rsidRPr="00C10014" w:rsidRDefault="000915CE" w:rsidP="0086053B">
            <w:pPr>
              <w:spacing w:before="40" w:after="40"/>
              <w:ind w:left="142"/>
              <w:jc w:val="center"/>
              <w:rPr>
                <w:sz w:val="26"/>
                <w:szCs w:val="26"/>
              </w:rPr>
            </w:pPr>
          </w:p>
        </w:tc>
        <w:tc>
          <w:tcPr>
            <w:tcW w:w="907" w:type="dxa"/>
            <w:vAlign w:val="center"/>
          </w:tcPr>
          <w:p w:rsidR="000915CE" w:rsidRPr="00C10014" w:rsidRDefault="000915CE" w:rsidP="0086053B">
            <w:pPr>
              <w:spacing w:before="40" w:after="40"/>
              <w:jc w:val="center"/>
              <w:rPr>
                <w:b/>
                <w:sz w:val="26"/>
                <w:szCs w:val="26"/>
              </w:rPr>
            </w:pPr>
          </w:p>
        </w:tc>
        <w:tc>
          <w:tcPr>
            <w:tcW w:w="1276" w:type="dxa"/>
          </w:tcPr>
          <w:p w:rsidR="000915CE" w:rsidRPr="00C10014" w:rsidRDefault="008814FB" w:rsidP="0086053B">
            <w:pPr>
              <w:spacing w:before="40" w:after="40"/>
              <w:jc w:val="both"/>
              <w:rPr>
                <w:spacing w:val="2"/>
                <w:sz w:val="26"/>
                <w:szCs w:val="26"/>
              </w:rPr>
            </w:pPr>
            <w:r>
              <w:rPr>
                <w:spacing w:val="2"/>
                <w:sz w:val="26"/>
                <w:szCs w:val="26"/>
              </w:rPr>
              <w:t>Khoản 18 Điều 3</w:t>
            </w:r>
          </w:p>
        </w:tc>
        <w:tc>
          <w:tcPr>
            <w:tcW w:w="6407" w:type="dxa"/>
            <w:vAlign w:val="center"/>
          </w:tcPr>
          <w:p w:rsidR="000915CE" w:rsidRDefault="00E1349E" w:rsidP="00E1349E">
            <w:pPr>
              <w:spacing w:before="40" w:after="40"/>
              <w:ind w:firstLine="346"/>
              <w:jc w:val="both"/>
              <w:rPr>
                <w:spacing w:val="2"/>
                <w:sz w:val="26"/>
                <w:szCs w:val="26"/>
              </w:rPr>
            </w:pPr>
            <w:r>
              <w:rPr>
                <w:spacing w:val="2"/>
                <w:sz w:val="26"/>
                <w:szCs w:val="26"/>
              </w:rPr>
              <w:t>Quy định chi tiết hơn về vốn đầu tư của dự án.</w:t>
            </w:r>
          </w:p>
          <w:p w:rsidR="00E1349E" w:rsidRDefault="00E1349E" w:rsidP="00E1349E">
            <w:pPr>
              <w:spacing w:before="40" w:after="40"/>
              <w:ind w:firstLine="346"/>
              <w:jc w:val="both"/>
              <w:rPr>
                <w:spacing w:val="2"/>
                <w:sz w:val="26"/>
                <w:szCs w:val="26"/>
              </w:rPr>
            </w:pPr>
            <w:r>
              <w:rPr>
                <w:i/>
                <w:spacing w:val="2"/>
                <w:sz w:val="26"/>
                <w:szCs w:val="26"/>
                <w:u w:val="single"/>
              </w:rPr>
              <w:t>Lý do:</w:t>
            </w:r>
          </w:p>
          <w:p w:rsidR="00E007A6" w:rsidRPr="00E007A6" w:rsidRDefault="00E007A6" w:rsidP="00E007A6">
            <w:pPr>
              <w:spacing w:before="40" w:after="40"/>
              <w:ind w:firstLine="346"/>
              <w:jc w:val="both"/>
              <w:rPr>
                <w:bCs/>
                <w:spacing w:val="2"/>
                <w:sz w:val="26"/>
                <w:szCs w:val="26"/>
              </w:rPr>
            </w:pPr>
            <w:r w:rsidRPr="00E007A6">
              <w:rPr>
                <w:bCs/>
                <w:spacing w:val="2"/>
                <w:sz w:val="26"/>
                <w:szCs w:val="26"/>
              </w:rPr>
              <w:t>Khoản 18 Điều 3 Luật Đầu tư quy định “vốn đầu tư là tiền và tài sản khác để thực hiện hoạt động đầu tư kinh doanh”.</w:t>
            </w:r>
          </w:p>
          <w:p w:rsidR="00E007A6" w:rsidRPr="00E007A6" w:rsidRDefault="00E007A6" w:rsidP="00E007A6">
            <w:pPr>
              <w:spacing w:before="40" w:after="40"/>
              <w:ind w:firstLine="346"/>
              <w:jc w:val="both"/>
              <w:rPr>
                <w:bCs/>
                <w:spacing w:val="2"/>
                <w:sz w:val="26"/>
                <w:szCs w:val="26"/>
              </w:rPr>
            </w:pPr>
            <w:r w:rsidRPr="00E007A6">
              <w:rPr>
                <w:bCs/>
                <w:spacing w:val="2"/>
                <w:sz w:val="26"/>
                <w:szCs w:val="26"/>
              </w:rPr>
              <w:t>Khoản 15 Điều 2 Nghị định số 118/2015/NĐ-CP ngày 12/11/2015 của Chính phủ quy định chi tiết và hướng dẫn thi hành một số điều của Luật Đầu tư quy định “Vốn đầu tư của dự án là vốn góp của nhà đầu tư và vốn do nhà đầu tư huy động để thực hiện dự án đầu tư được ghi tại văn bản quyết định chủ trương đầu tư, Giấy chứng nhận đăng ký đầu tư”.</w:t>
            </w:r>
          </w:p>
          <w:p w:rsidR="00E007A6" w:rsidRPr="00E007A6" w:rsidRDefault="00E007A6" w:rsidP="00E007A6">
            <w:pPr>
              <w:spacing w:before="40" w:after="40"/>
              <w:ind w:firstLine="346"/>
              <w:jc w:val="both"/>
              <w:rPr>
                <w:bCs/>
                <w:spacing w:val="2"/>
                <w:sz w:val="26"/>
                <w:szCs w:val="26"/>
              </w:rPr>
            </w:pPr>
            <w:r w:rsidRPr="00E007A6">
              <w:rPr>
                <w:bCs/>
                <w:spacing w:val="2"/>
                <w:sz w:val="26"/>
                <w:szCs w:val="26"/>
              </w:rPr>
              <w:t>Mẫu số I.2 Mục 5.1 ban hành kèm theo Thông tư số 16/2015/TT-BKHĐT ngày 18/11/2015 của Bộ trưởng Bộ Kế hoạch và Đầu tư quy định biểu mẫu thực hiện thủ tục đầu tư và báo cáo hoạt động đầu tư tại Việt Nam hướng dẫn kê khai Tổng vốn đầu tư bao gồm vốn cố định (chi phí bồi thường, hỗ trợ tái định cư; chi phí thuê đất, mặt nước; chi phí xây dựng công trình; chi phí máy móc, thiết bị, công nghệ, thương hiệu; chi phí khác hình thành tài sản cố định; chi phí dự phòng) và vốn lưu động.</w:t>
            </w:r>
          </w:p>
          <w:p w:rsidR="00E007A6" w:rsidRPr="00E007A6" w:rsidRDefault="00E007A6" w:rsidP="00E007A6">
            <w:pPr>
              <w:spacing w:before="40" w:after="40"/>
              <w:ind w:firstLine="346"/>
              <w:jc w:val="both"/>
              <w:rPr>
                <w:bCs/>
                <w:spacing w:val="2"/>
                <w:sz w:val="26"/>
                <w:szCs w:val="26"/>
              </w:rPr>
            </w:pPr>
            <w:r w:rsidRPr="00E007A6">
              <w:rPr>
                <w:bCs/>
                <w:spacing w:val="2"/>
                <w:sz w:val="26"/>
                <w:szCs w:val="26"/>
              </w:rPr>
              <w:t xml:space="preserve">Theo các quy định nêu trên thì “vốn đầu tư” là toàn bộ phần vốn để thực hiện dự </w:t>
            </w:r>
            <w:proofErr w:type="gramStart"/>
            <w:r w:rsidRPr="00E007A6">
              <w:rPr>
                <w:bCs/>
                <w:spacing w:val="2"/>
                <w:sz w:val="26"/>
                <w:szCs w:val="26"/>
              </w:rPr>
              <w:t>án</w:t>
            </w:r>
            <w:proofErr w:type="gramEnd"/>
            <w:r w:rsidRPr="00E007A6">
              <w:rPr>
                <w:bCs/>
                <w:spacing w:val="2"/>
                <w:sz w:val="26"/>
                <w:szCs w:val="26"/>
              </w:rPr>
              <w:t xml:space="preserve"> đầu tư, bao gồm cả vốn cố định và vốn lưu động. </w:t>
            </w:r>
          </w:p>
          <w:p w:rsidR="00E007A6" w:rsidRPr="00E1349E" w:rsidRDefault="00F82799" w:rsidP="00A66403">
            <w:pPr>
              <w:spacing w:before="40" w:after="40"/>
              <w:ind w:firstLine="346"/>
              <w:jc w:val="both"/>
              <w:rPr>
                <w:spacing w:val="2"/>
                <w:sz w:val="26"/>
                <w:szCs w:val="26"/>
              </w:rPr>
            </w:pPr>
            <w:r>
              <w:rPr>
                <w:bCs/>
                <w:spacing w:val="2"/>
                <w:sz w:val="26"/>
                <w:szCs w:val="26"/>
              </w:rPr>
              <w:t xml:space="preserve">Như vậy, </w:t>
            </w:r>
            <w:r w:rsidR="00E007A6" w:rsidRPr="00E007A6">
              <w:rPr>
                <w:bCs/>
                <w:spacing w:val="2"/>
                <w:sz w:val="26"/>
                <w:szCs w:val="26"/>
              </w:rPr>
              <w:t xml:space="preserve">“vốn lưu động” cũng được tính vào vốn đầu tư của dự án là chưa hợp lý vì vốn đầu tư là căn cứ để xác </w:t>
            </w:r>
            <w:r w:rsidR="00E007A6" w:rsidRPr="00E007A6">
              <w:rPr>
                <w:bCs/>
                <w:spacing w:val="2"/>
                <w:sz w:val="26"/>
                <w:szCs w:val="26"/>
              </w:rPr>
              <w:lastRenderedPageBreak/>
              <w:t>định ưu đãi đầu tư cho dự án và căn cứ để xác định số tiền ký quỹ bảo đảm thực hiện dự án nên vốn đầu tư phải là vốn thực tế thực hiện dự án (không bao gồm vốn lưu động).</w:t>
            </w:r>
          </w:p>
        </w:tc>
        <w:tc>
          <w:tcPr>
            <w:tcW w:w="1701" w:type="dxa"/>
          </w:tcPr>
          <w:p w:rsidR="000915CE" w:rsidRPr="00C10014" w:rsidRDefault="00A66403" w:rsidP="00A6359A">
            <w:pPr>
              <w:jc w:val="center"/>
              <w:rPr>
                <w:sz w:val="26"/>
                <w:szCs w:val="26"/>
              </w:rPr>
            </w:pPr>
            <w:r>
              <w:rPr>
                <w:sz w:val="26"/>
                <w:szCs w:val="26"/>
              </w:rPr>
              <w:lastRenderedPageBreak/>
              <w:t>Bộ KH&amp;CN</w:t>
            </w:r>
          </w:p>
        </w:tc>
        <w:tc>
          <w:tcPr>
            <w:tcW w:w="3986" w:type="dxa"/>
          </w:tcPr>
          <w:p w:rsidR="003B0150" w:rsidRPr="00C10014" w:rsidRDefault="00CE6D59" w:rsidP="00400598">
            <w:pPr>
              <w:rPr>
                <w:sz w:val="26"/>
                <w:szCs w:val="26"/>
              </w:rPr>
            </w:pPr>
            <w:r>
              <w:rPr>
                <w:sz w:val="26"/>
                <w:szCs w:val="26"/>
              </w:rPr>
              <w:t>Tiếp thu ý kiến. Tuy nhiên, các kiến nghị liên quan đến nội dung quy định tại các văn bản quy định chi tiết và hướng dẫn thi hành Luật Đầu tư. Do đó, Bộ Kế hoạch và Đầu tư sẽ tiếp thu trong quá trình sửa đổi các văn bản này.</w:t>
            </w:r>
          </w:p>
        </w:tc>
      </w:tr>
      <w:tr w:rsidR="000915CE" w:rsidRPr="00C10014" w:rsidTr="006F2D44">
        <w:trPr>
          <w:trHeight w:val="372"/>
        </w:trPr>
        <w:tc>
          <w:tcPr>
            <w:tcW w:w="619" w:type="dxa"/>
          </w:tcPr>
          <w:p w:rsidR="000915CE" w:rsidRPr="00C10014" w:rsidRDefault="000915CE" w:rsidP="0086053B">
            <w:pPr>
              <w:spacing w:before="40" w:after="40"/>
              <w:ind w:left="142"/>
              <w:jc w:val="center"/>
              <w:rPr>
                <w:sz w:val="26"/>
                <w:szCs w:val="26"/>
              </w:rPr>
            </w:pPr>
          </w:p>
        </w:tc>
        <w:tc>
          <w:tcPr>
            <w:tcW w:w="907" w:type="dxa"/>
            <w:vAlign w:val="center"/>
          </w:tcPr>
          <w:p w:rsidR="000915CE" w:rsidRPr="00C10014" w:rsidRDefault="000915CE" w:rsidP="0086053B">
            <w:pPr>
              <w:spacing w:before="40" w:after="40"/>
              <w:jc w:val="center"/>
              <w:rPr>
                <w:b/>
                <w:sz w:val="26"/>
                <w:szCs w:val="26"/>
              </w:rPr>
            </w:pPr>
          </w:p>
        </w:tc>
        <w:tc>
          <w:tcPr>
            <w:tcW w:w="1276" w:type="dxa"/>
          </w:tcPr>
          <w:p w:rsidR="000915CE" w:rsidRPr="00C10014" w:rsidRDefault="000915CE" w:rsidP="0086053B">
            <w:pPr>
              <w:spacing w:before="40" w:after="40"/>
              <w:jc w:val="both"/>
              <w:rPr>
                <w:spacing w:val="2"/>
                <w:sz w:val="26"/>
                <w:szCs w:val="26"/>
              </w:rPr>
            </w:pPr>
          </w:p>
        </w:tc>
        <w:tc>
          <w:tcPr>
            <w:tcW w:w="6407" w:type="dxa"/>
            <w:vAlign w:val="center"/>
          </w:tcPr>
          <w:p w:rsidR="00D03DBF" w:rsidRPr="007B5410" w:rsidRDefault="00D03DBF" w:rsidP="007B5410">
            <w:pPr>
              <w:spacing w:before="40" w:after="40"/>
              <w:ind w:firstLine="346"/>
              <w:jc w:val="both"/>
              <w:rPr>
                <w:bCs/>
                <w:spacing w:val="2"/>
                <w:sz w:val="26"/>
                <w:szCs w:val="26"/>
              </w:rPr>
            </w:pPr>
            <w:r w:rsidRPr="007B5410">
              <w:rPr>
                <w:bCs/>
                <w:spacing w:val="2"/>
                <w:sz w:val="26"/>
                <w:szCs w:val="26"/>
              </w:rPr>
              <w:t xml:space="preserve">Quy định rõ mối quan hệ giữa “vốn đầu tư” và “vốn điều lệ” </w:t>
            </w:r>
          </w:p>
          <w:p w:rsidR="000915CE" w:rsidRPr="00C10014" w:rsidRDefault="00D03DBF" w:rsidP="007B5410">
            <w:pPr>
              <w:spacing w:before="40" w:after="40"/>
              <w:ind w:firstLine="346"/>
              <w:jc w:val="both"/>
              <w:rPr>
                <w:spacing w:val="2"/>
                <w:sz w:val="26"/>
                <w:szCs w:val="26"/>
              </w:rPr>
            </w:pPr>
            <w:r w:rsidRPr="007B5410">
              <w:rPr>
                <w:bCs/>
                <w:spacing w:val="2"/>
                <w:sz w:val="26"/>
                <w:szCs w:val="26"/>
              </w:rPr>
              <w:t>Lý do: vốn điều lệ của doanh nghiệp có phải là một bộ phận của vốn đầu tư hay không dẫn đến khó khăn cho các doanh nghiệp FDI khi chuyển vốn đầu tư từ nước ngoài vào Việt Nam để tăng vốn điều lệ. Trường hợp này, không rõ doanh nghiệp có phải đăng ký và chuyển vốn qua tài khoản vốn đầu tư trực tiếp hay không.</w:t>
            </w:r>
            <w:r>
              <w:rPr>
                <w:sz w:val="28"/>
                <w:szCs w:val="28"/>
                <w:lang w:val="pt-BR"/>
              </w:rPr>
              <w:t xml:space="preserve"> </w:t>
            </w:r>
          </w:p>
        </w:tc>
        <w:tc>
          <w:tcPr>
            <w:tcW w:w="1701" w:type="dxa"/>
          </w:tcPr>
          <w:p w:rsidR="000915CE" w:rsidRPr="00C10014" w:rsidRDefault="00FB286D" w:rsidP="00A6359A">
            <w:pPr>
              <w:jc w:val="center"/>
              <w:rPr>
                <w:sz w:val="26"/>
                <w:szCs w:val="26"/>
              </w:rPr>
            </w:pPr>
            <w:r>
              <w:rPr>
                <w:sz w:val="26"/>
                <w:szCs w:val="26"/>
              </w:rPr>
              <w:t>NHNN</w:t>
            </w:r>
          </w:p>
        </w:tc>
        <w:tc>
          <w:tcPr>
            <w:tcW w:w="3986" w:type="dxa"/>
          </w:tcPr>
          <w:p w:rsidR="000915CE" w:rsidRPr="00C10014" w:rsidRDefault="00EA31B8" w:rsidP="001D08BB">
            <w:pPr>
              <w:rPr>
                <w:sz w:val="26"/>
                <w:szCs w:val="26"/>
              </w:rPr>
            </w:pPr>
            <w:r>
              <w:rPr>
                <w:sz w:val="26"/>
                <w:szCs w:val="26"/>
              </w:rPr>
              <w:t>“Vốn đầu tư” và “vốn điều lệ” là các khái niệm nội hàm, bản chất</w:t>
            </w:r>
            <w:r w:rsidR="001D08BB">
              <w:rPr>
                <w:sz w:val="26"/>
                <w:szCs w:val="26"/>
              </w:rPr>
              <w:t>,</w:t>
            </w:r>
            <w:r>
              <w:rPr>
                <w:sz w:val="26"/>
                <w:szCs w:val="26"/>
              </w:rPr>
              <w:t xml:space="preserve"> mục đích khác nhau</w:t>
            </w:r>
            <w:r w:rsidR="001D08BB">
              <w:rPr>
                <w:sz w:val="26"/>
                <w:szCs w:val="26"/>
              </w:rPr>
              <w:t xml:space="preserve"> và </w:t>
            </w:r>
            <w:bookmarkStart w:id="0" w:name="_GoBack"/>
            <w:bookmarkEnd w:id="0"/>
            <w:r>
              <w:rPr>
                <w:sz w:val="26"/>
                <w:szCs w:val="26"/>
              </w:rPr>
              <w:t>đã được làm rõ tại Luật Doanh nghiệp và Luật Đầu tư</w:t>
            </w:r>
          </w:p>
        </w:tc>
      </w:tr>
      <w:tr w:rsidR="00FB286D" w:rsidRPr="00C10014" w:rsidTr="006F2D44">
        <w:trPr>
          <w:trHeight w:val="372"/>
        </w:trPr>
        <w:tc>
          <w:tcPr>
            <w:tcW w:w="619" w:type="dxa"/>
          </w:tcPr>
          <w:p w:rsidR="00FB286D" w:rsidRPr="00C10014" w:rsidRDefault="00FB286D" w:rsidP="0086053B">
            <w:pPr>
              <w:spacing w:before="40" w:after="40"/>
              <w:ind w:left="142"/>
              <w:jc w:val="center"/>
              <w:rPr>
                <w:sz w:val="26"/>
                <w:szCs w:val="26"/>
              </w:rPr>
            </w:pPr>
          </w:p>
        </w:tc>
        <w:tc>
          <w:tcPr>
            <w:tcW w:w="907" w:type="dxa"/>
            <w:vAlign w:val="center"/>
          </w:tcPr>
          <w:p w:rsidR="00FB286D" w:rsidRPr="00C10014" w:rsidRDefault="00FB286D" w:rsidP="0086053B">
            <w:pPr>
              <w:spacing w:before="40" w:after="40"/>
              <w:jc w:val="center"/>
              <w:rPr>
                <w:b/>
                <w:sz w:val="26"/>
                <w:szCs w:val="26"/>
              </w:rPr>
            </w:pPr>
          </w:p>
        </w:tc>
        <w:tc>
          <w:tcPr>
            <w:tcW w:w="1276" w:type="dxa"/>
          </w:tcPr>
          <w:p w:rsidR="00FB286D" w:rsidRDefault="00FB286D" w:rsidP="0086053B">
            <w:pPr>
              <w:spacing w:before="40" w:after="40"/>
              <w:jc w:val="both"/>
              <w:rPr>
                <w:spacing w:val="2"/>
                <w:sz w:val="26"/>
                <w:szCs w:val="26"/>
              </w:rPr>
            </w:pPr>
          </w:p>
        </w:tc>
        <w:tc>
          <w:tcPr>
            <w:tcW w:w="6407" w:type="dxa"/>
            <w:vAlign w:val="center"/>
          </w:tcPr>
          <w:p w:rsidR="00FB286D" w:rsidRPr="00EA31B8" w:rsidRDefault="00FB286D" w:rsidP="00EA31B8">
            <w:pPr>
              <w:spacing w:before="40" w:after="40"/>
              <w:ind w:firstLine="346"/>
              <w:jc w:val="both"/>
              <w:rPr>
                <w:bCs/>
                <w:spacing w:val="2"/>
                <w:sz w:val="26"/>
                <w:szCs w:val="26"/>
              </w:rPr>
            </w:pPr>
            <w:r w:rsidRPr="00EA31B8">
              <w:rPr>
                <w:bCs/>
                <w:spacing w:val="2"/>
                <w:sz w:val="26"/>
                <w:szCs w:val="26"/>
              </w:rPr>
              <w:t>Đề nghị bổ sung quy định giải thích tại Điều 3 Luật Đầu tư như sau:</w:t>
            </w:r>
          </w:p>
          <w:p w:rsidR="00FB286D" w:rsidRPr="00EA31B8" w:rsidRDefault="00FB286D" w:rsidP="00EA31B8">
            <w:pPr>
              <w:spacing w:before="40" w:after="40"/>
              <w:ind w:firstLine="346"/>
              <w:jc w:val="both"/>
              <w:rPr>
                <w:bCs/>
                <w:spacing w:val="2"/>
                <w:sz w:val="26"/>
                <w:szCs w:val="26"/>
              </w:rPr>
            </w:pPr>
            <w:r w:rsidRPr="00EA31B8">
              <w:rPr>
                <w:bCs/>
                <w:spacing w:val="2"/>
                <w:sz w:val="26"/>
                <w:szCs w:val="26"/>
              </w:rPr>
              <w:t>- Đầu tư trực tiếp nước ngoài vào Việt Nam là việc nhà đầu tư nước ngoài bỏ vốn đầu tư và tham gia quản lý hoạt động đầu tư đó tại Việt Nam, được cơ quan nhà nước có thẩm quyền cấp Giấy chứng nhận đăng ký đầu tư theo quy định tại Luật này.</w:t>
            </w:r>
          </w:p>
          <w:p w:rsidR="00FB286D" w:rsidRPr="00EA31B8" w:rsidRDefault="00FB286D" w:rsidP="00EA31B8">
            <w:pPr>
              <w:spacing w:before="40" w:after="40"/>
              <w:ind w:firstLine="346"/>
              <w:jc w:val="both"/>
              <w:rPr>
                <w:bCs/>
                <w:spacing w:val="2"/>
                <w:sz w:val="26"/>
                <w:szCs w:val="26"/>
              </w:rPr>
            </w:pPr>
            <w:r w:rsidRPr="00EA31B8">
              <w:rPr>
                <w:bCs/>
                <w:spacing w:val="2"/>
                <w:sz w:val="26"/>
                <w:szCs w:val="26"/>
              </w:rPr>
              <w:t>- Đầu tư gián tiếp nước ngoài vào Việt Nam là hoạt động đầu tư của nhà đầu tư nước ngoài tại Việt Nam không thuộc đầu tư trực tiếp nước ngoài vào Việt Nam quy định tại Luật này.</w:t>
            </w:r>
          </w:p>
          <w:p w:rsidR="00FB286D" w:rsidRPr="00EA31B8" w:rsidRDefault="00FB286D" w:rsidP="00EA31B8">
            <w:pPr>
              <w:spacing w:before="40" w:after="40"/>
              <w:ind w:firstLine="346"/>
              <w:jc w:val="both"/>
              <w:rPr>
                <w:bCs/>
                <w:spacing w:val="2"/>
                <w:sz w:val="26"/>
                <w:szCs w:val="26"/>
              </w:rPr>
            </w:pPr>
            <w:r w:rsidRPr="00EA31B8">
              <w:rPr>
                <w:bCs/>
                <w:spacing w:val="2"/>
                <w:sz w:val="26"/>
                <w:szCs w:val="26"/>
              </w:rPr>
              <w:t xml:space="preserve">Lý do: </w:t>
            </w:r>
          </w:p>
          <w:p w:rsidR="00FB286D" w:rsidRPr="00EA31B8" w:rsidRDefault="00FB286D" w:rsidP="00EA31B8">
            <w:pPr>
              <w:spacing w:before="40" w:after="40"/>
              <w:ind w:firstLine="346"/>
              <w:jc w:val="both"/>
              <w:rPr>
                <w:bCs/>
                <w:spacing w:val="2"/>
                <w:sz w:val="26"/>
                <w:szCs w:val="26"/>
              </w:rPr>
            </w:pPr>
            <w:r w:rsidRPr="00EA31B8">
              <w:rPr>
                <w:bCs/>
                <w:spacing w:val="2"/>
                <w:sz w:val="26"/>
                <w:szCs w:val="26"/>
              </w:rPr>
              <w:t>Luật đầu tư 2014 không có khái niệm “đầu tư trực tiếp nước ngoài” và “đầu tư gián tiếp nước ngoài” gây khó khăn bất cập như sau:</w:t>
            </w:r>
          </w:p>
          <w:p w:rsidR="00FB286D" w:rsidRPr="00EA31B8" w:rsidRDefault="00FB286D" w:rsidP="00EA31B8">
            <w:pPr>
              <w:spacing w:before="40" w:after="40"/>
              <w:ind w:firstLine="346"/>
              <w:jc w:val="both"/>
              <w:rPr>
                <w:bCs/>
                <w:spacing w:val="2"/>
                <w:sz w:val="26"/>
                <w:szCs w:val="26"/>
              </w:rPr>
            </w:pPr>
            <w:r w:rsidRPr="00EA31B8">
              <w:rPr>
                <w:bCs/>
                <w:spacing w:val="2"/>
                <w:sz w:val="26"/>
                <w:szCs w:val="26"/>
              </w:rPr>
              <w:t xml:space="preserve">- Không phù hợp với chuẩn mực và thông lệ quốc tế của IMF và OECD, theo các tổ chức này, các dòng vốn đầu tư nước ngoài vào, ra khỏi lãnh thổ một nước được phân chia thành 2 loại hình “đầu tư trực tiếp nước  ngoài” và “đầu tư gián tiếp nước ngoài”. </w:t>
            </w:r>
          </w:p>
          <w:p w:rsidR="00FB286D" w:rsidRPr="00EA31B8" w:rsidRDefault="00FB286D" w:rsidP="00EA31B8">
            <w:pPr>
              <w:spacing w:before="40" w:after="40"/>
              <w:ind w:firstLine="346"/>
              <w:jc w:val="both"/>
              <w:rPr>
                <w:bCs/>
                <w:spacing w:val="2"/>
                <w:sz w:val="26"/>
                <w:szCs w:val="26"/>
              </w:rPr>
            </w:pPr>
            <w:r w:rsidRPr="00EA31B8">
              <w:rPr>
                <w:bCs/>
                <w:spacing w:val="2"/>
                <w:sz w:val="26"/>
                <w:szCs w:val="26"/>
              </w:rPr>
              <w:t xml:space="preserve">- Xét về tính chất, vốn “đầu tư trực tiếp nước ngoài” là dòng vốn có tính ổn định, bền vững, còn vốn “đầu tư gián </w:t>
            </w:r>
            <w:r w:rsidRPr="00EA31B8">
              <w:rPr>
                <w:bCs/>
                <w:spacing w:val="2"/>
                <w:sz w:val="26"/>
                <w:szCs w:val="26"/>
              </w:rPr>
              <w:lastRenderedPageBreak/>
              <w:t xml:space="preserve">tiếp nước ngoài” có tính linh hoạt cao, dễ đảo chiều, tiềm ẩn nhiều rủi ro, có thể gây ảnh hưởng đến thị trường tài chính, tiền tệ và ngoại hối. Do đó, cần phân chia thành 2 loại hình đầu tư như trên là cơ sở quan trọng để đưa ra các phương pháp quản lý phù hợp với đặc tính của các dòng vốn nhằm thu hút và sử dụng hiệu quả dòng vốn FDI và giám sát chặt chẽ dòng vốn đầu tư gián tiếp. </w:t>
            </w:r>
          </w:p>
          <w:p w:rsidR="00FB286D" w:rsidRPr="00EA31B8" w:rsidRDefault="00FB286D" w:rsidP="00EA31B8">
            <w:pPr>
              <w:spacing w:before="40" w:after="40"/>
              <w:ind w:firstLine="346"/>
              <w:jc w:val="both"/>
              <w:rPr>
                <w:bCs/>
                <w:spacing w:val="2"/>
                <w:sz w:val="26"/>
                <w:szCs w:val="26"/>
              </w:rPr>
            </w:pPr>
            <w:r w:rsidRPr="00EA31B8">
              <w:rPr>
                <w:bCs/>
                <w:spacing w:val="2"/>
                <w:sz w:val="26"/>
                <w:szCs w:val="26"/>
              </w:rPr>
              <w:t xml:space="preserve">- Trong điều kiện của Việt Nam chưa thể thực hiện tự do hóa các giao dịch vốn; việc quy định, phân tách các dòng vốn đầu tư thành trực tiếp và gián tiếp là cơ sở pháp lý quan trọng để xây dựng các quy định về quản lý ngoại hối đối với từng loại hình đầu tư. </w:t>
            </w:r>
          </w:p>
          <w:p w:rsidR="00FB286D" w:rsidRDefault="00FB286D" w:rsidP="00EA31B8">
            <w:pPr>
              <w:spacing w:before="40" w:after="40"/>
              <w:ind w:firstLine="346"/>
              <w:jc w:val="both"/>
              <w:rPr>
                <w:spacing w:val="2"/>
                <w:sz w:val="26"/>
                <w:szCs w:val="26"/>
              </w:rPr>
            </w:pPr>
            <w:r w:rsidRPr="00EA31B8">
              <w:rPr>
                <w:bCs/>
                <w:spacing w:val="2"/>
                <w:sz w:val="26"/>
                <w:szCs w:val="26"/>
              </w:rPr>
              <w:t>- Ngoài ra, hiện nay, theo quy định tại Nghị định 16/2014/NĐ-CP của Chính phủ về cán cân thanh toán quốc tế của Việt Nam, các dòng vốn đầu tư cũng được phân loại thành đầu tư trực tiếp, đầu tư gián tiếp; nếu không sử dụng khái niệm và phân loại này sẽ không có cơ sở để lập Cán cân thanh toán quốc tế và Vị thế đầu tư quốc tế của Việt Nam.</w:t>
            </w:r>
          </w:p>
        </w:tc>
        <w:tc>
          <w:tcPr>
            <w:tcW w:w="1701" w:type="dxa"/>
          </w:tcPr>
          <w:p w:rsidR="00FB286D" w:rsidRDefault="00FB286D" w:rsidP="00A6359A">
            <w:pPr>
              <w:jc w:val="center"/>
              <w:rPr>
                <w:sz w:val="26"/>
                <w:szCs w:val="26"/>
              </w:rPr>
            </w:pPr>
            <w:r>
              <w:rPr>
                <w:sz w:val="26"/>
                <w:szCs w:val="26"/>
              </w:rPr>
              <w:lastRenderedPageBreak/>
              <w:t>NHNN</w:t>
            </w:r>
          </w:p>
        </w:tc>
        <w:tc>
          <w:tcPr>
            <w:tcW w:w="3986" w:type="dxa"/>
          </w:tcPr>
          <w:p w:rsidR="007E2C73" w:rsidRDefault="00C10006" w:rsidP="007E2C73">
            <w:pPr>
              <w:ind w:firstLine="317"/>
              <w:rPr>
                <w:sz w:val="26"/>
                <w:szCs w:val="26"/>
              </w:rPr>
            </w:pPr>
            <w:r w:rsidRPr="00C10006">
              <w:rPr>
                <w:sz w:val="26"/>
                <w:szCs w:val="26"/>
              </w:rPr>
              <w:t>Luật Đầu tư năm 2014 quy định khung chính sách chung về hoạt động đầu tư kinh doanh tại Việt Nam.</w:t>
            </w:r>
            <w:r>
              <w:rPr>
                <w:sz w:val="26"/>
                <w:szCs w:val="26"/>
              </w:rPr>
              <w:t xml:space="preserve"> Khái niệm </w:t>
            </w:r>
            <w:r w:rsidR="00A210B4" w:rsidRPr="00A210B4">
              <w:rPr>
                <w:sz w:val="26"/>
                <w:szCs w:val="26"/>
              </w:rPr>
              <w:t xml:space="preserve">đầu tư </w:t>
            </w:r>
            <w:r>
              <w:rPr>
                <w:sz w:val="26"/>
                <w:szCs w:val="26"/>
              </w:rPr>
              <w:t xml:space="preserve">tại Luật </w:t>
            </w:r>
            <w:r w:rsidR="00A210B4" w:rsidRPr="00A210B4">
              <w:rPr>
                <w:sz w:val="26"/>
                <w:szCs w:val="26"/>
              </w:rPr>
              <w:t>bao gồm cả đầu tư gián tiếp, đồng thời phân định rõ hoạt động đầu tư thuộc phạm vi điều chỉnh của Luật này và hoạt động đầu tư chứng khoán theo Luật chứng khoán.</w:t>
            </w:r>
          </w:p>
          <w:p w:rsidR="007E2C73" w:rsidRDefault="00C83DCD" w:rsidP="007E2C73">
            <w:pPr>
              <w:ind w:firstLine="317"/>
              <w:rPr>
                <w:sz w:val="26"/>
                <w:szCs w:val="26"/>
              </w:rPr>
            </w:pPr>
            <w:r w:rsidRPr="00C83DCD">
              <w:rPr>
                <w:sz w:val="26"/>
                <w:szCs w:val="26"/>
              </w:rPr>
              <w:t>Với việc phân định rõ phạm vi điều chỉnh nêu trên, Luật này không nhất thiết phải quy định rõ khái niệm đầu tư trực tiếp và đầu tư gián tiếp.</w:t>
            </w:r>
          </w:p>
          <w:p w:rsidR="00FB286D" w:rsidRDefault="00C83DCD" w:rsidP="007E2C73">
            <w:pPr>
              <w:ind w:firstLine="317"/>
              <w:rPr>
                <w:spacing w:val="2"/>
                <w:sz w:val="26"/>
                <w:szCs w:val="26"/>
              </w:rPr>
            </w:pPr>
            <w:r w:rsidRPr="00C83DCD">
              <w:rPr>
                <w:sz w:val="26"/>
                <w:szCs w:val="26"/>
              </w:rPr>
              <w:t xml:space="preserve">Hiện nay, khái niệm đầu tư trực tiếp và đầu tư gián tiếp đã được quy định trong Pháp lệnh ngoại hối trên cơ sở kế thừa quy định tương ứng của Luật Đầu tư. Do vậy, quy định của Pháp lệnh ngoại hối về vấn đề này đã hoàn toàn đáp ứng yêu cầu quản lý của Ngân hàng nhà nước Việt Nam mà không nhất thiết phải </w:t>
            </w:r>
            <w:r w:rsidRPr="00C83DCD">
              <w:rPr>
                <w:sz w:val="26"/>
                <w:szCs w:val="26"/>
              </w:rPr>
              <w:lastRenderedPageBreak/>
              <w:t>tiếp tục duy trì các khái niệm này trong Luật Đầu tư để tránh chồng chéo.</w:t>
            </w:r>
            <w:r>
              <w:rPr>
                <w:sz w:val="28"/>
              </w:rPr>
              <w:t xml:space="preserve"> </w:t>
            </w:r>
          </w:p>
        </w:tc>
      </w:tr>
      <w:tr w:rsidR="00FB286D" w:rsidRPr="00C10014" w:rsidTr="006F2D44">
        <w:trPr>
          <w:trHeight w:val="372"/>
        </w:trPr>
        <w:tc>
          <w:tcPr>
            <w:tcW w:w="619" w:type="dxa"/>
          </w:tcPr>
          <w:p w:rsidR="00FB286D" w:rsidRPr="00C10014" w:rsidRDefault="00FB286D" w:rsidP="0086053B">
            <w:pPr>
              <w:spacing w:before="40" w:after="40"/>
              <w:ind w:left="142"/>
              <w:jc w:val="center"/>
              <w:rPr>
                <w:sz w:val="26"/>
                <w:szCs w:val="26"/>
              </w:rPr>
            </w:pPr>
          </w:p>
        </w:tc>
        <w:tc>
          <w:tcPr>
            <w:tcW w:w="907" w:type="dxa"/>
            <w:vAlign w:val="center"/>
          </w:tcPr>
          <w:p w:rsidR="00FB286D" w:rsidRPr="00C10014" w:rsidRDefault="00FB286D" w:rsidP="0086053B">
            <w:pPr>
              <w:spacing w:before="40" w:after="40"/>
              <w:jc w:val="center"/>
              <w:rPr>
                <w:b/>
                <w:sz w:val="26"/>
                <w:szCs w:val="26"/>
              </w:rPr>
            </w:pPr>
          </w:p>
        </w:tc>
        <w:tc>
          <w:tcPr>
            <w:tcW w:w="1276" w:type="dxa"/>
          </w:tcPr>
          <w:p w:rsidR="00FB286D" w:rsidRDefault="00FB286D" w:rsidP="0086053B">
            <w:pPr>
              <w:spacing w:before="40" w:after="40"/>
              <w:jc w:val="both"/>
              <w:rPr>
                <w:spacing w:val="2"/>
                <w:sz w:val="26"/>
                <w:szCs w:val="26"/>
              </w:rPr>
            </w:pPr>
            <w:r>
              <w:rPr>
                <w:spacing w:val="2"/>
                <w:sz w:val="26"/>
                <w:szCs w:val="26"/>
              </w:rPr>
              <w:t>Điều 4</w:t>
            </w:r>
          </w:p>
        </w:tc>
        <w:tc>
          <w:tcPr>
            <w:tcW w:w="6407" w:type="dxa"/>
            <w:vAlign w:val="center"/>
          </w:tcPr>
          <w:p w:rsidR="00FB286D" w:rsidRDefault="00FB286D" w:rsidP="000C4DFB">
            <w:pPr>
              <w:spacing w:before="40" w:after="40"/>
              <w:ind w:firstLine="346"/>
              <w:jc w:val="both"/>
              <w:rPr>
                <w:spacing w:val="2"/>
                <w:sz w:val="26"/>
                <w:szCs w:val="26"/>
              </w:rPr>
            </w:pPr>
            <w:r w:rsidRPr="007E2C73">
              <w:rPr>
                <w:bCs/>
                <w:spacing w:val="2"/>
                <w:sz w:val="26"/>
                <w:szCs w:val="26"/>
              </w:rPr>
              <w:t>Đề nghị bổ sung nguyên tắc quản lý ngoại hối trong hoạt động đầu tư: Đầu tư của nhà đầu tư nước ngoài trên lãnh thổ Việt Nam và của nhà đầu tư Việt Nam ra nước ngoài phải tuân thủ quy định của pháp luật về quản lý ngoại hối để phù hợp với Pháp lệnh Ngoại hối sửa đổi năm 2013</w:t>
            </w:r>
          </w:p>
        </w:tc>
        <w:tc>
          <w:tcPr>
            <w:tcW w:w="1701" w:type="dxa"/>
          </w:tcPr>
          <w:p w:rsidR="00FB286D" w:rsidRDefault="00FB286D" w:rsidP="00A6359A">
            <w:pPr>
              <w:jc w:val="center"/>
              <w:rPr>
                <w:sz w:val="26"/>
                <w:szCs w:val="26"/>
              </w:rPr>
            </w:pPr>
            <w:r>
              <w:rPr>
                <w:sz w:val="26"/>
                <w:szCs w:val="26"/>
              </w:rPr>
              <w:t>NHNN</w:t>
            </w:r>
          </w:p>
        </w:tc>
        <w:tc>
          <w:tcPr>
            <w:tcW w:w="3986" w:type="dxa"/>
          </w:tcPr>
          <w:p w:rsidR="00FB286D" w:rsidRDefault="00781AE6" w:rsidP="00E56A47">
            <w:pPr>
              <w:rPr>
                <w:spacing w:val="2"/>
                <w:sz w:val="26"/>
                <w:szCs w:val="26"/>
              </w:rPr>
            </w:pPr>
            <w:r>
              <w:rPr>
                <w:spacing w:val="2"/>
                <w:sz w:val="26"/>
                <w:szCs w:val="26"/>
              </w:rPr>
              <w:t>Khoản 2 Điều 4 Luật Đầu tư đã phân định rõ nguyên tắc như đề nghị của NHNN.</w:t>
            </w:r>
          </w:p>
        </w:tc>
      </w:tr>
      <w:tr w:rsidR="00FB286D" w:rsidRPr="00C10014" w:rsidTr="006F2D44">
        <w:trPr>
          <w:trHeight w:val="372"/>
        </w:trPr>
        <w:tc>
          <w:tcPr>
            <w:tcW w:w="619" w:type="dxa"/>
          </w:tcPr>
          <w:p w:rsidR="00FB286D" w:rsidRPr="00C10014" w:rsidRDefault="00FB286D" w:rsidP="0086053B">
            <w:pPr>
              <w:spacing w:before="40" w:after="40"/>
              <w:ind w:left="142"/>
              <w:jc w:val="center"/>
              <w:rPr>
                <w:sz w:val="26"/>
                <w:szCs w:val="26"/>
              </w:rPr>
            </w:pPr>
          </w:p>
        </w:tc>
        <w:tc>
          <w:tcPr>
            <w:tcW w:w="907" w:type="dxa"/>
            <w:vAlign w:val="center"/>
          </w:tcPr>
          <w:p w:rsidR="00FB286D" w:rsidRPr="00C10014" w:rsidRDefault="00FB286D" w:rsidP="0086053B">
            <w:pPr>
              <w:spacing w:before="40" w:after="40"/>
              <w:jc w:val="center"/>
              <w:rPr>
                <w:b/>
                <w:sz w:val="26"/>
                <w:szCs w:val="26"/>
              </w:rPr>
            </w:pPr>
          </w:p>
        </w:tc>
        <w:tc>
          <w:tcPr>
            <w:tcW w:w="1276" w:type="dxa"/>
          </w:tcPr>
          <w:p w:rsidR="00FB286D" w:rsidRDefault="00FB286D" w:rsidP="0086053B">
            <w:pPr>
              <w:spacing w:before="40" w:after="40"/>
              <w:jc w:val="both"/>
              <w:rPr>
                <w:spacing w:val="2"/>
                <w:sz w:val="26"/>
                <w:szCs w:val="26"/>
              </w:rPr>
            </w:pPr>
            <w:r>
              <w:rPr>
                <w:spacing w:val="2"/>
                <w:sz w:val="26"/>
                <w:szCs w:val="26"/>
              </w:rPr>
              <w:t>Điều 10</w:t>
            </w:r>
          </w:p>
        </w:tc>
        <w:tc>
          <w:tcPr>
            <w:tcW w:w="6407" w:type="dxa"/>
            <w:vAlign w:val="center"/>
          </w:tcPr>
          <w:p w:rsidR="00FB286D" w:rsidRPr="009520AB" w:rsidRDefault="00FB286D" w:rsidP="009520AB">
            <w:pPr>
              <w:spacing w:before="120" w:after="120" w:line="288" w:lineRule="auto"/>
              <w:ind w:right="-7" w:firstLine="346"/>
              <w:jc w:val="both"/>
              <w:rPr>
                <w:sz w:val="26"/>
                <w:szCs w:val="26"/>
                <w:lang w:val="pt-BR"/>
              </w:rPr>
            </w:pPr>
            <w:r w:rsidRPr="009520AB">
              <w:rPr>
                <w:spacing w:val="-2"/>
                <w:sz w:val="26"/>
                <w:szCs w:val="26"/>
                <w:lang w:val="pt-BR"/>
              </w:rPr>
              <w:t xml:space="preserve">Đề nghị chỉnh sửa khoản 2 Điều 10 Luật đầu tư theo hướng thu hẹp đối tượng, phạm vi bảo đảm nhu cầu ngoại tệ cho các dự án đầu tư theo hướng: </w:t>
            </w:r>
            <w:r w:rsidRPr="009520AB">
              <w:rPr>
                <w:sz w:val="26"/>
                <w:szCs w:val="26"/>
                <w:lang w:val="pt-BR"/>
              </w:rPr>
              <w:t>“</w:t>
            </w:r>
            <w:r w:rsidRPr="009520AB">
              <w:rPr>
                <w:i/>
                <w:sz w:val="26"/>
                <w:szCs w:val="26"/>
                <w:lang w:val="pt-BR"/>
              </w:rPr>
              <w:t xml:space="preserve">Căn cứ định hướng phát triển kinh tế - xã hội, chính sách quản lý ngoại hối và khả năng cân đối ngoại tệ trong từng thời kỳ, </w:t>
            </w:r>
            <w:r w:rsidRPr="009520AB">
              <w:rPr>
                <w:i/>
                <w:sz w:val="26"/>
                <w:szCs w:val="26"/>
              </w:rPr>
              <w:t>Thủ tướng Chính phủ quyết định</w:t>
            </w:r>
            <w:r w:rsidRPr="009520AB">
              <w:rPr>
                <w:i/>
                <w:sz w:val="26"/>
                <w:szCs w:val="26"/>
                <w:lang w:val="pt-BR"/>
              </w:rPr>
              <w:t xml:space="preserve"> việc bảo đảm nhu cầu ngoại tệ với tỷ lệ thích hợp đối với dự án đặc biệt quan trọng, thuộc thẩm quyền quyết định chủ trương đầu tư của Quốc hội</w:t>
            </w:r>
            <w:r w:rsidRPr="009520AB">
              <w:rPr>
                <w:sz w:val="26"/>
                <w:szCs w:val="26"/>
                <w:lang w:val="pt-BR"/>
              </w:rPr>
              <w:t>”.</w:t>
            </w:r>
          </w:p>
          <w:p w:rsidR="00FB286D" w:rsidRPr="009520AB" w:rsidRDefault="00FB286D" w:rsidP="009520AB">
            <w:pPr>
              <w:spacing w:before="120" w:after="120" w:line="288" w:lineRule="auto"/>
              <w:ind w:right="-7" w:firstLine="346"/>
              <w:jc w:val="both"/>
              <w:rPr>
                <w:b/>
                <w:i/>
                <w:spacing w:val="-2"/>
                <w:sz w:val="26"/>
                <w:szCs w:val="26"/>
                <w:lang w:val="pt-BR"/>
              </w:rPr>
            </w:pPr>
            <w:r w:rsidRPr="009520AB">
              <w:rPr>
                <w:spacing w:val="-2"/>
                <w:sz w:val="26"/>
                <w:szCs w:val="26"/>
                <w:lang w:val="pt-BR"/>
              </w:rPr>
              <w:lastRenderedPageBreak/>
              <w:t>Lý do:</w:t>
            </w:r>
          </w:p>
          <w:p w:rsidR="00FB286D" w:rsidRPr="009520AB" w:rsidRDefault="00FB286D" w:rsidP="009520AB">
            <w:pPr>
              <w:spacing w:before="120" w:after="120" w:line="288" w:lineRule="auto"/>
              <w:ind w:right="-7" w:firstLine="346"/>
              <w:jc w:val="both"/>
              <w:rPr>
                <w:color w:val="000000"/>
                <w:sz w:val="26"/>
                <w:szCs w:val="26"/>
                <w:lang w:val="pt-BR"/>
              </w:rPr>
            </w:pPr>
            <w:r w:rsidRPr="009520AB">
              <w:rPr>
                <w:sz w:val="26"/>
                <w:szCs w:val="26"/>
                <w:lang w:val="pt-BR"/>
              </w:rPr>
              <w:t>(i) Khoản 2 Điều 16 Luật đầu tư 2005 quy định: “</w:t>
            </w:r>
            <w:r w:rsidRPr="009520AB">
              <w:rPr>
                <w:i/>
                <w:color w:val="000000"/>
                <w:sz w:val="26"/>
                <w:szCs w:val="26"/>
                <w:lang w:val="pt-BR"/>
              </w:rPr>
              <w:t>Chính phủ bảo đảm cân đối hoặc hỗ trợ cân đối ngoại tệ đối với một số dự án quan trọng trong lĩnh vực năng lượng, kết cấu hạ tầng giao thông, xử lý chất thải</w:t>
            </w:r>
            <w:r w:rsidRPr="009520AB">
              <w:rPr>
                <w:color w:val="000000"/>
                <w:sz w:val="26"/>
                <w:szCs w:val="26"/>
                <w:lang w:val="pt-BR"/>
              </w:rPr>
              <w:t>”. Theo đó, Chính phủ bảo lãnh chuyển đổi ngoại tệ cho một số dự án quan trọng trong 3 lĩnh vực: năng lượng, kết cấu hạ tầng giao thông và xử lý chất thải. Luật đầu tư 2014 quy định mở rộng đối tượng được bảo đảm nhu cầu ngoại tệ: “</w:t>
            </w:r>
            <w:r w:rsidRPr="009520AB">
              <w:rPr>
                <w:sz w:val="26"/>
                <w:szCs w:val="26"/>
                <w:lang w:val="pt-BR"/>
              </w:rPr>
              <w:t xml:space="preserve">... Thủ tướng Chính phủ quyết định việc bảo đảm đáp ứng nhu cầu ngoại tệ </w:t>
            </w:r>
            <w:r w:rsidRPr="009520AB">
              <w:rPr>
                <w:i/>
                <w:sz w:val="26"/>
                <w:szCs w:val="26"/>
                <w:u w:val="single"/>
                <w:lang w:val="pt-BR"/>
              </w:rPr>
              <w:t>đối với dự án đầu tư thuộc thẩm quyền quyết định chủ trương đầu tư của Quốc hội, Thủ tướng Chính phủ và những dự án đầu tư phát triển kết cấu hạ tầng quan trọng khác”</w:t>
            </w:r>
            <w:r w:rsidRPr="009520AB">
              <w:rPr>
                <w:color w:val="000000"/>
                <w:sz w:val="26"/>
                <w:szCs w:val="26"/>
                <w:lang w:val="pt-BR"/>
              </w:rPr>
              <w:t xml:space="preserve">. Như vậy, Luật đầu tư 2014 ngày càng mở rộng lĩnh vực được Chính phủ bảo đảm nhu cầu ngoại tệ. </w:t>
            </w:r>
          </w:p>
          <w:p w:rsidR="00FB286D" w:rsidRPr="009520AB" w:rsidRDefault="00FB286D" w:rsidP="009520AB">
            <w:pPr>
              <w:spacing w:before="120" w:after="120" w:line="288" w:lineRule="auto"/>
              <w:ind w:right="-7" w:firstLine="346"/>
              <w:jc w:val="both"/>
              <w:rPr>
                <w:sz w:val="26"/>
                <w:szCs w:val="26"/>
                <w:lang w:val="sv-SE"/>
              </w:rPr>
            </w:pPr>
            <w:r w:rsidRPr="009520AB">
              <w:rPr>
                <w:sz w:val="26"/>
                <w:szCs w:val="26"/>
                <w:lang w:val="pt-BR"/>
              </w:rPr>
              <w:t xml:space="preserve">(ii) Thực tế triển khai, Chính phủ đã cấp bảo lãnh chuyển đổi ngoại tệ cho các dự án BOT nhiệt điện có nhà đầu tư nước ngoài tham gia làm chủ đầu tư và một số dự án đặc biệt quan trọng khác (dự án Lọc hóa dầu, dự án khai thác khí,...). Đến nay, </w:t>
            </w:r>
            <w:r w:rsidRPr="009520AB">
              <w:rPr>
                <w:bCs/>
                <w:color w:val="000000"/>
                <w:sz w:val="26"/>
                <w:szCs w:val="26"/>
                <w:lang w:val="sv-SE"/>
              </w:rPr>
              <w:t xml:space="preserve">nhu cầu chuyển đổi ngoại tệ của </w:t>
            </w:r>
            <w:r w:rsidRPr="009520AB">
              <w:rPr>
                <w:sz w:val="26"/>
                <w:szCs w:val="26"/>
                <w:lang w:val="pt-BR"/>
              </w:rPr>
              <w:t>c</w:t>
            </w:r>
            <w:r w:rsidRPr="009520AB">
              <w:rPr>
                <w:bCs/>
                <w:color w:val="000000"/>
                <w:sz w:val="26"/>
                <w:szCs w:val="26"/>
                <w:lang w:val="sv-SE"/>
              </w:rPr>
              <w:t xml:space="preserve">ác dự án đã được Chính phủ ký bảo lãnh là vào khoảng 10 tỷ USD/năm. </w:t>
            </w:r>
            <w:r w:rsidRPr="009520AB">
              <w:rPr>
                <w:color w:val="000000"/>
                <w:sz w:val="26"/>
                <w:szCs w:val="26"/>
                <w:lang w:val="sv-SE"/>
              </w:rPr>
              <w:t>N</w:t>
            </w:r>
            <w:r w:rsidRPr="009520AB">
              <w:rPr>
                <w:sz w:val="26"/>
                <w:szCs w:val="26"/>
                <w:lang w:val="sv-SE"/>
              </w:rPr>
              <w:t xml:space="preserve">ếu tính thêm các dự án BOT điện sẽ được bảo lãnh trong thời gian tới thì nhu cầu chuyển đổi ngoại tệ lên đến 13 tỷ USD/năm. </w:t>
            </w:r>
            <w:r w:rsidRPr="009520AB">
              <w:rPr>
                <w:sz w:val="26"/>
                <w:szCs w:val="26"/>
                <w:lang w:val="pt-BR"/>
              </w:rPr>
              <w:t>Bên cạnh đó</w:t>
            </w:r>
            <w:r w:rsidRPr="009520AB">
              <w:rPr>
                <w:sz w:val="26"/>
                <w:szCs w:val="26"/>
              </w:rPr>
              <w:t xml:space="preserve">, </w:t>
            </w:r>
            <w:r w:rsidRPr="009520AB">
              <w:rPr>
                <w:sz w:val="26"/>
                <w:szCs w:val="26"/>
                <w:lang w:val="sv-SE"/>
              </w:rPr>
              <w:t>Dự trữ ngoại hối nhà nước còn</w:t>
            </w:r>
            <w:r w:rsidRPr="009520AB">
              <w:rPr>
                <w:sz w:val="26"/>
                <w:szCs w:val="26"/>
              </w:rPr>
              <w:t xml:space="preserve"> được sử dụng để </w:t>
            </w:r>
            <w:r w:rsidRPr="009520AB">
              <w:rPr>
                <w:sz w:val="26"/>
                <w:szCs w:val="26"/>
                <w:lang w:val="sv-SE"/>
              </w:rPr>
              <w:t xml:space="preserve">đáp ứng cho các nhu cầu đột xuất cấp bách </w:t>
            </w:r>
            <w:r w:rsidRPr="009520AB">
              <w:rPr>
                <w:sz w:val="26"/>
                <w:szCs w:val="26"/>
              </w:rPr>
              <w:t xml:space="preserve">của Nhà nước </w:t>
            </w:r>
            <w:r w:rsidRPr="009520AB">
              <w:rPr>
                <w:sz w:val="26"/>
                <w:szCs w:val="26"/>
                <w:lang w:val="sv-SE"/>
              </w:rPr>
              <w:t>và quốc phòng an ninh theo Quyết định của Thủ tướng Chính phủ.</w:t>
            </w:r>
          </w:p>
          <w:p w:rsidR="00FB286D" w:rsidRPr="009520AB" w:rsidRDefault="00FB286D" w:rsidP="009520AB">
            <w:pPr>
              <w:spacing w:before="120" w:after="120" w:line="288" w:lineRule="auto"/>
              <w:ind w:right="-7" w:firstLine="346"/>
              <w:jc w:val="both"/>
              <w:rPr>
                <w:i/>
                <w:sz w:val="26"/>
                <w:szCs w:val="26"/>
                <w:lang w:val="sv-SE"/>
              </w:rPr>
            </w:pPr>
            <w:r w:rsidRPr="009520AB">
              <w:rPr>
                <w:sz w:val="26"/>
                <w:szCs w:val="26"/>
                <w:lang w:val="sv-SE"/>
              </w:rPr>
              <w:lastRenderedPageBreak/>
              <w:t>(iii)</w:t>
            </w:r>
            <w:r w:rsidRPr="009520AB">
              <w:rPr>
                <w:sz w:val="26"/>
                <w:szCs w:val="26"/>
              </w:rPr>
              <w:t xml:space="preserve"> </w:t>
            </w:r>
            <w:r w:rsidRPr="009520AB">
              <w:rPr>
                <w:sz w:val="26"/>
                <w:szCs w:val="26"/>
                <w:lang w:val="sv-SE"/>
              </w:rPr>
              <w:t>Hiện nay, m</w:t>
            </w:r>
            <w:r w:rsidRPr="009520AB">
              <w:rPr>
                <w:sz w:val="26"/>
                <w:szCs w:val="26"/>
                <w:lang w:val="pt-BR"/>
              </w:rPr>
              <w:t>ặc dù Dự trữ ngoại hối nhà nước trong thời gian gần đây đã được cải thiện nhưng việc tăng quy mô dự trữ ngoại hối hàng năm chưa thực sự vững chắc, còn phụ thuộc nhiều yếu tố và</w:t>
            </w:r>
            <w:r w:rsidRPr="009520AB">
              <w:rPr>
                <w:sz w:val="26"/>
                <w:szCs w:val="26"/>
              </w:rPr>
              <w:t xml:space="preserve"> </w:t>
            </w:r>
            <w:r w:rsidRPr="009520AB">
              <w:rPr>
                <w:sz w:val="26"/>
                <w:szCs w:val="26"/>
                <w:lang w:val="sv-SE"/>
              </w:rPr>
              <w:t xml:space="preserve">đến nay </w:t>
            </w:r>
            <w:r w:rsidRPr="009520AB">
              <w:rPr>
                <w:sz w:val="26"/>
                <w:szCs w:val="26"/>
              </w:rPr>
              <w:t>chưa đạt mức tối thiểu 12 tuần nhập khẩu theo thông lệ quốc tế.</w:t>
            </w:r>
            <w:r w:rsidRPr="009520AB">
              <w:rPr>
                <w:sz w:val="26"/>
                <w:szCs w:val="26"/>
                <w:lang w:val="pt-BR"/>
              </w:rPr>
              <w:t xml:space="preserve"> Nếu tiếp tục quy định đối tượng, phạm vi được xem xét bảo đảm đáp ứng nhu cầu ngoại tệ rộng như tại Luật đầu tư 2014 sẽ</w:t>
            </w:r>
            <w:r w:rsidRPr="009520AB">
              <w:rPr>
                <w:sz w:val="26"/>
                <w:szCs w:val="26"/>
                <w:lang w:val="sv-SE"/>
              </w:rPr>
              <w:t xml:space="preserve"> vượt quá khả năng của dự trữ ngoại hối nhà nước. </w:t>
            </w:r>
            <w:r w:rsidRPr="009520AB">
              <w:rPr>
                <w:sz w:val="26"/>
                <w:szCs w:val="26"/>
                <w:lang w:val="pt-BR"/>
              </w:rPr>
              <w:t xml:space="preserve">Vì vậy, tại công văn số 1272/VPCP-KTTH ngày 23/6/2016 về việc </w:t>
            </w:r>
            <w:r w:rsidRPr="009520AB">
              <w:rPr>
                <w:sz w:val="26"/>
                <w:szCs w:val="26"/>
                <w:lang w:val="sv-SE"/>
              </w:rPr>
              <w:t xml:space="preserve">rà soát các dự án thuộc đối tượng cân đối ngoại tệ, Thủ tướng Chính phủ đã có ý kiến chỉ đạo: </w:t>
            </w:r>
            <w:r w:rsidRPr="009520AB">
              <w:rPr>
                <w:i/>
                <w:sz w:val="26"/>
                <w:szCs w:val="26"/>
                <w:lang w:val="sv-SE"/>
              </w:rPr>
              <w:t xml:space="preserve">Giao Ngân hàng Nhà nước chủ trì, phối hợp với Bộ Công Thương và các cơ quan liên quan theo dõi, dự báo quy mô dự trữ ngoại hối Nhà nước trong các năm tới và khả năng cung ứng ngoại tệ của hệ thống các tổ chức tín dụng để xem xet, đề xuất với Thủ tướng Chính phủ tỷ lệ hỗ trợ chuyển đổi ngoại tệ phù hợp đối với từng trường hợp cụ thể theo đúng quy định của pháp luật, bảo đảm an toàn dự trữ ngoại hối Nhà nước. </w:t>
            </w:r>
          </w:p>
          <w:p w:rsidR="00FB286D" w:rsidRPr="00FB286D" w:rsidRDefault="00FB286D" w:rsidP="009520AB">
            <w:pPr>
              <w:spacing w:before="120" w:after="120" w:line="288" w:lineRule="auto"/>
              <w:ind w:right="-7" w:firstLine="346"/>
              <w:jc w:val="both"/>
              <w:rPr>
                <w:sz w:val="28"/>
                <w:szCs w:val="28"/>
                <w:lang w:val="pt-BR"/>
              </w:rPr>
            </w:pPr>
            <w:r w:rsidRPr="009520AB">
              <w:rPr>
                <w:sz w:val="26"/>
                <w:szCs w:val="26"/>
                <w:lang w:val="pt-BR"/>
              </w:rPr>
              <w:t xml:space="preserve">(iv) Ngoài ra, pháp luật hiện hành về quản lý ngoại hối đã quy định về cơ chế, chính sách hỗ trợ chuyển đổi ngoại tệ bình đẳng, minh bạch cho các nhà đầu tư về quyền mua ngoại tệ tại các TCTD để chuyển ra nước ngoài đối với vốn, lợi nhuận và các nguồn thu hợp pháp bằng đồng Việt Nam từ hoạt động đầu tư của nhà đầu tư nước ngoài. NHNN đã ban hành Thông tư 15/2015/TT-NHNN ngày 02/10/2015 hướng dẫn giao dịch ngoại tệ trên thị trường ngoại tệ của các TCTD được phép hoạt động ngoại hối. </w:t>
            </w:r>
            <w:r w:rsidRPr="009520AB">
              <w:rPr>
                <w:i/>
                <w:sz w:val="26"/>
                <w:szCs w:val="26"/>
                <w:lang w:val="pt-BR"/>
              </w:rPr>
              <w:t xml:space="preserve">Trong trường hợp cần thiết, khi thị trường không đáp ứng được nhu cầu ngoại tệ hợp pháp, Ngân hàng Nhà nước thực hiện can thiệp thị </w:t>
            </w:r>
            <w:r w:rsidRPr="009520AB">
              <w:rPr>
                <w:i/>
                <w:sz w:val="26"/>
                <w:szCs w:val="26"/>
                <w:lang w:val="pt-BR"/>
              </w:rPr>
              <w:lastRenderedPageBreak/>
              <w:t>trường ngoại tệ; việc bán ngoại tệ can thiệp được thực hiện thông qua các TCTD được phép hoạt động ngoại hối.</w:t>
            </w:r>
            <w:r w:rsidRPr="009520AB">
              <w:rPr>
                <w:sz w:val="26"/>
                <w:szCs w:val="26"/>
                <w:lang w:val="pt-BR"/>
              </w:rPr>
              <w:t xml:space="preserve"> Do đó, Chính phủ không nên cam kết bảo lãnh chuyển đổi ngoại tệ cho từng dự án mà để thị trường đáp ứng và NHNN sẽ chủ động can thiệp khi cần thiết (khi cung cầu ngoại tệ trên thị trường mất cân đối) theo cơ chế ngoại hối nêu trên.</w:t>
            </w:r>
          </w:p>
        </w:tc>
        <w:tc>
          <w:tcPr>
            <w:tcW w:w="1701" w:type="dxa"/>
          </w:tcPr>
          <w:p w:rsidR="00FB286D" w:rsidRDefault="00DD5A64" w:rsidP="00A6359A">
            <w:pPr>
              <w:jc w:val="center"/>
              <w:rPr>
                <w:sz w:val="26"/>
                <w:szCs w:val="26"/>
              </w:rPr>
            </w:pPr>
            <w:r>
              <w:rPr>
                <w:sz w:val="26"/>
                <w:szCs w:val="26"/>
              </w:rPr>
              <w:lastRenderedPageBreak/>
              <w:t>NHNN</w:t>
            </w:r>
          </w:p>
        </w:tc>
        <w:tc>
          <w:tcPr>
            <w:tcW w:w="3986" w:type="dxa"/>
          </w:tcPr>
          <w:p w:rsidR="00FB286D" w:rsidRDefault="0042263A" w:rsidP="00E56A47">
            <w:pPr>
              <w:rPr>
                <w:spacing w:val="2"/>
                <w:sz w:val="26"/>
                <w:szCs w:val="26"/>
                <w:lang w:val="pt-BR"/>
              </w:rPr>
            </w:pPr>
            <w:r>
              <w:rPr>
                <w:spacing w:val="2"/>
                <w:sz w:val="26"/>
                <w:szCs w:val="26"/>
                <w:lang w:val="pt-BR"/>
              </w:rPr>
              <w:t>Khoản 2 Điều 10 Luật Đầu tư quy định: “</w:t>
            </w:r>
            <w:r w:rsidRPr="0042263A">
              <w:rPr>
                <w:spacing w:val="2"/>
                <w:sz w:val="26"/>
                <w:szCs w:val="26"/>
                <w:lang w:val="pt-BR"/>
              </w:rPr>
              <w:t xml:space="preserve">Căn cứ định hướng phát triển kinh tế - xã hội, chính sách quản lý ngoại hối và khả năng cân đối ngoại tệ trong từng thời kỳ, Thủ tướng Chính phủ quyết định việc bảo đảm đáp ứng nhu cầu ngoại tệ đối với dự án đầu tư thuộc thẩm quyền quyết định chủ trương đầu tư của Quốc hội, Thủ tướng </w:t>
            </w:r>
            <w:r w:rsidRPr="0042263A">
              <w:rPr>
                <w:spacing w:val="2"/>
                <w:sz w:val="26"/>
                <w:szCs w:val="26"/>
                <w:lang w:val="pt-BR"/>
              </w:rPr>
              <w:lastRenderedPageBreak/>
              <w:t>Chính phủ và những dự án đầu tư phát triển kết cấu hạ tầng quan trọng khác</w:t>
            </w:r>
            <w:r>
              <w:rPr>
                <w:spacing w:val="2"/>
                <w:sz w:val="26"/>
                <w:szCs w:val="26"/>
                <w:lang w:val="pt-BR"/>
              </w:rPr>
              <w:t>.”</w:t>
            </w:r>
          </w:p>
          <w:p w:rsidR="0042263A" w:rsidRDefault="0042263A" w:rsidP="004153B0">
            <w:pPr>
              <w:rPr>
                <w:spacing w:val="2"/>
                <w:sz w:val="26"/>
                <w:szCs w:val="26"/>
              </w:rPr>
            </w:pPr>
            <w:r>
              <w:rPr>
                <w:spacing w:val="2"/>
                <w:sz w:val="26"/>
                <w:szCs w:val="26"/>
                <w:lang w:val="pt-BR"/>
              </w:rPr>
              <w:t xml:space="preserve">Quy định nêu trên </w:t>
            </w:r>
            <w:r w:rsidR="0078635A">
              <w:rPr>
                <w:spacing w:val="2"/>
                <w:sz w:val="26"/>
                <w:szCs w:val="26"/>
                <w:lang w:val="pt-BR"/>
              </w:rPr>
              <w:t>đã đáp ứng yêu cầu</w:t>
            </w:r>
            <w:r w:rsidR="00E84A62">
              <w:rPr>
                <w:spacing w:val="2"/>
                <w:sz w:val="26"/>
                <w:szCs w:val="26"/>
                <w:lang w:val="pt-BR"/>
              </w:rPr>
              <w:t xml:space="preserve"> của NHNN;</w:t>
            </w:r>
            <w:r w:rsidR="004153B0">
              <w:rPr>
                <w:spacing w:val="2"/>
                <w:sz w:val="26"/>
                <w:szCs w:val="26"/>
                <w:lang w:val="pt-BR"/>
              </w:rPr>
              <w:t xml:space="preserve"> theo đó, việc bảo đảm đáp ứng nhu cầu ngoại tệ chỉ áp dụng đối với một số dự án theo Quyết định của Thủ tướng Chính phủ trên cơ sở khả năng cân đối ngoại tệ và định hướng phát triển - kinh tế xã hội từng thời kỳ</w:t>
            </w:r>
            <w:r w:rsidR="00E84A62">
              <w:rPr>
                <w:spacing w:val="2"/>
                <w:sz w:val="26"/>
                <w:szCs w:val="26"/>
                <w:lang w:val="pt-BR"/>
              </w:rPr>
              <w:t xml:space="preserve">; không áp dụng đối với mọi dự án </w:t>
            </w:r>
            <w:r w:rsidR="00E84A62" w:rsidRPr="0042263A">
              <w:rPr>
                <w:spacing w:val="2"/>
                <w:sz w:val="26"/>
                <w:szCs w:val="26"/>
                <w:lang w:val="pt-BR"/>
              </w:rPr>
              <w:t>đầu tư thuộc thẩm quyền quyết định chủ trương đầu tư của Quốc hội, Thủ tướng Chính phủ và những dự án đầu tư phát triển kết cấu hạ tầng quan trọng khác</w:t>
            </w:r>
            <w:r w:rsidR="00E84A62">
              <w:rPr>
                <w:spacing w:val="2"/>
                <w:sz w:val="26"/>
                <w:szCs w:val="26"/>
                <w:lang w:val="pt-BR"/>
              </w:rPr>
              <w:t>.</w:t>
            </w:r>
          </w:p>
        </w:tc>
      </w:tr>
      <w:tr w:rsidR="000915CE" w:rsidRPr="00C10014" w:rsidTr="006F2D44">
        <w:trPr>
          <w:trHeight w:val="372"/>
        </w:trPr>
        <w:tc>
          <w:tcPr>
            <w:tcW w:w="619" w:type="dxa"/>
          </w:tcPr>
          <w:p w:rsidR="000915CE" w:rsidRPr="00C10014" w:rsidRDefault="000915CE" w:rsidP="0086053B">
            <w:pPr>
              <w:spacing w:before="40" w:after="40"/>
              <w:ind w:left="142"/>
              <w:jc w:val="center"/>
              <w:rPr>
                <w:sz w:val="26"/>
                <w:szCs w:val="26"/>
              </w:rPr>
            </w:pPr>
          </w:p>
        </w:tc>
        <w:tc>
          <w:tcPr>
            <w:tcW w:w="907" w:type="dxa"/>
            <w:vAlign w:val="center"/>
          </w:tcPr>
          <w:p w:rsidR="000915CE" w:rsidRPr="00C10014" w:rsidRDefault="000915CE" w:rsidP="0086053B">
            <w:pPr>
              <w:spacing w:before="40" w:after="40"/>
              <w:jc w:val="center"/>
              <w:rPr>
                <w:b/>
                <w:sz w:val="26"/>
                <w:szCs w:val="26"/>
              </w:rPr>
            </w:pPr>
          </w:p>
        </w:tc>
        <w:tc>
          <w:tcPr>
            <w:tcW w:w="1276" w:type="dxa"/>
          </w:tcPr>
          <w:p w:rsidR="000915CE" w:rsidRPr="00C10014" w:rsidRDefault="008814FB" w:rsidP="0086053B">
            <w:pPr>
              <w:spacing w:before="40" w:after="40"/>
              <w:jc w:val="both"/>
              <w:rPr>
                <w:spacing w:val="2"/>
                <w:sz w:val="26"/>
                <w:szCs w:val="26"/>
              </w:rPr>
            </w:pPr>
            <w:r>
              <w:rPr>
                <w:spacing w:val="2"/>
                <w:sz w:val="26"/>
                <w:szCs w:val="26"/>
              </w:rPr>
              <w:t xml:space="preserve">Khoản 1 Điều </w:t>
            </w:r>
            <w:r w:rsidR="00BC3A7E">
              <w:rPr>
                <w:spacing w:val="2"/>
                <w:sz w:val="26"/>
                <w:szCs w:val="26"/>
              </w:rPr>
              <w:t>16</w:t>
            </w:r>
          </w:p>
        </w:tc>
        <w:tc>
          <w:tcPr>
            <w:tcW w:w="6407" w:type="dxa"/>
            <w:vAlign w:val="center"/>
          </w:tcPr>
          <w:p w:rsidR="000915CE" w:rsidRDefault="00BC3A7E" w:rsidP="000C4DFB">
            <w:pPr>
              <w:spacing w:before="40" w:after="40"/>
              <w:ind w:firstLine="346"/>
              <w:jc w:val="both"/>
              <w:rPr>
                <w:spacing w:val="2"/>
                <w:sz w:val="26"/>
                <w:szCs w:val="26"/>
              </w:rPr>
            </w:pPr>
            <w:r>
              <w:rPr>
                <w:spacing w:val="2"/>
                <w:sz w:val="26"/>
                <w:szCs w:val="26"/>
              </w:rPr>
              <w:t>Bổ sung “</w:t>
            </w:r>
            <w:r w:rsidR="004260F1">
              <w:rPr>
                <w:spacing w:val="2"/>
                <w:sz w:val="26"/>
                <w:szCs w:val="26"/>
              </w:rPr>
              <w:t>Đào tạo nhân lực công nghệ cao</w:t>
            </w:r>
            <w:r>
              <w:rPr>
                <w:spacing w:val="2"/>
                <w:sz w:val="26"/>
                <w:szCs w:val="26"/>
              </w:rPr>
              <w:t>”</w:t>
            </w:r>
            <w:r w:rsidR="004260F1">
              <w:rPr>
                <w:spacing w:val="2"/>
                <w:sz w:val="26"/>
                <w:szCs w:val="26"/>
              </w:rPr>
              <w:t xml:space="preserve"> vào Danh mục ngành, nghề đặc biệt ưu đãi đầu tư</w:t>
            </w:r>
            <w:r w:rsidR="00AF6DCA">
              <w:rPr>
                <w:spacing w:val="2"/>
                <w:sz w:val="26"/>
                <w:szCs w:val="26"/>
              </w:rPr>
              <w:t>.</w:t>
            </w:r>
          </w:p>
          <w:p w:rsidR="00AF6DCA" w:rsidRPr="000C4DFB" w:rsidRDefault="00AF6DCA" w:rsidP="000C4DFB">
            <w:pPr>
              <w:spacing w:before="40" w:after="40"/>
              <w:ind w:firstLine="346"/>
              <w:jc w:val="both"/>
              <w:rPr>
                <w:i/>
                <w:spacing w:val="2"/>
                <w:sz w:val="26"/>
                <w:szCs w:val="26"/>
                <w:u w:val="single"/>
              </w:rPr>
            </w:pPr>
            <w:r w:rsidRPr="000C4DFB">
              <w:rPr>
                <w:i/>
                <w:spacing w:val="2"/>
                <w:sz w:val="26"/>
                <w:szCs w:val="26"/>
                <w:u w:val="single"/>
              </w:rPr>
              <w:t>Lý do:</w:t>
            </w:r>
          </w:p>
          <w:p w:rsidR="00AF6DCA" w:rsidRPr="00AF6DCA" w:rsidRDefault="00AF6DCA" w:rsidP="000C4DFB">
            <w:pPr>
              <w:spacing w:before="40" w:after="40"/>
              <w:ind w:firstLine="346"/>
              <w:jc w:val="both"/>
              <w:rPr>
                <w:spacing w:val="2"/>
                <w:sz w:val="26"/>
                <w:szCs w:val="26"/>
              </w:rPr>
            </w:pPr>
            <w:r w:rsidRPr="00AF6DCA">
              <w:rPr>
                <w:spacing w:val="2"/>
                <w:sz w:val="26"/>
                <w:szCs w:val="26"/>
              </w:rPr>
              <w:t xml:space="preserve">Theo quy định tại Điều 16 Luật Đầu tư (Ngành, nghề ưu đãi đầu tư và địa bàn ưu đãi đầu tư) thì “hoạt động công nghệ cao” là ngành, nghề ưu đãi đầu tư. </w:t>
            </w:r>
          </w:p>
          <w:p w:rsidR="00AF6DCA" w:rsidRPr="00AF6DCA" w:rsidRDefault="00AF6DCA" w:rsidP="000C4DFB">
            <w:pPr>
              <w:spacing w:before="40" w:after="40"/>
              <w:ind w:firstLine="346"/>
              <w:jc w:val="both"/>
              <w:rPr>
                <w:spacing w:val="2"/>
                <w:sz w:val="26"/>
                <w:szCs w:val="26"/>
              </w:rPr>
            </w:pPr>
            <w:r w:rsidRPr="00AF6DCA">
              <w:rPr>
                <w:spacing w:val="2"/>
                <w:sz w:val="26"/>
                <w:szCs w:val="26"/>
              </w:rPr>
              <w:t>Khoản 2 Điều 3 Luật Công nghệ cao “Hoạt động công nghệ cao là hoạt động nghiên cứu, phát triển, tìm kiếm, chuyển giao, ứng dụng công nghệ cao; đào tạo nhân lực công nghệ cao; ươm tạo công nghệ cao, ươm tạo doanh nghiệp công nghệ cao; sản xuất sản phẩm, cung ứng dịch vụ công nghệ cao; phát triển công nghiệp công nghệ cao”.</w:t>
            </w:r>
          </w:p>
          <w:p w:rsidR="00AF6DCA" w:rsidRPr="00C10014" w:rsidRDefault="00AF6DCA" w:rsidP="000C4DFB">
            <w:pPr>
              <w:spacing w:before="40" w:after="40"/>
              <w:ind w:firstLine="346"/>
              <w:jc w:val="both"/>
              <w:rPr>
                <w:spacing w:val="2"/>
                <w:sz w:val="26"/>
                <w:szCs w:val="26"/>
              </w:rPr>
            </w:pPr>
            <w:r w:rsidRPr="00AF6DCA">
              <w:rPr>
                <w:spacing w:val="2"/>
                <w:sz w:val="26"/>
                <w:szCs w:val="26"/>
              </w:rPr>
              <w:t>Định hướng phát triển các Khu công nghệ cao tại Việt Nam hiện nay xác định hoạt động nghiên cứu, phát triển và hoạt động đào tạo nhân lực công nghệ cao là hai hoạt động cốt lõi, góp phần tạo nên sự thành công của các Khu công nghệ cao. Do vậy, hoạt động “đào tạo nhân lực công nghệ cao” cần phải được bổ sung vào Danh mục ngành, nghề đặc biệt ưu đãi đầu tư.</w:t>
            </w:r>
          </w:p>
        </w:tc>
        <w:tc>
          <w:tcPr>
            <w:tcW w:w="1701" w:type="dxa"/>
          </w:tcPr>
          <w:p w:rsidR="000915CE" w:rsidRPr="00C10014" w:rsidRDefault="00AF6DCA" w:rsidP="00A6359A">
            <w:pPr>
              <w:jc w:val="center"/>
              <w:rPr>
                <w:sz w:val="26"/>
                <w:szCs w:val="26"/>
              </w:rPr>
            </w:pPr>
            <w:r>
              <w:rPr>
                <w:sz w:val="26"/>
                <w:szCs w:val="26"/>
              </w:rPr>
              <w:t>Bộ KH&amp;CN</w:t>
            </w:r>
          </w:p>
        </w:tc>
        <w:tc>
          <w:tcPr>
            <w:tcW w:w="3986" w:type="dxa"/>
          </w:tcPr>
          <w:p w:rsidR="000915CE" w:rsidRPr="00C10014" w:rsidRDefault="007F322F" w:rsidP="00E56A47">
            <w:pPr>
              <w:rPr>
                <w:spacing w:val="2"/>
                <w:sz w:val="26"/>
                <w:szCs w:val="26"/>
              </w:rPr>
            </w:pPr>
            <w:r>
              <w:rPr>
                <w:spacing w:val="2"/>
                <w:sz w:val="26"/>
                <w:szCs w:val="26"/>
              </w:rPr>
              <w:t>Tiếp thu theo hướng bổ sung “Đào tạo nhân lực công nghệ cao”</w:t>
            </w:r>
            <w:r w:rsidR="00142D4B">
              <w:rPr>
                <w:spacing w:val="2"/>
                <w:sz w:val="26"/>
                <w:szCs w:val="26"/>
              </w:rPr>
              <w:t xml:space="preserve"> vào Danh mục ngành, nghề đặc biệt ưu đãi đầu tư ban hành kèm theo Nghị định 118/2015/NĐ-CP.</w:t>
            </w:r>
          </w:p>
        </w:tc>
      </w:tr>
      <w:tr w:rsidR="0049174C" w:rsidRPr="00C10014" w:rsidTr="001F2881">
        <w:trPr>
          <w:trHeight w:val="372"/>
        </w:trPr>
        <w:tc>
          <w:tcPr>
            <w:tcW w:w="619" w:type="dxa"/>
          </w:tcPr>
          <w:p w:rsidR="0049174C" w:rsidRPr="00C10014" w:rsidRDefault="0049174C" w:rsidP="0086053B">
            <w:pPr>
              <w:spacing w:before="40" w:after="40"/>
              <w:ind w:left="142"/>
              <w:jc w:val="center"/>
              <w:rPr>
                <w:sz w:val="26"/>
                <w:szCs w:val="26"/>
              </w:rPr>
            </w:pPr>
          </w:p>
        </w:tc>
        <w:tc>
          <w:tcPr>
            <w:tcW w:w="907" w:type="dxa"/>
            <w:vAlign w:val="center"/>
          </w:tcPr>
          <w:p w:rsidR="0049174C" w:rsidRPr="00C10014" w:rsidRDefault="0049174C" w:rsidP="0086053B">
            <w:pPr>
              <w:spacing w:before="40" w:after="40"/>
              <w:jc w:val="center"/>
              <w:rPr>
                <w:b/>
                <w:sz w:val="26"/>
                <w:szCs w:val="26"/>
              </w:rPr>
            </w:pPr>
          </w:p>
        </w:tc>
        <w:tc>
          <w:tcPr>
            <w:tcW w:w="1276" w:type="dxa"/>
          </w:tcPr>
          <w:p w:rsidR="0049174C" w:rsidRDefault="0049174C" w:rsidP="0086053B">
            <w:pPr>
              <w:spacing w:before="40" w:after="40"/>
              <w:jc w:val="both"/>
              <w:rPr>
                <w:spacing w:val="2"/>
                <w:sz w:val="26"/>
                <w:szCs w:val="26"/>
              </w:rPr>
            </w:pPr>
            <w:r>
              <w:rPr>
                <w:spacing w:val="2"/>
                <w:sz w:val="26"/>
                <w:szCs w:val="26"/>
              </w:rPr>
              <w:t>Điều 22</w:t>
            </w:r>
          </w:p>
        </w:tc>
        <w:tc>
          <w:tcPr>
            <w:tcW w:w="6407" w:type="dxa"/>
          </w:tcPr>
          <w:p w:rsidR="0049174C" w:rsidRPr="00A63BE1" w:rsidRDefault="00A63BE1" w:rsidP="00A63BE1">
            <w:pPr>
              <w:spacing w:before="40" w:after="40"/>
              <w:jc w:val="both"/>
              <w:rPr>
                <w:spacing w:val="2"/>
                <w:sz w:val="26"/>
                <w:szCs w:val="26"/>
              </w:rPr>
            </w:pPr>
            <w:r>
              <w:rPr>
                <w:spacing w:val="2"/>
                <w:sz w:val="26"/>
                <w:szCs w:val="26"/>
              </w:rPr>
              <w:t xml:space="preserve">- </w:t>
            </w:r>
            <w:r w:rsidR="000D0EF0" w:rsidRPr="00A63BE1">
              <w:rPr>
                <w:spacing w:val="2"/>
                <w:sz w:val="26"/>
                <w:szCs w:val="26"/>
              </w:rPr>
              <w:t>B</w:t>
            </w:r>
            <w:r w:rsidR="0049174C" w:rsidRPr="00A63BE1">
              <w:rPr>
                <w:spacing w:val="2"/>
                <w:sz w:val="26"/>
                <w:szCs w:val="26"/>
              </w:rPr>
              <w:t>ổ sung quy định “Nhà đầu tư trong nước thành lập tổ chức kinh tế thực hiện dự án sau khi được cấp Quyết định chủ trương đầu tư” vì khoản 1 Điều 22 Luật Đầu tư chỉ quy định việc thành lập tổ chức kinh tế thực hiện dự án đối với Nhà đầu tư nước ngoài.</w:t>
            </w:r>
          </w:p>
        </w:tc>
        <w:tc>
          <w:tcPr>
            <w:tcW w:w="1701" w:type="dxa"/>
          </w:tcPr>
          <w:p w:rsidR="0049174C" w:rsidRDefault="0049174C" w:rsidP="00A6359A">
            <w:pPr>
              <w:jc w:val="center"/>
              <w:rPr>
                <w:sz w:val="26"/>
                <w:szCs w:val="26"/>
              </w:rPr>
            </w:pPr>
            <w:r>
              <w:rPr>
                <w:sz w:val="26"/>
                <w:szCs w:val="26"/>
              </w:rPr>
              <w:t>Bộ KH&amp;CN</w:t>
            </w:r>
          </w:p>
        </w:tc>
        <w:tc>
          <w:tcPr>
            <w:tcW w:w="3986" w:type="dxa"/>
          </w:tcPr>
          <w:p w:rsidR="0049174C" w:rsidRDefault="00E35A6B" w:rsidP="001F2881">
            <w:pPr>
              <w:rPr>
                <w:sz w:val="26"/>
                <w:szCs w:val="26"/>
              </w:rPr>
            </w:pPr>
            <w:r>
              <w:rPr>
                <w:spacing w:val="2"/>
                <w:sz w:val="26"/>
                <w:szCs w:val="26"/>
              </w:rPr>
              <w:t>Không tiếp thu vì Điều 22 chỉ áp dụng đối với nhà đầu tư nước ngoài</w:t>
            </w:r>
            <w:r w:rsidR="00D35F28" w:rsidRPr="00D35F28">
              <w:rPr>
                <w:spacing w:val="2"/>
                <w:sz w:val="26"/>
                <w:szCs w:val="26"/>
              </w:rPr>
              <w:t>.</w:t>
            </w:r>
          </w:p>
        </w:tc>
      </w:tr>
      <w:tr w:rsidR="00A63BE1" w:rsidRPr="00C10014" w:rsidTr="006F2D44">
        <w:trPr>
          <w:trHeight w:val="372"/>
        </w:trPr>
        <w:tc>
          <w:tcPr>
            <w:tcW w:w="619" w:type="dxa"/>
          </w:tcPr>
          <w:p w:rsidR="00A63BE1" w:rsidRPr="00C10014" w:rsidRDefault="00A63BE1" w:rsidP="0086053B">
            <w:pPr>
              <w:spacing w:before="40" w:after="40"/>
              <w:ind w:left="142"/>
              <w:jc w:val="center"/>
              <w:rPr>
                <w:sz w:val="26"/>
                <w:szCs w:val="26"/>
              </w:rPr>
            </w:pPr>
          </w:p>
        </w:tc>
        <w:tc>
          <w:tcPr>
            <w:tcW w:w="907" w:type="dxa"/>
            <w:vAlign w:val="center"/>
          </w:tcPr>
          <w:p w:rsidR="00A63BE1" w:rsidRPr="00C10014" w:rsidRDefault="00A63BE1" w:rsidP="0086053B">
            <w:pPr>
              <w:spacing w:before="40" w:after="40"/>
              <w:jc w:val="center"/>
              <w:rPr>
                <w:b/>
                <w:sz w:val="26"/>
                <w:szCs w:val="26"/>
              </w:rPr>
            </w:pPr>
          </w:p>
        </w:tc>
        <w:tc>
          <w:tcPr>
            <w:tcW w:w="1276" w:type="dxa"/>
          </w:tcPr>
          <w:p w:rsidR="00A63BE1" w:rsidRDefault="00A63BE1" w:rsidP="0086053B">
            <w:pPr>
              <w:spacing w:before="40" w:after="40"/>
              <w:jc w:val="both"/>
              <w:rPr>
                <w:spacing w:val="2"/>
                <w:sz w:val="26"/>
                <w:szCs w:val="26"/>
              </w:rPr>
            </w:pPr>
          </w:p>
        </w:tc>
        <w:tc>
          <w:tcPr>
            <w:tcW w:w="6407" w:type="dxa"/>
            <w:vAlign w:val="center"/>
          </w:tcPr>
          <w:p w:rsidR="00A63BE1" w:rsidRDefault="00A63BE1" w:rsidP="00A63BE1">
            <w:pPr>
              <w:spacing w:before="40" w:after="40"/>
              <w:jc w:val="both"/>
              <w:rPr>
                <w:spacing w:val="2"/>
                <w:sz w:val="26"/>
                <w:szCs w:val="26"/>
              </w:rPr>
            </w:pPr>
            <w:r w:rsidRPr="00A63BE1">
              <w:rPr>
                <w:spacing w:val="2"/>
                <w:sz w:val="26"/>
                <w:szCs w:val="26"/>
              </w:rPr>
              <w:t xml:space="preserve">- Sửa đổi Điều 22 theo hướng quy định thống nhất giữa Luật Đầu tư và Luật Doanh nghiệp về quy trình thủ tục </w:t>
            </w:r>
            <w:r w:rsidRPr="00A63BE1">
              <w:rPr>
                <w:spacing w:val="2"/>
                <w:sz w:val="26"/>
                <w:szCs w:val="26"/>
              </w:rPr>
              <w:lastRenderedPageBreak/>
              <w:t>đăng ký/đăng ký điều chỉnh Giấy chứng nhận đăng ký doanh nghiệp và Giấy chứng nhận đăng ký đầu tư; quy định về khái niệm, thời hạn góp vốn, trình tự thủ tục tăng giảm vốn đầu tư và vốn điều lệ,… nhằm tháo gỡ vướng mắc cho nhà đầu tư nước ngoài trong trường hợp chuyển vốn từ nước ngoài vào Việt Nam vừa là vốn góp điều lệ để thành lập doanh nghiệp, vừa là vốn góp đầu tư để thực hiện dự án</w:t>
            </w:r>
          </w:p>
        </w:tc>
        <w:tc>
          <w:tcPr>
            <w:tcW w:w="1701" w:type="dxa"/>
          </w:tcPr>
          <w:p w:rsidR="00A63BE1" w:rsidRDefault="00A63BE1" w:rsidP="00A6359A">
            <w:pPr>
              <w:jc w:val="center"/>
              <w:rPr>
                <w:sz w:val="26"/>
                <w:szCs w:val="26"/>
              </w:rPr>
            </w:pPr>
            <w:r>
              <w:rPr>
                <w:sz w:val="26"/>
                <w:szCs w:val="26"/>
              </w:rPr>
              <w:lastRenderedPageBreak/>
              <w:t>NHNN</w:t>
            </w:r>
          </w:p>
        </w:tc>
        <w:tc>
          <w:tcPr>
            <w:tcW w:w="3986" w:type="dxa"/>
          </w:tcPr>
          <w:p w:rsidR="00A63BE1" w:rsidRDefault="00E35A6B" w:rsidP="0000102B">
            <w:pPr>
              <w:rPr>
                <w:sz w:val="26"/>
                <w:szCs w:val="26"/>
              </w:rPr>
            </w:pPr>
            <w:r>
              <w:rPr>
                <w:sz w:val="26"/>
                <w:szCs w:val="26"/>
              </w:rPr>
              <w:t xml:space="preserve">Nghiên cứu tiếp thu trong quá trình sửa đổi các Nghị định quy định chi </w:t>
            </w:r>
            <w:r>
              <w:rPr>
                <w:sz w:val="26"/>
                <w:szCs w:val="26"/>
              </w:rPr>
              <w:lastRenderedPageBreak/>
              <w:t>tiết và hướng dẫn thi hành Luật Đầu tư, Luật Doanh nghiệp</w:t>
            </w:r>
          </w:p>
        </w:tc>
      </w:tr>
      <w:tr w:rsidR="003B1658" w:rsidRPr="00C10014" w:rsidTr="006F2D44">
        <w:trPr>
          <w:trHeight w:val="372"/>
        </w:trPr>
        <w:tc>
          <w:tcPr>
            <w:tcW w:w="619" w:type="dxa"/>
          </w:tcPr>
          <w:p w:rsidR="003B1658" w:rsidRPr="00C10014" w:rsidRDefault="003B1658" w:rsidP="0086053B">
            <w:pPr>
              <w:spacing w:before="40" w:after="40"/>
              <w:ind w:left="142"/>
              <w:jc w:val="center"/>
              <w:rPr>
                <w:sz w:val="26"/>
                <w:szCs w:val="26"/>
              </w:rPr>
            </w:pPr>
          </w:p>
        </w:tc>
        <w:tc>
          <w:tcPr>
            <w:tcW w:w="907" w:type="dxa"/>
            <w:vAlign w:val="center"/>
          </w:tcPr>
          <w:p w:rsidR="003B1658" w:rsidRPr="00C10014" w:rsidRDefault="003B1658" w:rsidP="0086053B">
            <w:pPr>
              <w:spacing w:before="40" w:after="40"/>
              <w:jc w:val="center"/>
              <w:rPr>
                <w:b/>
                <w:sz w:val="26"/>
                <w:szCs w:val="26"/>
              </w:rPr>
            </w:pPr>
          </w:p>
        </w:tc>
        <w:tc>
          <w:tcPr>
            <w:tcW w:w="1276" w:type="dxa"/>
          </w:tcPr>
          <w:p w:rsidR="003B1658" w:rsidRPr="00C10014" w:rsidRDefault="003B1658" w:rsidP="0086053B">
            <w:pPr>
              <w:spacing w:before="40" w:after="40"/>
              <w:jc w:val="both"/>
              <w:rPr>
                <w:spacing w:val="2"/>
                <w:sz w:val="26"/>
                <w:szCs w:val="26"/>
              </w:rPr>
            </w:pPr>
            <w:r>
              <w:rPr>
                <w:spacing w:val="2"/>
                <w:sz w:val="26"/>
                <w:szCs w:val="26"/>
              </w:rPr>
              <w:t>Điều 33</w:t>
            </w:r>
          </w:p>
        </w:tc>
        <w:tc>
          <w:tcPr>
            <w:tcW w:w="6407" w:type="dxa"/>
            <w:vAlign w:val="center"/>
          </w:tcPr>
          <w:p w:rsidR="003B1658" w:rsidRDefault="003B1658" w:rsidP="003B1658">
            <w:pPr>
              <w:spacing w:before="40" w:after="40"/>
              <w:ind w:firstLine="346"/>
              <w:jc w:val="both"/>
              <w:rPr>
                <w:spacing w:val="2"/>
                <w:sz w:val="26"/>
                <w:szCs w:val="26"/>
              </w:rPr>
            </w:pPr>
            <w:r>
              <w:rPr>
                <w:spacing w:val="2"/>
                <w:sz w:val="26"/>
                <w:szCs w:val="26"/>
              </w:rPr>
              <w:t xml:space="preserve">Bổ sung </w:t>
            </w:r>
            <w:r w:rsidR="00FB6843">
              <w:rPr>
                <w:spacing w:val="2"/>
                <w:sz w:val="26"/>
                <w:szCs w:val="26"/>
              </w:rPr>
              <w:t xml:space="preserve">“giải trình về sử dụng công nghệ” </w:t>
            </w:r>
            <w:r w:rsidR="009B59B5">
              <w:rPr>
                <w:spacing w:val="2"/>
                <w:sz w:val="26"/>
                <w:szCs w:val="26"/>
              </w:rPr>
              <w:t xml:space="preserve">vào thành phần hồ sơ dự </w:t>
            </w:r>
            <w:proofErr w:type="gramStart"/>
            <w:r w:rsidR="009B59B5">
              <w:rPr>
                <w:spacing w:val="2"/>
                <w:sz w:val="26"/>
                <w:szCs w:val="26"/>
              </w:rPr>
              <w:t>án</w:t>
            </w:r>
            <w:proofErr w:type="gramEnd"/>
            <w:r w:rsidR="009B59B5">
              <w:rPr>
                <w:spacing w:val="2"/>
                <w:sz w:val="26"/>
                <w:szCs w:val="26"/>
              </w:rPr>
              <w:t xml:space="preserve"> đầu tư đối với dự án đầu tư vào Khu công nghệ cao.</w:t>
            </w:r>
          </w:p>
          <w:p w:rsidR="003B1658" w:rsidRDefault="003B1658" w:rsidP="003B1658">
            <w:pPr>
              <w:spacing w:before="40" w:after="40"/>
              <w:ind w:firstLine="346"/>
              <w:jc w:val="both"/>
              <w:rPr>
                <w:i/>
                <w:spacing w:val="2"/>
                <w:sz w:val="26"/>
                <w:szCs w:val="26"/>
                <w:u w:val="single"/>
              </w:rPr>
            </w:pPr>
            <w:r>
              <w:rPr>
                <w:i/>
                <w:spacing w:val="2"/>
                <w:sz w:val="26"/>
                <w:szCs w:val="26"/>
                <w:u w:val="single"/>
              </w:rPr>
              <w:t>Lý do:</w:t>
            </w:r>
          </w:p>
          <w:p w:rsidR="00FB6843" w:rsidRDefault="00FB6843" w:rsidP="00135BF4">
            <w:pPr>
              <w:spacing w:before="40" w:after="40"/>
              <w:ind w:firstLine="346"/>
              <w:jc w:val="both"/>
              <w:rPr>
                <w:spacing w:val="2"/>
                <w:sz w:val="26"/>
                <w:szCs w:val="26"/>
              </w:rPr>
            </w:pPr>
            <w:r w:rsidRPr="00FB6843">
              <w:rPr>
                <w:spacing w:val="2"/>
                <w:sz w:val="26"/>
                <w:szCs w:val="26"/>
              </w:rPr>
              <w:t xml:space="preserve">Hiện nay, khi lập hồ sơ xin cấp Quyết định chủ trương đầu tư/Giấy chứng nhận đăng ký đầu tư, chỉ các dự án có sử dụng công nghệ thuộc Danh mục công nghệ hạn chế chuyển giao theo quy định của pháp luật về chuyển giao công nghệ mới phải giải trình về sử dụng công nghệ đối với dự án. Trong khi thực tế, các dự án đầu tư đầu tư vào Khu Công nghệ cao phải được xem xét, đánh giá về công nghệ, sản phẩm, nếu phù hợp với Danh mục công nghệ cao được ưu tiên đầu tư phát triển, Danh mục sản phẩm công nghệ cao được khuyến khích phát triển ban hành kèm theo Quyết định của Thủ tướng Chính phủ (Quyết định số 66/2014/QĐ-TTg và Quyết định số 13/2017/QĐ-TTg) mới được cấp Quyết định chủ trương đầu tư/Giấy chứng nhận đăng ký đầu tư để thực hiện dự án tại Khu. </w:t>
            </w:r>
          </w:p>
          <w:p w:rsidR="003B1658" w:rsidRPr="003B1658" w:rsidRDefault="00FB6843" w:rsidP="00135BF4">
            <w:pPr>
              <w:spacing w:before="40" w:after="40"/>
              <w:ind w:firstLine="346"/>
              <w:jc w:val="both"/>
              <w:rPr>
                <w:spacing w:val="2"/>
                <w:sz w:val="26"/>
                <w:szCs w:val="26"/>
              </w:rPr>
            </w:pPr>
            <w:r w:rsidRPr="00FB6843">
              <w:rPr>
                <w:spacing w:val="2"/>
                <w:sz w:val="26"/>
                <w:szCs w:val="26"/>
              </w:rPr>
              <w:t>Vì vậy, đề nghị sửa đổi điểm e khoản 1 Điều 33 Luật Đầu tư theo hướng cả dự án có sử dụng công nghệ thuộc Danh mục công nghệ hạn chế chuyển giao và dự án đầu tư vào Khu công nghệ cao đều phải giải trình về sử dụng công nghệ đối với dự án, tạo cơ sở pháp lý đầy đủ và chặt chẽ trong công tác thẩm định các dự án đầu tư vào Khu công nghệ cao.</w:t>
            </w:r>
          </w:p>
        </w:tc>
        <w:tc>
          <w:tcPr>
            <w:tcW w:w="1701" w:type="dxa"/>
          </w:tcPr>
          <w:p w:rsidR="003B1658" w:rsidRPr="00C10014" w:rsidRDefault="009B59B5" w:rsidP="00A6359A">
            <w:pPr>
              <w:jc w:val="center"/>
              <w:rPr>
                <w:sz w:val="26"/>
                <w:szCs w:val="26"/>
              </w:rPr>
            </w:pPr>
            <w:r>
              <w:rPr>
                <w:sz w:val="26"/>
                <w:szCs w:val="26"/>
              </w:rPr>
              <w:t>Bộ KH&amp;CN</w:t>
            </w:r>
          </w:p>
        </w:tc>
        <w:tc>
          <w:tcPr>
            <w:tcW w:w="3986" w:type="dxa"/>
          </w:tcPr>
          <w:p w:rsidR="003B1658" w:rsidRPr="00C10014" w:rsidRDefault="00A51F97" w:rsidP="0000102B">
            <w:pPr>
              <w:rPr>
                <w:sz w:val="26"/>
                <w:szCs w:val="26"/>
              </w:rPr>
            </w:pPr>
            <w:r>
              <w:rPr>
                <w:sz w:val="26"/>
                <w:szCs w:val="26"/>
              </w:rPr>
              <w:t>Tiếp thu</w:t>
            </w:r>
            <w:r w:rsidR="001C5991">
              <w:rPr>
                <w:sz w:val="26"/>
                <w:szCs w:val="26"/>
              </w:rPr>
              <w:t xml:space="preserve"> </w:t>
            </w:r>
            <w:r w:rsidR="00E84A62">
              <w:rPr>
                <w:sz w:val="26"/>
                <w:szCs w:val="26"/>
              </w:rPr>
              <w:t>ý kiến</w:t>
            </w:r>
          </w:p>
        </w:tc>
      </w:tr>
      <w:tr w:rsidR="000915CE" w:rsidRPr="00C10014" w:rsidTr="006F2D44">
        <w:trPr>
          <w:trHeight w:val="372"/>
        </w:trPr>
        <w:tc>
          <w:tcPr>
            <w:tcW w:w="619" w:type="dxa"/>
          </w:tcPr>
          <w:p w:rsidR="000915CE" w:rsidRPr="00C10014" w:rsidRDefault="000915CE" w:rsidP="0086053B">
            <w:pPr>
              <w:spacing w:before="40" w:after="40"/>
              <w:ind w:left="142"/>
              <w:jc w:val="center"/>
              <w:rPr>
                <w:sz w:val="26"/>
                <w:szCs w:val="26"/>
              </w:rPr>
            </w:pPr>
          </w:p>
        </w:tc>
        <w:tc>
          <w:tcPr>
            <w:tcW w:w="907" w:type="dxa"/>
            <w:vAlign w:val="center"/>
          </w:tcPr>
          <w:p w:rsidR="000915CE" w:rsidRPr="00C10014" w:rsidRDefault="000915CE" w:rsidP="0086053B">
            <w:pPr>
              <w:spacing w:before="40" w:after="40"/>
              <w:jc w:val="center"/>
              <w:rPr>
                <w:b/>
                <w:sz w:val="26"/>
                <w:szCs w:val="26"/>
              </w:rPr>
            </w:pPr>
          </w:p>
        </w:tc>
        <w:tc>
          <w:tcPr>
            <w:tcW w:w="1276" w:type="dxa"/>
          </w:tcPr>
          <w:p w:rsidR="000915CE" w:rsidRPr="00C10014" w:rsidRDefault="000915CE" w:rsidP="0086053B">
            <w:pPr>
              <w:spacing w:before="40" w:after="40"/>
              <w:jc w:val="both"/>
              <w:rPr>
                <w:spacing w:val="2"/>
                <w:sz w:val="26"/>
                <w:szCs w:val="26"/>
              </w:rPr>
            </w:pPr>
          </w:p>
        </w:tc>
        <w:tc>
          <w:tcPr>
            <w:tcW w:w="6407" w:type="dxa"/>
            <w:vAlign w:val="center"/>
          </w:tcPr>
          <w:p w:rsidR="003B77F0" w:rsidRDefault="003B77F0" w:rsidP="00726533">
            <w:pPr>
              <w:spacing w:before="40" w:after="40"/>
              <w:ind w:firstLine="346"/>
              <w:jc w:val="both"/>
              <w:rPr>
                <w:spacing w:val="2"/>
                <w:sz w:val="26"/>
                <w:szCs w:val="26"/>
              </w:rPr>
            </w:pPr>
            <w:r>
              <w:rPr>
                <w:spacing w:val="2"/>
                <w:sz w:val="26"/>
                <w:szCs w:val="26"/>
              </w:rPr>
              <w:t xml:space="preserve">Bổ sung quy định lấy ý kiến của cơ quan quản lý nhà nước về công nghệ đối với dự </w:t>
            </w:r>
            <w:proofErr w:type="gramStart"/>
            <w:r>
              <w:rPr>
                <w:spacing w:val="2"/>
                <w:sz w:val="26"/>
                <w:szCs w:val="26"/>
              </w:rPr>
              <w:t>án</w:t>
            </w:r>
            <w:proofErr w:type="gramEnd"/>
            <w:r>
              <w:rPr>
                <w:spacing w:val="2"/>
                <w:sz w:val="26"/>
                <w:szCs w:val="26"/>
              </w:rPr>
              <w:t xml:space="preserve"> thuộc diện quyết định chủ trương đầu tư.</w:t>
            </w:r>
          </w:p>
          <w:p w:rsidR="003B77F0" w:rsidRPr="003B77F0" w:rsidRDefault="003B77F0" w:rsidP="00726533">
            <w:pPr>
              <w:spacing w:before="40" w:after="40"/>
              <w:ind w:firstLine="346"/>
              <w:jc w:val="both"/>
              <w:rPr>
                <w:i/>
                <w:spacing w:val="2"/>
                <w:sz w:val="26"/>
                <w:szCs w:val="26"/>
                <w:u w:val="single"/>
              </w:rPr>
            </w:pPr>
            <w:r>
              <w:rPr>
                <w:i/>
                <w:spacing w:val="2"/>
                <w:sz w:val="26"/>
                <w:szCs w:val="26"/>
                <w:u w:val="single"/>
              </w:rPr>
              <w:t>Lý do:</w:t>
            </w:r>
          </w:p>
          <w:p w:rsidR="00726533" w:rsidRPr="00726533" w:rsidRDefault="00726533" w:rsidP="00726533">
            <w:pPr>
              <w:spacing w:before="40" w:after="40"/>
              <w:ind w:firstLine="346"/>
              <w:jc w:val="both"/>
              <w:rPr>
                <w:spacing w:val="2"/>
                <w:sz w:val="26"/>
                <w:szCs w:val="26"/>
              </w:rPr>
            </w:pPr>
            <w:r w:rsidRPr="00726533">
              <w:rPr>
                <w:spacing w:val="2"/>
                <w:sz w:val="26"/>
                <w:szCs w:val="26"/>
              </w:rPr>
              <w:t>Khoản 2 Điều 13 Luật Chuyển giao công nghệ năm 2017 quy định:</w:t>
            </w:r>
          </w:p>
          <w:p w:rsidR="00726533" w:rsidRPr="00726533" w:rsidRDefault="00726533" w:rsidP="00726533">
            <w:pPr>
              <w:spacing w:before="40" w:after="40"/>
              <w:ind w:firstLine="346"/>
              <w:jc w:val="both"/>
              <w:rPr>
                <w:i/>
                <w:spacing w:val="2"/>
                <w:sz w:val="26"/>
                <w:szCs w:val="26"/>
              </w:rPr>
            </w:pPr>
            <w:r w:rsidRPr="00726533">
              <w:rPr>
                <w:i/>
                <w:spacing w:val="2"/>
                <w:sz w:val="26"/>
                <w:szCs w:val="26"/>
              </w:rPr>
              <w:t>“ 2. Trong giai đoạn quyết định chủ trương đầu tư theo quy định của Luật Đầu tư, dự án đầu tư sau đây phải được cơ quan quản lý nhà nước có thẩm quyền thẩm định hoặc có ý kiến về công nghệ:</w:t>
            </w:r>
          </w:p>
          <w:p w:rsidR="00726533" w:rsidRPr="00726533" w:rsidRDefault="00726533" w:rsidP="00726533">
            <w:pPr>
              <w:spacing w:before="40" w:after="40"/>
              <w:ind w:firstLine="346"/>
              <w:jc w:val="both"/>
              <w:rPr>
                <w:i/>
                <w:spacing w:val="2"/>
                <w:sz w:val="26"/>
                <w:szCs w:val="26"/>
              </w:rPr>
            </w:pPr>
            <w:r w:rsidRPr="00726533">
              <w:rPr>
                <w:i/>
                <w:spacing w:val="2"/>
                <w:sz w:val="26"/>
                <w:szCs w:val="26"/>
              </w:rPr>
              <w:t>a) Dự án đầu tư sử dụng công nghệ hạn chế chuyển giao;</w:t>
            </w:r>
          </w:p>
          <w:p w:rsidR="00726533" w:rsidRPr="00726533" w:rsidRDefault="00726533" w:rsidP="00726533">
            <w:pPr>
              <w:spacing w:before="40" w:after="40"/>
              <w:ind w:firstLine="346"/>
              <w:jc w:val="both"/>
              <w:rPr>
                <w:spacing w:val="2"/>
                <w:sz w:val="26"/>
                <w:szCs w:val="26"/>
              </w:rPr>
            </w:pPr>
            <w:r w:rsidRPr="00726533">
              <w:rPr>
                <w:i/>
                <w:spacing w:val="2"/>
                <w:sz w:val="26"/>
                <w:szCs w:val="26"/>
              </w:rPr>
              <w:t xml:space="preserve">b) Dự </w:t>
            </w:r>
            <w:proofErr w:type="gramStart"/>
            <w:r w:rsidRPr="00726533">
              <w:rPr>
                <w:i/>
                <w:spacing w:val="2"/>
                <w:sz w:val="26"/>
                <w:szCs w:val="26"/>
              </w:rPr>
              <w:t>án</w:t>
            </w:r>
            <w:proofErr w:type="gramEnd"/>
            <w:r w:rsidRPr="00726533">
              <w:rPr>
                <w:i/>
                <w:spacing w:val="2"/>
                <w:sz w:val="26"/>
                <w:szCs w:val="26"/>
              </w:rPr>
              <w:t xml:space="preserve"> đầu tư có nguy cơ tác động xấu đến môi trường theo quy định của pháp luật về bảo vệ môi trường có sử dụng công nghệ.” </w:t>
            </w:r>
          </w:p>
          <w:p w:rsidR="00726533" w:rsidRPr="00726533" w:rsidRDefault="00726533" w:rsidP="00726533">
            <w:pPr>
              <w:spacing w:before="40" w:after="40"/>
              <w:ind w:firstLine="346"/>
              <w:jc w:val="both"/>
              <w:rPr>
                <w:spacing w:val="2"/>
                <w:sz w:val="26"/>
                <w:szCs w:val="26"/>
              </w:rPr>
            </w:pPr>
            <w:r w:rsidRPr="00726533">
              <w:rPr>
                <w:spacing w:val="2"/>
                <w:sz w:val="26"/>
                <w:szCs w:val="26"/>
              </w:rPr>
              <w:t xml:space="preserve">Đồng thời, các điều từ Điều 14 đến Điều 20 Luật Chuyển giao công nghệ năm 2017 quy định về </w:t>
            </w:r>
            <w:bookmarkStart w:id="1" w:name="dieu_16"/>
            <w:r w:rsidRPr="00726533">
              <w:rPr>
                <w:spacing w:val="2"/>
                <w:sz w:val="26"/>
                <w:szCs w:val="26"/>
              </w:rPr>
              <w:t>nội dung giải trình về sử dụng công nghệ trong hồ sơ dự án đầu tư</w:t>
            </w:r>
            <w:bookmarkEnd w:id="1"/>
            <w:r w:rsidRPr="00726533">
              <w:rPr>
                <w:spacing w:val="2"/>
                <w:sz w:val="26"/>
                <w:szCs w:val="26"/>
              </w:rPr>
              <w:t xml:space="preserve">, thẩm quyền, nội dung thẩm định hoặc có ý kiến về công nghệ, trình tự, thủ tục thẩm định hoặc có ý kiến về công nghệ dự án đầu tư. </w:t>
            </w:r>
          </w:p>
          <w:p w:rsidR="000915CE" w:rsidRPr="00C10014" w:rsidRDefault="00726533" w:rsidP="00726533">
            <w:pPr>
              <w:spacing w:before="40" w:after="40"/>
              <w:ind w:firstLine="346"/>
              <w:jc w:val="both"/>
              <w:rPr>
                <w:spacing w:val="2"/>
                <w:sz w:val="26"/>
                <w:szCs w:val="26"/>
              </w:rPr>
            </w:pPr>
            <w:r w:rsidRPr="00726533">
              <w:rPr>
                <w:spacing w:val="2"/>
                <w:sz w:val="26"/>
                <w:szCs w:val="26"/>
              </w:rPr>
              <w:t>Với mục tiêu bảo đảm tính minh bạch, khả thi và thống nhất của hệ thống pháp luật về đầu tư với các luật liên quan, đồng thời để bảo đảm kiểm soát, ngăn ngừa công nghệ lạc hậu nhập khẩu vào Việt Nam ngay từ đầu vào, đề nghị Quý Bộ</w:t>
            </w:r>
            <w:r w:rsidRPr="00726533">
              <w:rPr>
                <w:iCs/>
                <w:spacing w:val="2"/>
                <w:sz w:val="26"/>
                <w:szCs w:val="26"/>
              </w:rPr>
              <w:t xml:space="preserve"> bổ sung xây dựng nội dung quy định đối với các dự án đầu tư nêu trên phải được thẩm định hoặc lấy ý kiến về công nghệ theo quy định của Luật Chuyển giao công nghệ. </w:t>
            </w:r>
          </w:p>
        </w:tc>
        <w:tc>
          <w:tcPr>
            <w:tcW w:w="1701" w:type="dxa"/>
          </w:tcPr>
          <w:p w:rsidR="000915CE" w:rsidRPr="00C10014" w:rsidRDefault="00DB4D05" w:rsidP="00A6359A">
            <w:pPr>
              <w:jc w:val="center"/>
              <w:rPr>
                <w:sz w:val="26"/>
                <w:szCs w:val="26"/>
              </w:rPr>
            </w:pPr>
            <w:r>
              <w:rPr>
                <w:sz w:val="26"/>
                <w:szCs w:val="26"/>
              </w:rPr>
              <w:t>Bộ KH&amp;CN</w:t>
            </w:r>
          </w:p>
        </w:tc>
        <w:tc>
          <w:tcPr>
            <w:tcW w:w="3986" w:type="dxa"/>
          </w:tcPr>
          <w:p w:rsidR="000915CE" w:rsidRPr="00C10014" w:rsidRDefault="00DB4D05" w:rsidP="0000102B">
            <w:pPr>
              <w:rPr>
                <w:sz w:val="26"/>
                <w:szCs w:val="26"/>
              </w:rPr>
            </w:pPr>
            <w:r>
              <w:rPr>
                <w:sz w:val="26"/>
                <w:szCs w:val="26"/>
              </w:rPr>
              <w:t>Tiếp thu</w:t>
            </w:r>
            <w:r w:rsidR="00E35A6B">
              <w:rPr>
                <w:sz w:val="26"/>
                <w:szCs w:val="26"/>
              </w:rPr>
              <w:t xml:space="preserve"> ý kiến</w:t>
            </w:r>
          </w:p>
        </w:tc>
      </w:tr>
      <w:tr w:rsidR="000915CE" w:rsidRPr="00C10014" w:rsidTr="006F2D44">
        <w:trPr>
          <w:trHeight w:val="372"/>
        </w:trPr>
        <w:tc>
          <w:tcPr>
            <w:tcW w:w="619" w:type="dxa"/>
          </w:tcPr>
          <w:p w:rsidR="000915CE" w:rsidRPr="00C10014" w:rsidRDefault="000915CE" w:rsidP="0086053B">
            <w:pPr>
              <w:spacing w:before="40" w:after="40"/>
              <w:ind w:left="142"/>
              <w:jc w:val="center"/>
              <w:rPr>
                <w:sz w:val="26"/>
                <w:szCs w:val="26"/>
              </w:rPr>
            </w:pPr>
          </w:p>
        </w:tc>
        <w:tc>
          <w:tcPr>
            <w:tcW w:w="907" w:type="dxa"/>
            <w:vAlign w:val="center"/>
          </w:tcPr>
          <w:p w:rsidR="000915CE" w:rsidRPr="00C10014" w:rsidRDefault="000915CE" w:rsidP="0086053B">
            <w:pPr>
              <w:spacing w:before="40" w:after="40"/>
              <w:jc w:val="center"/>
              <w:rPr>
                <w:b/>
                <w:sz w:val="26"/>
                <w:szCs w:val="26"/>
              </w:rPr>
            </w:pPr>
          </w:p>
        </w:tc>
        <w:tc>
          <w:tcPr>
            <w:tcW w:w="1276" w:type="dxa"/>
          </w:tcPr>
          <w:p w:rsidR="000915CE" w:rsidRPr="00C10014" w:rsidRDefault="00D41126" w:rsidP="0086053B">
            <w:pPr>
              <w:spacing w:before="40" w:after="40"/>
              <w:jc w:val="both"/>
              <w:rPr>
                <w:spacing w:val="2"/>
                <w:sz w:val="26"/>
                <w:szCs w:val="26"/>
              </w:rPr>
            </w:pPr>
            <w:r>
              <w:rPr>
                <w:spacing w:val="2"/>
                <w:sz w:val="26"/>
                <w:szCs w:val="26"/>
              </w:rPr>
              <w:t>Điều 42</w:t>
            </w:r>
          </w:p>
        </w:tc>
        <w:tc>
          <w:tcPr>
            <w:tcW w:w="6407" w:type="dxa"/>
            <w:vAlign w:val="center"/>
          </w:tcPr>
          <w:p w:rsidR="000915CE" w:rsidRDefault="00D41126" w:rsidP="00D41126">
            <w:pPr>
              <w:spacing w:before="40" w:after="40"/>
              <w:ind w:firstLine="346"/>
              <w:jc w:val="both"/>
              <w:rPr>
                <w:spacing w:val="2"/>
                <w:sz w:val="26"/>
                <w:szCs w:val="26"/>
              </w:rPr>
            </w:pPr>
            <w:r>
              <w:rPr>
                <w:spacing w:val="2"/>
                <w:sz w:val="26"/>
                <w:szCs w:val="26"/>
              </w:rPr>
              <w:t xml:space="preserve">Bổ sung quy định về ký quỹ đối với dự </w:t>
            </w:r>
            <w:proofErr w:type="gramStart"/>
            <w:r>
              <w:rPr>
                <w:spacing w:val="2"/>
                <w:sz w:val="26"/>
                <w:szCs w:val="26"/>
              </w:rPr>
              <w:t>án</w:t>
            </w:r>
            <w:proofErr w:type="gramEnd"/>
            <w:r>
              <w:rPr>
                <w:spacing w:val="2"/>
                <w:sz w:val="26"/>
                <w:szCs w:val="26"/>
              </w:rPr>
              <w:t xml:space="preserve"> đầu tư kinh doanh sử dụng vốn </w:t>
            </w:r>
            <w:r w:rsidR="00B751A2">
              <w:rPr>
                <w:spacing w:val="2"/>
                <w:sz w:val="26"/>
                <w:szCs w:val="26"/>
              </w:rPr>
              <w:t xml:space="preserve">ngân sách </w:t>
            </w:r>
            <w:r>
              <w:rPr>
                <w:spacing w:val="2"/>
                <w:sz w:val="26"/>
                <w:szCs w:val="26"/>
              </w:rPr>
              <w:t>nhà nước.</w:t>
            </w:r>
          </w:p>
          <w:p w:rsidR="00D41126" w:rsidRDefault="00D41126" w:rsidP="00D41126">
            <w:pPr>
              <w:spacing w:before="40" w:after="40"/>
              <w:ind w:firstLine="346"/>
              <w:jc w:val="both"/>
              <w:rPr>
                <w:spacing w:val="2"/>
                <w:sz w:val="26"/>
                <w:szCs w:val="26"/>
              </w:rPr>
            </w:pPr>
            <w:r>
              <w:rPr>
                <w:i/>
                <w:spacing w:val="2"/>
                <w:sz w:val="26"/>
                <w:szCs w:val="26"/>
                <w:u w:val="single"/>
              </w:rPr>
              <w:t>Lý do:</w:t>
            </w:r>
          </w:p>
          <w:p w:rsidR="00B751A2" w:rsidRDefault="00D41126" w:rsidP="00D41126">
            <w:pPr>
              <w:spacing w:before="40" w:after="40"/>
              <w:ind w:firstLine="346"/>
              <w:jc w:val="both"/>
              <w:rPr>
                <w:spacing w:val="2"/>
                <w:sz w:val="26"/>
                <w:szCs w:val="26"/>
              </w:rPr>
            </w:pPr>
            <w:r w:rsidRPr="00D41126">
              <w:rPr>
                <w:spacing w:val="2"/>
                <w:sz w:val="26"/>
                <w:szCs w:val="26"/>
              </w:rPr>
              <w:t xml:space="preserve">Theo quy định tại Điều 42 Luật Đầu tư, Điều 58 Luật Đất đai, Điều 14 Nghị định số 43/2014/NĐ-CP ngày </w:t>
            </w:r>
            <w:r w:rsidRPr="00D41126">
              <w:rPr>
                <w:spacing w:val="2"/>
                <w:sz w:val="26"/>
                <w:szCs w:val="26"/>
              </w:rPr>
              <w:lastRenderedPageBreak/>
              <w:t xml:space="preserve">15/5/2014 của Chính phủ hướng dẫn thi hành Luật Đất đai, hiện các dự án nhằm mục đích kinh doanh có sử dụng vốn từ ngân sách nhà nước không phải ký quỹ bảo đảm thực hiện dự án. </w:t>
            </w:r>
          </w:p>
          <w:p w:rsidR="00B751A2" w:rsidRDefault="00D41126" w:rsidP="00D41126">
            <w:pPr>
              <w:spacing w:before="40" w:after="40"/>
              <w:ind w:firstLine="346"/>
              <w:jc w:val="both"/>
              <w:rPr>
                <w:spacing w:val="2"/>
                <w:sz w:val="26"/>
                <w:szCs w:val="26"/>
              </w:rPr>
            </w:pPr>
            <w:r w:rsidRPr="00D41126">
              <w:rPr>
                <w:spacing w:val="2"/>
                <w:sz w:val="26"/>
                <w:szCs w:val="26"/>
              </w:rPr>
              <w:t xml:space="preserve">Thực tế, có rất nhiều dự án có sử dụng vốn ngân sách nhưng tỷ trọng rất nhỏ so với tổng vốn đầu tư của dự án, khả năng tự quyết định tiến độ đầu tư và thực hiện đầu tư cũng linh hoạt hơn nhiều so với các dự án sử dụng 100% vốn ngân sách nên việc quy định như trên chưa thật sự hợp lý, đồng thời khó có thể đạt mục tiêu bảo đảm dự án được triển khai đúng tiến độ đối với các dự án này. </w:t>
            </w:r>
          </w:p>
          <w:p w:rsidR="00D41126" w:rsidRPr="00D41126" w:rsidRDefault="00D41126" w:rsidP="00D41126">
            <w:pPr>
              <w:spacing w:before="40" w:after="40"/>
              <w:ind w:firstLine="346"/>
              <w:jc w:val="both"/>
              <w:rPr>
                <w:spacing w:val="2"/>
                <w:sz w:val="26"/>
                <w:szCs w:val="26"/>
              </w:rPr>
            </w:pPr>
            <w:r w:rsidRPr="00D41126">
              <w:rPr>
                <w:spacing w:val="2"/>
                <w:sz w:val="26"/>
                <w:szCs w:val="26"/>
              </w:rPr>
              <w:t xml:space="preserve">Do vậy, dự thảo Luật cần sửa đổi quy định về dự </w:t>
            </w:r>
            <w:proofErr w:type="gramStart"/>
            <w:r w:rsidRPr="00D41126">
              <w:rPr>
                <w:spacing w:val="2"/>
                <w:sz w:val="26"/>
                <w:szCs w:val="26"/>
              </w:rPr>
              <w:t>án</w:t>
            </w:r>
            <w:proofErr w:type="gramEnd"/>
            <w:r w:rsidRPr="00D41126">
              <w:rPr>
                <w:spacing w:val="2"/>
                <w:sz w:val="26"/>
                <w:szCs w:val="26"/>
              </w:rPr>
              <w:t xml:space="preserve"> thuộc diện ký quỹ. Theo đó, chỉ các dự </w:t>
            </w:r>
            <w:proofErr w:type="gramStart"/>
            <w:r w:rsidRPr="00D41126">
              <w:rPr>
                <w:spacing w:val="2"/>
                <w:sz w:val="26"/>
                <w:szCs w:val="26"/>
              </w:rPr>
              <w:t>án</w:t>
            </w:r>
            <w:proofErr w:type="gramEnd"/>
            <w:r w:rsidRPr="00D41126">
              <w:rPr>
                <w:spacing w:val="2"/>
                <w:sz w:val="26"/>
                <w:szCs w:val="26"/>
              </w:rPr>
              <w:t xml:space="preserve"> sử dụng 100% vốn ngân sách mới không phải ký quỹ bảo đảm thực hiện dự án.</w:t>
            </w:r>
          </w:p>
        </w:tc>
        <w:tc>
          <w:tcPr>
            <w:tcW w:w="1701" w:type="dxa"/>
          </w:tcPr>
          <w:p w:rsidR="000915CE" w:rsidRPr="00C10014" w:rsidRDefault="00B751A2" w:rsidP="00A6359A">
            <w:pPr>
              <w:jc w:val="center"/>
              <w:rPr>
                <w:sz w:val="26"/>
                <w:szCs w:val="26"/>
              </w:rPr>
            </w:pPr>
            <w:r>
              <w:rPr>
                <w:sz w:val="26"/>
                <w:szCs w:val="26"/>
              </w:rPr>
              <w:lastRenderedPageBreak/>
              <w:t>Bộ KH&amp;CN</w:t>
            </w:r>
          </w:p>
        </w:tc>
        <w:tc>
          <w:tcPr>
            <w:tcW w:w="3986" w:type="dxa"/>
          </w:tcPr>
          <w:p w:rsidR="000915CE" w:rsidRPr="00C10014" w:rsidRDefault="00A52A63" w:rsidP="00D5034C">
            <w:pPr>
              <w:rPr>
                <w:sz w:val="26"/>
                <w:szCs w:val="26"/>
              </w:rPr>
            </w:pPr>
            <w:r>
              <w:rPr>
                <w:sz w:val="26"/>
                <w:szCs w:val="26"/>
              </w:rPr>
              <w:t>Tiếp thu theo hướng bổ sung quy định tại Nghị định 118/2016/NĐ-CP</w:t>
            </w:r>
            <w:r w:rsidR="005606A8">
              <w:rPr>
                <w:sz w:val="26"/>
                <w:szCs w:val="26"/>
              </w:rPr>
              <w:t xml:space="preserve"> quy định về việc </w:t>
            </w:r>
            <w:r w:rsidR="0074022F">
              <w:rPr>
                <w:sz w:val="26"/>
                <w:szCs w:val="26"/>
              </w:rPr>
              <w:t xml:space="preserve">loại trừ nghĩa vụ </w:t>
            </w:r>
            <w:r w:rsidR="005606A8">
              <w:rPr>
                <w:sz w:val="26"/>
                <w:szCs w:val="26"/>
              </w:rPr>
              <w:t xml:space="preserve">ký quỹ đối với dự án đầu tư kinh doanh sử dụng </w:t>
            </w:r>
            <w:r w:rsidR="0074022F">
              <w:rPr>
                <w:sz w:val="26"/>
                <w:szCs w:val="26"/>
              </w:rPr>
              <w:t xml:space="preserve">100% </w:t>
            </w:r>
            <w:r w:rsidR="005606A8">
              <w:rPr>
                <w:sz w:val="26"/>
                <w:szCs w:val="26"/>
              </w:rPr>
              <w:t>vốn ngân sách nhà nước.</w:t>
            </w:r>
          </w:p>
        </w:tc>
      </w:tr>
      <w:tr w:rsidR="000915CE" w:rsidRPr="00C10014" w:rsidTr="006F2D44">
        <w:trPr>
          <w:trHeight w:val="372"/>
        </w:trPr>
        <w:tc>
          <w:tcPr>
            <w:tcW w:w="619" w:type="dxa"/>
          </w:tcPr>
          <w:p w:rsidR="000915CE" w:rsidRPr="00C10014" w:rsidRDefault="000915CE" w:rsidP="0086053B">
            <w:pPr>
              <w:spacing w:before="40" w:after="40"/>
              <w:ind w:left="142"/>
              <w:jc w:val="center"/>
              <w:rPr>
                <w:sz w:val="26"/>
                <w:szCs w:val="26"/>
              </w:rPr>
            </w:pPr>
          </w:p>
        </w:tc>
        <w:tc>
          <w:tcPr>
            <w:tcW w:w="907" w:type="dxa"/>
            <w:vAlign w:val="center"/>
          </w:tcPr>
          <w:p w:rsidR="000915CE" w:rsidRPr="00C10014" w:rsidRDefault="000915CE" w:rsidP="0086053B">
            <w:pPr>
              <w:spacing w:before="40" w:after="40"/>
              <w:jc w:val="center"/>
              <w:rPr>
                <w:b/>
                <w:sz w:val="26"/>
                <w:szCs w:val="26"/>
              </w:rPr>
            </w:pPr>
          </w:p>
        </w:tc>
        <w:tc>
          <w:tcPr>
            <w:tcW w:w="1276" w:type="dxa"/>
          </w:tcPr>
          <w:p w:rsidR="000915CE" w:rsidRPr="00C10014" w:rsidRDefault="00FF42A8" w:rsidP="0086053B">
            <w:pPr>
              <w:spacing w:before="40" w:after="40"/>
              <w:jc w:val="both"/>
              <w:rPr>
                <w:spacing w:val="2"/>
                <w:sz w:val="26"/>
                <w:szCs w:val="26"/>
              </w:rPr>
            </w:pPr>
            <w:r>
              <w:rPr>
                <w:spacing w:val="2"/>
                <w:sz w:val="26"/>
                <w:szCs w:val="26"/>
              </w:rPr>
              <w:t>Điều 49 và 50</w:t>
            </w:r>
          </w:p>
        </w:tc>
        <w:tc>
          <w:tcPr>
            <w:tcW w:w="6407" w:type="dxa"/>
            <w:vAlign w:val="center"/>
          </w:tcPr>
          <w:p w:rsidR="000915CE" w:rsidRPr="00C10014" w:rsidRDefault="000E01C2" w:rsidP="000E01C2">
            <w:pPr>
              <w:spacing w:before="40" w:after="40"/>
              <w:ind w:firstLine="346"/>
              <w:jc w:val="both"/>
              <w:rPr>
                <w:spacing w:val="2"/>
                <w:sz w:val="26"/>
                <w:szCs w:val="26"/>
              </w:rPr>
            </w:pPr>
            <w:r w:rsidRPr="000E01C2">
              <w:rPr>
                <w:spacing w:val="2"/>
                <w:sz w:val="26"/>
                <w:szCs w:val="26"/>
              </w:rPr>
              <w:t>B</w:t>
            </w:r>
            <w:r w:rsidR="00FF42A8" w:rsidRPr="000E01C2">
              <w:rPr>
                <w:spacing w:val="2"/>
                <w:sz w:val="26"/>
                <w:szCs w:val="26"/>
              </w:rPr>
              <w:t>ổ sung quy định về việc thành lập, chấm dứt hoạt động văn phòng điều hành của nhà đầu tư trong nước trong hợp đồng hợp tác kinh doanh (BCC) đối với nhà đầu tư trong nước vì Điều 49, 50 Luật Đầu tư chỉ quy định việc thành lập, chấm dứt hoạt động văn phòng điều hành của Nhà đầu tư nước ngoài.</w:t>
            </w:r>
          </w:p>
        </w:tc>
        <w:tc>
          <w:tcPr>
            <w:tcW w:w="1701" w:type="dxa"/>
          </w:tcPr>
          <w:p w:rsidR="000915CE" w:rsidRPr="00C10014" w:rsidRDefault="00AA6CC8" w:rsidP="00A6359A">
            <w:pPr>
              <w:jc w:val="center"/>
              <w:rPr>
                <w:sz w:val="26"/>
                <w:szCs w:val="26"/>
              </w:rPr>
            </w:pPr>
            <w:r>
              <w:rPr>
                <w:sz w:val="26"/>
                <w:szCs w:val="26"/>
              </w:rPr>
              <w:t>Bộ KH&amp;CN</w:t>
            </w:r>
          </w:p>
        </w:tc>
        <w:tc>
          <w:tcPr>
            <w:tcW w:w="3986" w:type="dxa"/>
          </w:tcPr>
          <w:p w:rsidR="000915CE" w:rsidRPr="00C10014" w:rsidRDefault="00AA6CC8" w:rsidP="00155040">
            <w:pPr>
              <w:rPr>
                <w:sz w:val="26"/>
                <w:szCs w:val="26"/>
              </w:rPr>
            </w:pPr>
            <w:r>
              <w:rPr>
                <w:sz w:val="26"/>
                <w:szCs w:val="26"/>
              </w:rPr>
              <w:t xml:space="preserve">Không tiếp thu vì </w:t>
            </w:r>
            <w:r w:rsidR="002106F7">
              <w:rPr>
                <w:sz w:val="26"/>
                <w:szCs w:val="26"/>
              </w:rPr>
              <w:t xml:space="preserve">Luật Đầu tư chỉ cho phép nhà đầu tư nước ngoài lập Văn phòng điều hành. Nhà đầu tư trong nước </w:t>
            </w:r>
            <w:r w:rsidR="00155040">
              <w:rPr>
                <w:sz w:val="26"/>
                <w:szCs w:val="26"/>
              </w:rPr>
              <w:t>trực tiếp thực hiện các hoạt động liên quan đến BCC mà không thành lập Văn phòng điều hành.</w:t>
            </w:r>
          </w:p>
        </w:tc>
      </w:tr>
      <w:tr w:rsidR="00A4797E" w:rsidRPr="00C10014" w:rsidTr="00A4797E">
        <w:trPr>
          <w:trHeight w:val="372"/>
        </w:trPr>
        <w:tc>
          <w:tcPr>
            <w:tcW w:w="619" w:type="dxa"/>
          </w:tcPr>
          <w:p w:rsidR="00A4797E" w:rsidRPr="00C10014" w:rsidRDefault="00A4797E" w:rsidP="0086053B">
            <w:pPr>
              <w:spacing w:before="40" w:after="40"/>
              <w:ind w:left="142"/>
              <w:jc w:val="center"/>
              <w:rPr>
                <w:sz w:val="26"/>
                <w:szCs w:val="26"/>
              </w:rPr>
            </w:pPr>
          </w:p>
        </w:tc>
        <w:tc>
          <w:tcPr>
            <w:tcW w:w="907" w:type="dxa"/>
            <w:vAlign w:val="center"/>
          </w:tcPr>
          <w:p w:rsidR="00A4797E" w:rsidRPr="00C10014" w:rsidRDefault="00A4797E" w:rsidP="0086053B">
            <w:pPr>
              <w:spacing w:before="40" w:after="40"/>
              <w:jc w:val="center"/>
              <w:rPr>
                <w:b/>
                <w:sz w:val="26"/>
                <w:szCs w:val="26"/>
              </w:rPr>
            </w:pPr>
          </w:p>
        </w:tc>
        <w:tc>
          <w:tcPr>
            <w:tcW w:w="1276" w:type="dxa"/>
          </w:tcPr>
          <w:p w:rsidR="00A4797E" w:rsidRDefault="00A4797E" w:rsidP="0086053B">
            <w:pPr>
              <w:spacing w:before="40" w:after="40"/>
              <w:jc w:val="both"/>
              <w:rPr>
                <w:spacing w:val="2"/>
                <w:sz w:val="26"/>
                <w:szCs w:val="26"/>
              </w:rPr>
            </w:pPr>
            <w:r>
              <w:rPr>
                <w:spacing w:val="2"/>
                <w:sz w:val="26"/>
                <w:szCs w:val="26"/>
              </w:rPr>
              <w:t>Điều 58, 59, 60 và 61</w:t>
            </w:r>
          </w:p>
        </w:tc>
        <w:tc>
          <w:tcPr>
            <w:tcW w:w="6407" w:type="dxa"/>
          </w:tcPr>
          <w:p w:rsidR="00A4797E" w:rsidRDefault="008C60F7" w:rsidP="00436DB0">
            <w:pPr>
              <w:spacing w:before="40" w:after="40"/>
              <w:ind w:firstLine="346"/>
              <w:jc w:val="both"/>
              <w:rPr>
                <w:spacing w:val="2"/>
                <w:sz w:val="26"/>
                <w:szCs w:val="26"/>
              </w:rPr>
            </w:pPr>
            <w:r>
              <w:rPr>
                <w:spacing w:val="2"/>
                <w:sz w:val="26"/>
                <w:szCs w:val="26"/>
              </w:rPr>
              <w:t>Bãi bỏ thủ tục cấp Giấy chứng nhận đăng ký đầu tư ra nước ngoài để thay thế bằng cơ chế đăng ký chuyển vốn đầu tư ra nước ngoài tại cơ quan nhà nước có thẩm quyền.</w:t>
            </w:r>
          </w:p>
        </w:tc>
        <w:tc>
          <w:tcPr>
            <w:tcW w:w="1701" w:type="dxa"/>
          </w:tcPr>
          <w:p w:rsidR="00A4797E" w:rsidRDefault="008C60F7" w:rsidP="00A6359A">
            <w:pPr>
              <w:jc w:val="center"/>
              <w:rPr>
                <w:sz w:val="26"/>
                <w:szCs w:val="26"/>
              </w:rPr>
            </w:pPr>
            <w:r>
              <w:rPr>
                <w:sz w:val="26"/>
                <w:szCs w:val="26"/>
              </w:rPr>
              <w:t>Bộ Quốc phòng</w:t>
            </w:r>
          </w:p>
        </w:tc>
        <w:tc>
          <w:tcPr>
            <w:tcW w:w="3986" w:type="dxa"/>
          </w:tcPr>
          <w:p w:rsidR="00A4797E" w:rsidRDefault="00075F6C" w:rsidP="00FA33BC">
            <w:pPr>
              <w:rPr>
                <w:sz w:val="26"/>
                <w:szCs w:val="26"/>
              </w:rPr>
            </w:pPr>
            <w:r>
              <w:rPr>
                <w:sz w:val="26"/>
                <w:szCs w:val="26"/>
              </w:rPr>
              <w:t>Tiếp thu ý kiến</w:t>
            </w:r>
          </w:p>
        </w:tc>
      </w:tr>
      <w:tr w:rsidR="00A63BE1" w:rsidRPr="00C10014" w:rsidTr="006F2D44">
        <w:trPr>
          <w:trHeight w:val="372"/>
        </w:trPr>
        <w:tc>
          <w:tcPr>
            <w:tcW w:w="619" w:type="dxa"/>
          </w:tcPr>
          <w:p w:rsidR="00A63BE1" w:rsidRPr="00C10014" w:rsidRDefault="00A63BE1" w:rsidP="0086053B">
            <w:pPr>
              <w:spacing w:before="40" w:after="40"/>
              <w:ind w:left="142"/>
              <w:jc w:val="center"/>
              <w:rPr>
                <w:sz w:val="26"/>
                <w:szCs w:val="26"/>
              </w:rPr>
            </w:pPr>
          </w:p>
        </w:tc>
        <w:tc>
          <w:tcPr>
            <w:tcW w:w="907" w:type="dxa"/>
            <w:vAlign w:val="center"/>
          </w:tcPr>
          <w:p w:rsidR="00A63BE1" w:rsidRPr="00C10014" w:rsidRDefault="00A63BE1" w:rsidP="0086053B">
            <w:pPr>
              <w:spacing w:before="40" w:after="40"/>
              <w:jc w:val="center"/>
              <w:rPr>
                <w:b/>
                <w:sz w:val="26"/>
                <w:szCs w:val="26"/>
              </w:rPr>
            </w:pPr>
          </w:p>
        </w:tc>
        <w:tc>
          <w:tcPr>
            <w:tcW w:w="1276" w:type="dxa"/>
          </w:tcPr>
          <w:p w:rsidR="00A63BE1" w:rsidRDefault="00A63BE1" w:rsidP="0086053B">
            <w:pPr>
              <w:spacing w:before="40" w:after="40"/>
              <w:jc w:val="both"/>
              <w:rPr>
                <w:spacing w:val="2"/>
                <w:sz w:val="26"/>
                <w:szCs w:val="26"/>
              </w:rPr>
            </w:pPr>
          </w:p>
        </w:tc>
        <w:tc>
          <w:tcPr>
            <w:tcW w:w="6407" w:type="dxa"/>
            <w:vAlign w:val="center"/>
          </w:tcPr>
          <w:p w:rsidR="00D03DBF" w:rsidRPr="00D03DBF" w:rsidRDefault="00D03DBF" w:rsidP="00075F6C">
            <w:pPr>
              <w:spacing w:before="40" w:after="40"/>
              <w:ind w:firstLine="346"/>
              <w:jc w:val="both"/>
              <w:rPr>
                <w:spacing w:val="2"/>
                <w:sz w:val="26"/>
                <w:szCs w:val="26"/>
              </w:rPr>
            </w:pPr>
            <w:r w:rsidRPr="00D03DBF">
              <w:rPr>
                <w:spacing w:val="2"/>
                <w:sz w:val="26"/>
                <w:szCs w:val="26"/>
              </w:rPr>
              <w:t xml:space="preserve">Đề </w:t>
            </w:r>
            <w:proofErr w:type="gramStart"/>
            <w:r w:rsidRPr="00D03DBF">
              <w:rPr>
                <w:spacing w:val="2"/>
                <w:sz w:val="26"/>
                <w:szCs w:val="26"/>
              </w:rPr>
              <w:t>nghị  tiếp</w:t>
            </w:r>
            <w:proofErr w:type="gramEnd"/>
            <w:r w:rsidRPr="00D03DBF">
              <w:rPr>
                <w:spacing w:val="2"/>
                <w:sz w:val="26"/>
                <w:szCs w:val="26"/>
              </w:rPr>
              <w:t xml:space="preserve"> tục giao Bộ Kế hoạch và Đầu tư là cơ quan cấp Giấy chứng nhận đầu tư ra nước ngoài. Để quản lý hiệu quả hơn dòng vốn này, dự thảo Luật cần nghiên cứu chính sách đầu tư ra nước ngoài theo địa bàn, đối tác căn cứ trên mức độ phù hợp với các ưu tiên chính sách của Chính phủ, theo đó hỗ trợ đầu tư ra nước ngoài trong lĩnh vực trọng điểm, thế mạnh sức cạnh tranh tốt quản trị điều hành; thu hẹp các dự án đầu tư ở nước ngoài không đem lại hiệu quả kinh tế cao...</w:t>
            </w:r>
          </w:p>
          <w:p w:rsidR="00D03DBF" w:rsidRPr="00D03DBF" w:rsidRDefault="00D03DBF" w:rsidP="00075F6C">
            <w:pPr>
              <w:spacing w:before="40" w:after="40"/>
              <w:ind w:firstLine="346"/>
              <w:jc w:val="both"/>
              <w:rPr>
                <w:spacing w:val="2"/>
                <w:sz w:val="26"/>
                <w:szCs w:val="26"/>
              </w:rPr>
            </w:pPr>
            <w:r w:rsidRPr="00D03DBF">
              <w:rPr>
                <w:spacing w:val="2"/>
                <w:sz w:val="26"/>
                <w:szCs w:val="26"/>
              </w:rPr>
              <w:lastRenderedPageBreak/>
              <w:t>Việc bãi bỏ thủ tục cấp Giấy chứng nhận đăng ký đầu tư ra nước ngoài và thay bằng cơ chế đăng ký hoạt động chuyển vốn đầu tư ra nước ngoài tại Cơ quan nhà nước quản lý ngoại hối không khả thi vì các lý do sau:</w:t>
            </w:r>
          </w:p>
          <w:p w:rsidR="00D03DBF" w:rsidRPr="00D03DBF" w:rsidRDefault="00D03DBF" w:rsidP="00075F6C">
            <w:pPr>
              <w:spacing w:before="40" w:after="40"/>
              <w:ind w:firstLine="346"/>
              <w:jc w:val="both"/>
              <w:rPr>
                <w:spacing w:val="2"/>
                <w:sz w:val="26"/>
                <w:szCs w:val="26"/>
              </w:rPr>
            </w:pPr>
            <w:r w:rsidRPr="00D03DBF">
              <w:rPr>
                <w:spacing w:val="2"/>
                <w:sz w:val="26"/>
                <w:szCs w:val="26"/>
              </w:rPr>
              <w:t>(i) Quản lý đầu tư trực tiếp của Việt Nam ra nước ngoài là vấn đề lớn và quan trọng</w:t>
            </w:r>
            <w:r>
              <w:rPr>
                <w:spacing w:val="2"/>
                <w:sz w:val="26"/>
                <w:szCs w:val="26"/>
              </w:rPr>
              <w:t>,</w:t>
            </w:r>
            <w:r w:rsidRPr="00D03DBF">
              <w:rPr>
                <w:spacing w:val="2"/>
                <w:sz w:val="26"/>
                <w:szCs w:val="26"/>
              </w:rPr>
              <w:t xml:space="preserve"> cần phải được các cơ quan quản lý nhà nước quan tâm, chấn chỉnh kịp thời nhằm đảm bảo việc đầu tư trực tiếp ra nước ngoài </w:t>
            </w:r>
            <w:proofErr w:type="gramStart"/>
            <w:r w:rsidRPr="00D03DBF">
              <w:rPr>
                <w:spacing w:val="2"/>
                <w:sz w:val="26"/>
                <w:szCs w:val="26"/>
              </w:rPr>
              <w:t>phải  đúng</w:t>
            </w:r>
            <w:proofErr w:type="gramEnd"/>
            <w:r w:rsidRPr="00D03DBF">
              <w:rPr>
                <w:spacing w:val="2"/>
                <w:sz w:val="26"/>
                <w:szCs w:val="26"/>
              </w:rPr>
              <w:t xml:space="preserve"> mục đích, có hiệu quả thật sự; hạn chế thấp nhất việc lãng phí và thất thoát nguồn ngoại tệ của nền kinh tế.  </w:t>
            </w:r>
          </w:p>
          <w:p w:rsidR="00D03DBF" w:rsidRPr="00D03DBF" w:rsidRDefault="00D03DBF" w:rsidP="00075F6C">
            <w:pPr>
              <w:spacing w:before="40" w:after="40"/>
              <w:ind w:firstLine="346"/>
              <w:jc w:val="both"/>
              <w:rPr>
                <w:spacing w:val="2"/>
                <w:sz w:val="26"/>
                <w:szCs w:val="26"/>
              </w:rPr>
            </w:pPr>
            <w:r w:rsidRPr="00D03DBF">
              <w:rPr>
                <w:spacing w:val="2"/>
                <w:sz w:val="26"/>
                <w:szCs w:val="26"/>
              </w:rPr>
              <w:t xml:space="preserve">(ii) bối cảnh nền kinh tế Việt Nam còn nhiều khó khăn, tăng trưởng kinh tế chưa thực sự ổn định, dự trữ ngoại hối nhà nước còn mỏng, nợ nước ngoài của quốc gia còn chiếm tỷ trọng cao so với tổng sản phẩm quốc nội (gánh nặng nợ nước ngoài cao), nguồn ngoại tệ duy trì phát triển kinh tế trong nước còn hạn hẹp như hiện nay. </w:t>
            </w:r>
          </w:p>
          <w:p w:rsidR="00D03DBF" w:rsidRPr="00D03DBF" w:rsidRDefault="00D03DBF" w:rsidP="00075F6C">
            <w:pPr>
              <w:spacing w:before="40" w:after="40"/>
              <w:ind w:firstLine="346"/>
              <w:jc w:val="both"/>
              <w:rPr>
                <w:spacing w:val="2"/>
                <w:sz w:val="26"/>
                <w:szCs w:val="26"/>
              </w:rPr>
            </w:pPr>
            <w:r w:rsidRPr="00D03DBF">
              <w:rPr>
                <w:spacing w:val="2"/>
                <w:sz w:val="26"/>
                <w:szCs w:val="26"/>
              </w:rPr>
              <w:t>(iii) Định hướng về tự do hóa tài khoản vốn tại Chiến lược phát triển kinh tế xã hội của Việt Nam, Đề án “Định hướng lộ trình tự do hóa giao dịch vốn của Việt Nam” đã được Thủ tướng Chính phủ phê duyệt tại Quyết định số 1590/QĐ-TTg ngày 11/8/2016, các Đề án phát triển thị trường vốn, Đề án phát triển ngành ngân hàng đều cho thấy việc tự do hóa các dòng vốn cần có lộ trình phù hợp với lộ trình tự do hóa thị trường tài chính, thích hợp với điều kiện kinh tế xã hội từng thời kỳ, có biện pháp ứng phó, rào cản kỹ thuật khi dòng vốn đảo chiều và việc nới lỏng, tiến dần đến tự do hóa các luồng vốn ra là khâu cuối trong lộ trình tự do hóa tài khoản vốn. Do vậy, việc quy định cơ chế mở cửa, thông thoáng đối với đầu tư trực tiếp ra nước ngoài theo dự thảo Đề cương Luật sửa đổi chưa phù hợp với định hướng nêu trên.</w:t>
            </w:r>
          </w:p>
          <w:p w:rsidR="00D03DBF" w:rsidRPr="00D03DBF" w:rsidRDefault="00D03DBF" w:rsidP="00075F6C">
            <w:pPr>
              <w:spacing w:before="40" w:after="40"/>
              <w:ind w:firstLine="346"/>
              <w:jc w:val="both"/>
              <w:rPr>
                <w:spacing w:val="2"/>
                <w:sz w:val="26"/>
                <w:szCs w:val="26"/>
              </w:rPr>
            </w:pPr>
            <w:r w:rsidRPr="00D03DBF">
              <w:rPr>
                <w:spacing w:val="2"/>
                <w:sz w:val="26"/>
                <w:szCs w:val="26"/>
              </w:rPr>
              <w:t xml:space="preserve">(iv) Theo cam kết của Việt Nam tại GATS, một thành viên của WTO không được áp dụng những hạn chế đối với việc chuyển  tiền quốc tế và thanh toán các giao dịch vãng </w:t>
            </w:r>
            <w:r w:rsidRPr="00D03DBF">
              <w:rPr>
                <w:spacing w:val="2"/>
                <w:sz w:val="26"/>
                <w:szCs w:val="26"/>
              </w:rPr>
              <w:lastRenderedPageBreak/>
              <w:t>lai trừ trường hợp quy định tại Điều XII của GATS (một Thành viên có thể thông qua hoặc duy trì các hạn chế về thương mại dịch vụ trong  những lĩnh vực đã cam kết cụ thể, bao gồm cả việc thanh toán hoặc chuyển  tiền trong các giao dịch liên quan đến các cam kết cụ thể đó khi gặp những khó khăn về cán cân thanh toán quốc tế). Do vậy, trong điều kiện cán cân thanh toán quốc tế của Việt Nam thường xuyên thâm hụt, Việt Nam vẫn tiếp tục duy trì một số hạn chế nhất định, không nhất thiết phải tự do hóa toàn bộ các giao dịch đầu tư trực tiếp ra nước ngoài như quy định tại dự thảo Đề cương Luật sửa đổi.</w:t>
            </w:r>
          </w:p>
          <w:p w:rsidR="00D03DBF" w:rsidRPr="00D03DBF" w:rsidRDefault="00D03DBF" w:rsidP="00075F6C">
            <w:pPr>
              <w:spacing w:before="40" w:after="40"/>
              <w:ind w:firstLine="346"/>
              <w:jc w:val="both"/>
              <w:rPr>
                <w:spacing w:val="2"/>
                <w:sz w:val="26"/>
                <w:szCs w:val="26"/>
              </w:rPr>
            </w:pPr>
            <w:r w:rsidRPr="00D03DBF">
              <w:rPr>
                <w:spacing w:val="2"/>
                <w:sz w:val="26"/>
                <w:szCs w:val="26"/>
              </w:rPr>
              <w:t>(v) Theo quy định tại Luật đầu tư, Bộ Kế hoạch và Đầu tư thay mặt Chính phủ quản lý nhà nước đối với hoạt động đầu tư nước ngoài vào Việt Nam và từ Việt Nam ra nước ngoài. Do đó, khi đề xuất bãi bỏ thủ tục cấp Giấy chứng nhận đăng ký đầu tư ra nước ngoài, Bộ Kế hoạch và Đầu tư cần có giải pháp thực hiện chức năng, nhiệm vụ quản lý nhà nước của Bộ theo quy định.</w:t>
            </w:r>
          </w:p>
          <w:p w:rsidR="00D03DBF" w:rsidRPr="00D03DBF" w:rsidRDefault="00D03DBF" w:rsidP="00075F6C">
            <w:pPr>
              <w:spacing w:before="40" w:after="40"/>
              <w:ind w:firstLine="346"/>
              <w:jc w:val="both"/>
              <w:rPr>
                <w:spacing w:val="2"/>
                <w:sz w:val="26"/>
                <w:szCs w:val="26"/>
              </w:rPr>
            </w:pPr>
            <w:r w:rsidRPr="00D03DBF">
              <w:rPr>
                <w:spacing w:val="2"/>
                <w:sz w:val="26"/>
                <w:szCs w:val="26"/>
              </w:rPr>
              <w:t xml:space="preserve">(vi) Cơ quan nhà nước quản lý ngoại hối (NHNN) không có cơ sở để xác nhận đăng ký hoạt động chuyển vốn đầu tư dự </w:t>
            </w:r>
            <w:proofErr w:type="gramStart"/>
            <w:r w:rsidRPr="00D03DBF">
              <w:rPr>
                <w:spacing w:val="2"/>
                <w:sz w:val="26"/>
                <w:szCs w:val="26"/>
              </w:rPr>
              <w:t>án</w:t>
            </w:r>
            <w:proofErr w:type="gramEnd"/>
            <w:r w:rsidRPr="00D03DBF">
              <w:rPr>
                <w:spacing w:val="2"/>
                <w:sz w:val="26"/>
                <w:szCs w:val="26"/>
              </w:rPr>
              <w:t xml:space="preserve"> ở nước ngoài khi các dự án này không được các cơ quan nhà nước có thẩm quyền thẩm tra, thẩm định và cấp phép đầu tư.</w:t>
            </w:r>
          </w:p>
          <w:p w:rsidR="00D03DBF" w:rsidRPr="00D03DBF" w:rsidRDefault="00D03DBF" w:rsidP="00075F6C">
            <w:pPr>
              <w:spacing w:before="40" w:after="40"/>
              <w:ind w:firstLine="346"/>
              <w:jc w:val="both"/>
              <w:rPr>
                <w:spacing w:val="2"/>
                <w:sz w:val="26"/>
                <w:szCs w:val="26"/>
              </w:rPr>
            </w:pPr>
            <w:r w:rsidRPr="00D03DBF">
              <w:rPr>
                <w:spacing w:val="2"/>
                <w:sz w:val="26"/>
                <w:szCs w:val="26"/>
              </w:rPr>
              <w:t xml:space="preserve">(vii) Ngoài ra, việc bãi bỏ thủ tục cấp Giấy chứng nhận đăng ký đầu tư ra nước ngoài và chỉ đăng ký hoạt động chuyển vốn đầu tư ra nước ngoài tại Cơ quan nhà nước quản lý ngoại hối sẽ dẫn đến các khó khăn: </w:t>
            </w:r>
          </w:p>
          <w:p w:rsidR="00D03DBF" w:rsidRPr="00D03DBF" w:rsidRDefault="00D03DBF" w:rsidP="00075F6C">
            <w:pPr>
              <w:spacing w:before="40" w:after="40"/>
              <w:ind w:firstLine="346"/>
              <w:jc w:val="both"/>
              <w:rPr>
                <w:spacing w:val="2"/>
                <w:sz w:val="26"/>
                <w:szCs w:val="26"/>
              </w:rPr>
            </w:pPr>
            <w:r w:rsidRPr="00D03DBF">
              <w:rPr>
                <w:spacing w:val="2"/>
                <w:sz w:val="26"/>
                <w:szCs w:val="26"/>
              </w:rPr>
              <w:t>- Khó kiểm soát được tình trạng chảy máu ngoại tệ, sử dụng vốn đầu tư ở nước ngoài sai mục đích (ví dụ: dùng ngoại tệ chuyển ra để mua bất động sản, đầu tư để định cư ở nước ngoài</w:t>
            </w:r>
            <w:proofErr w:type="gramStart"/>
            <w:r w:rsidRPr="00D03DBF">
              <w:rPr>
                <w:spacing w:val="2"/>
                <w:sz w:val="26"/>
                <w:szCs w:val="26"/>
              </w:rPr>
              <w:t>,…</w:t>
            </w:r>
            <w:proofErr w:type="gramEnd"/>
            <w:r w:rsidRPr="00D03DBF">
              <w:rPr>
                <w:spacing w:val="2"/>
                <w:sz w:val="26"/>
                <w:szCs w:val="26"/>
              </w:rPr>
              <w:t>).</w:t>
            </w:r>
          </w:p>
          <w:p w:rsidR="00A63BE1" w:rsidRDefault="00D03DBF" w:rsidP="00340F77">
            <w:pPr>
              <w:spacing w:before="40" w:after="40"/>
              <w:ind w:firstLine="346"/>
              <w:jc w:val="both"/>
              <w:rPr>
                <w:spacing w:val="2"/>
                <w:sz w:val="26"/>
                <w:szCs w:val="26"/>
              </w:rPr>
            </w:pPr>
            <w:r w:rsidRPr="00D03DBF">
              <w:rPr>
                <w:spacing w:val="2"/>
                <w:sz w:val="26"/>
                <w:szCs w:val="26"/>
              </w:rPr>
              <w:t xml:space="preserve">- Khó thu thập, thống kê đầy đủ dòng vốn đầu tư ra nước ngoài vì ngoài hình thức đầu tư bằng tiền, vốn đầu tư còn thể hiện dưới nhiều hình thức khác như: vốn bằng máy </w:t>
            </w:r>
            <w:r w:rsidRPr="00D03DBF">
              <w:rPr>
                <w:spacing w:val="2"/>
                <w:sz w:val="26"/>
                <w:szCs w:val="26"/>
              </w:rPr>
              <w:lastRenderedPageBreak/>
              <w:t>móc, thiết bị, hàng hóa, quyền sở hữu trí tuệ…</w:t>
            </w:r>
            <w:proofErr w:type="gramStart"/>
            <w:r w:rsidRPr="00D03DBF">
              <w:rPr>
                <w:spacing w:val="2"/>
                <w:sz w:val="26"/>
                <w:szCs w:val="26"/>
              </w:rPr>
              <w:t>.(</w:t>
            </w:r>
            <w:proofErr w:type="gramEnd"/>
            <w:r w:rsidRPr="00D03DBF">
              <w:rPr>
                <w:spacing w:val="2"/>
                <w:sz w:val="26"/>
                <w:szCs w:val="26"/>
              </w:rPr>
              <w:t>các nội dung này không thuộc phạm vi chức năng của cơ quan quản lý ngoại hối).</w:t>
            </w:r>
          </w:p>
        </w:tc>
        <w:tc>
          <w:tcPr>
            <w:tcW w:w="1701" w:type="dxa"/>
          </w:tcPr>
          <w:p w:rsidR="00A63BE1" w:rsidRDefault="00D03DBF" w:rsidP="00A6359A">
            <w:pPr>
              <w:jc w:val="center"/>
              <w:rPr>
                <w:sz w:val="26"/>
                <w:szCs w:val="26"/>
              </w:rPr>
            </w:pPr>
            <w:r>
              <w:rPr>
                <w:sz w:val="26"/>
                <w:szCs w:val="26"/>
              </w:rPr>
              <w:lastRenderedPageBreak/>
              <w:t>NHNN</w:t>
            </w:r>
          </w:p>
        </w:tc>
        <w:tc>
          <w:tcPr>
            <w:tcW w:w="3986" w:type="dxa"/>
          </w:tcPr>
          <w:p w:rsidR="00A63BE1" w:rsidRDefault="00340F77" w:rsidP="00FA33BC">
            <w:pPr>
              <w:rPr>
                <w:sz w:val="26"/>
                <w:szCs w:val="26"/>
              </w:rPr>
            </w:pPr>
            <w:r>
              <w:rPr>
                <w:sz w:val="26"/>
                <w:szCs w:val="26"/>
              </w:rPr>
              <w:t>Tiếp thu ý kiến theo hướng xin ý kiến Chính phủ về cấp Giấy chứng nhận đăng ký đầu tư ra nước ngoài theo 2 phương án:</w:t>
            </w:r>
          </w:p>
          <w:p w:rsidR="00340F77" w:rsidRDefault="00340F77" w:rsidP="00340F77">
            <w:pPr>
              <w:rPr>
                <w:sz w:val="26"/>
                <w:szCs w:val="26"/>
              </w:rPr>
            </w:pPr>
            <w:r>
              <w:rPr>
                <w:sz w:val="26"/>
                <w:szCs w:val="26"/>
              </w:rPr>
              <w:t xml:space="preserve">- Phương án 1: </w:t>
            </w:r>
            <w:r w:rsidR="005742A0" w:rsidRPr="005742A0">
              <w:rPr>
                <w:sz w:val="26"/>
                <w:szCs w:val="26"/>
              </w:rPr>
              <w:t xml:space="preserve">đổi mới cơ chế quản lý hoạt động đầu tư ra nước ngoài theo hướng bỏ thủ tục cấp Giấy chứng nhận đăng ký đầu tư ra nước ngoài và thay bằng cơ chế đăng ký </w:t>
            </w:r>
            <w:r w:rsidR="005742A0" w:rsidRPr="005742A0">
              <w:rPr>
                <w:sz w:val="26"/>
                <w:szCs w:val="26"/>
              </w:rPr>
              <w:lastRenderedPageBreak/>
              <w:t>hoạt động chuyển vốn đầu tư ra nước ngoài tại Cơ quan nhà nước quản lý ngoại hối.</w:t>
            </w:r>
          </w:p>
          <w:p w:rsidR="005742A0" w:rsidRDefault="005742A0" w:rsidP="00340F77">
            <w:pPr>
              <w:rPr>
                <w:sz w:val="26"/>
                <w:szCs w:val="26"/>
              </w:rPr>
            </w:pPr>
            <w:r>
              <w:rPr>
                <w:sz w:val="26"/>
                <w:szCs w:val="26"/>
              </w:rPr>
              <w:t>- Phương án 2: Tiếp tục duy trì thủ tục cấp Giấy chứng nhận đăng ký đầu tư ra nước ngoài.</w:t>
            </w:r>
          </w:p>
        </w:tc>
      </w:tr>
      <w:tr w:rsidR="00FB286D" w:rsidRPr="00C10014" w:rsidTr="006F2D44">
        <w:trPr>
          <w:trHeight w:val="372"/>
        </w:trPr>
        <w:tc>
          <w:tcPr>
            <w:tcW w:w="619" w:type="dxa"/>
          </w:tcPr>
          <w:p w:rsidR="00FB286D" w:rsidRPr="00C10014" w:rsidRDefault="00FB286D" w:rsidP="0086053B">
            <w:pPr>
              <w:spacing w:before="40" w:after="40"/>
              <w:ind w:left="142"/>
              <w:jc w:val="center"/>
              <w:rPr>
                <w:sz w:val="26"/>
                <w:szCs w:val="26"/>
              </w:rPr>
            </w:pPr>
          </w:p>
        </w:tc>
        <w:tc>
          <w:tcPr>
            <w:tcW w:w="907" w:type="dxa"/>
            <w:vAlign w:val="center"/>
          </w:tcPr>
          <w:p w:rsidR="00FB286D" w:rsidRPr="00C10014" w:rsidRDefault="00FB286D" w:rsidP="0086053B">
            <w:pPr>
              <w:spacing w:before="40" w:after="40"/>
              <w:jc w:val="center"/>
              <w:rPr>
                <w:b/>
                <w:sz w:val="26"/>
                <w:szCs w:val="26"/>
              </w:rPr>
            </w:pPr>
          </w:p>
        </w:tc>
        <w:tc>
          <w:tcPr>
            <w:tcW w:w="1276" w:type="dxa"/>
          </w:tcPr>
          <w:p w:rsidR="00FB286D" w:rsidRDefault="00FB286D" w:rsidP="00FB286D">
            <w:pPr>
              <w:spacing w:before="40" w:after="40"/>
              <w:jc w:val="both"/>
              <w:rPr>
                <w:spacing w:val="2"/>
                <w:sz w:val="26"/>
                <w:szCs w:val="26"/>
              </w:rPr>
            </w:pPr>
            <w:r>
              <w:rPr>
                <w:spacing w:val="2"/>
                <w:sz w:val="26"/>
                <w:szCs w:val="26"/>
              </w:rPr>
              <w:t xml:space="preserve">Điều 63 và 66 </w:t>
            </w:r>
          </w:p>
        </w:tc>
        <w:tc>
          <w:tcPr>
            <w:tcW w:w="6407" w:type="dxa"/>
            <w:vAlign w:val="center"/>
          </w:tcPr>
          <w:p w:rsidR="00FB286D" w:rsidRPr="005742A0" w:rsidRDefault="00FB286D" w:rsidP="005742A0">
            <w:pPr>
              <w:spacing w:before="40" w:after="40"/>
              <w:ind w:firstLine="346"/>
              <w:jc w:val="both"/>
              <w:rPr>
                <w:spacing w:val="2"/>
                <w:sz w:val="26"/>
                <w:szCs w:val="26"/>
              </w:rPr>
            </w:pPr>
            <w:r w:rsidRPr="005742A0">
              <w:rPr>
                <w:spacing w:val="2"/>
                <w:sz w:val="26"/>
                <w:szCs w:val="26"/>
              </w:rPr>
              <w:t>Đề nghị quy định thống nhất việc đăng ký tài khoản cũng như các giao dịch chuyển tiền tại các Điều này</w:t>
            </w:r>
          </w:p>
          <w:p w:rsidR="00FB286D" w:rsidRPr="005742A0" w:rsidRDefault="00FB286D" w:rsidP="005742A0">
            <w:pPr>
              <w:spacing w:before="40" w:after="40"/>
              <w:ind w:firstLine="346"/>
              <w:jc w:val="both"/>
              <w:rPr>
                <w:spacing w:val="2"/>
                <w:sz w:val="26"/>
                <w:szCs w:val="26"/>
              </w:rPr>
            </w:pPr>
            <w:r w:rsidRPr="005742A0">
              <w:rPr>
                <w:spacing w:val="2"/>
                <w:sz w:val="26"/>
                <w:szCs w:val="26"/>
              </w:rPr>
              <w:t>Lý do:</w:t>
            </w:r>
          </w:p>
          <w:p w:rsidR="00FB286D" w:rsidRPr="005742A0" w:rsidRDefault="00FB286D" w:rsidP="005742A0">
            <w:pPr>
              <w:spacing w:before="40" w:after="40"/>
              <w:ind w:firstLine="346"/>
              <w:jc w:val="both"/>
              <w:rPr>
                <w:spacing w:val="2"/>
                <w:sz w:val="26"/>
                <w:szCs w:val="26"/>
              </w:rPr>
            </w:pPr>
            <w:r w:rsidRPr="005742A0">
              <w:rPr>
                <w:spacing w:val="2"/>
                <w:sz w:val="26"/>
                <w:szCs w:val="26"/>
              </w:rPr>
              <w:t>- Điều 63 Luật đầu tư quy định giao dịch chuyển tiền liên quan đến hoạt động đầu tư ra nước ngoài (bao gồm cả chuyển tiền ra và chuyển tiền vào Việt Nam) phải thực hiện thông qua tài khoản vốn riêng mở tại TCTD được phép và phải đăng ký tại Ngân hàng Nhà nước Việt Nam.</w:t>
            </w:r>
          </w:p>
          <w:p w:rsidR="00FB286D" w:rsidRPr="005742A0" w:rsidRDefault="00FB286D" w:rsidP="005742A0">
            <w:pPr>
              <w:spacing w:before="40" w:after="40"/>
              <w:ind w:firstLine="346"/>
              <w:jc w:val="both"/>
              <w:rPr>
                <w:spacing w:val="2"/>
                <w:sz w:val="26"/>
                <w:szCs w:val="26"/>
              </w:rPr>
            </w:pPr>
            <w:r w:rsidRPr="005742A0">
              <w:rPr>
                <w:spacing w:val="2"/>
                <w:sz w:val="26"/>
                <w:szCs w:val="26"/>
              </w:rPr>
              <w:t>- Khoản 2 Điều 66 Luật đầu tư quy định trường hợp sử dụng lợi nhuận thu được từ dự án đầu tư để thực hiện dự án đầu tư khác phải đăng ký tài khoản vốn, tiến độ chuyển vốn đầu tư bằng tiền với Ngân hàng Nhà nước Việt Nam.</w:t>
            </w:r>
          </w:p>
          <w:p w:rsidR="00FB286D" w:rsidRDefault="00FB286D" w:rsidP="00E763BA">
            <w:pPr>
              <w:spacing w:before="40" w:after="40"/>
              <w:ind w:firstLine="346"/>
              <w:jc w:val="both"/>
              <w:rPr>
                <w:spacing w:val="2"/>
                <w:sz w:val="26"/>
                <w:szCs w:val="26"/>
              </w:rPr>
            </w:pPr>
            <w:r w:rsidRPr="005742A0">
              <w:rPr>
                <w:spacing w:val="2"/>
                <w:sz w:val="26"/>
                <w:szCs w:val="26"/>
              </w:rPr>
              <w:t>Về bản chất, 02 tài khoản quy định tại Điều 63 và khoản 2 Điều 66 là giống nhau.</w:t>
            </w:r>
          </w:p>
        </w:tc>
        <w:tc>
          <w:tcPr>
            <w:tcW w:w="1701" w:type="dxa"/>
          </w:tcPr>
          <w:p w:rsidR="00FB286D" w:rsidRDefault="00242CEA" w:rsidP="00A6359A">
            <w:pPr>
              <w:jc w:val="center"/>
              <w:rPr>
                <w:sz w:val="26"/>
                <w:szCs w:val="26"/>
              </w:rPr>
            </w:pPr>
            <w:r>
              <w:rPr>
                <w:sz w:val="26"/>
                <w:szCs w:val="26"/>
              </w:rPr>
              <w:t>NHNN</w:t>
            </w:r>
          </w:p>
        </w:tc>
        <w:tc>
          <w:tcPr>
            <w:tcW w:w="3986" w:type="dxa"/>
          </w:tcPr>
          <w:p w:rsidR="00FB286D" w:rsidRDefault="00E763BA" w:rsidP="0077632B">
            <w:pPr>
              <w:jc w:val="both"/>
              <w:rPr>
                <w:sz w:val="26"/>
                <w:szCs w:val="26"/>
              </w:rPr>
            </w:pPr>
            <w:r>
              <w:rPr>
                <w:sz w:val="26"/>
                <w:szCs w:val="26"/>
              </w:rPr>
              <w:t xml:space="preserve">Tiếp thu ý kiến, sửa đổi cụ thể trong </w:t>
            </w:r>
            <w:r w:rsidR="0077632B">
              <w:rPr>
                <w:sz w:val="26"/>
                <w:szCs w:val="26"/>
              </w:rPr>
              <w:t xml:space="preserve">quá trình sửa đổi, hoàn thiện Dự </w:t>
            </w:r>
            <w:proofErr w:type="gramStart"/>
            <w:r w:rsidR="0077632B">
              <w:rPr>
                <w:sz w:val="26"/>
                <w:szCs w:val="26"/>
              </w:rPr>
              <w:t>án</w:t>
            </w:r>
            <w:proofErr w:type="gramEnd"/>
            <w:r w:rsidR="0077632B">
              <w:rPr>
                <w:sz w:val="26"/>
                <w:szCs w:val="26"/>
              </w:rPr>
              <w:t xml:space="preserve"> Luật.</w:t>
            </w:r>
          </w:p>
        </w:tc>
      </w:tr>
      <w:tr w:rsidR="000915CE" w:rsidRPr="00C10014" w:rsidTr="006F2D44">
        <w:trPr>
          <w:trHeight w:val="372"/>
        </w:trPr>
        <w:tc>
          <w:tcPr>
            <w:tcW w:w="619" w:type="dxa"/>
          </w:tcPr>
          <w:p w:rsidR="000915CE" w:rsidRPr="00C10014" w:rsidRDefault="000915CE" w:rsidP="0086053B">
            <w:pPr>
              <w:spacing w:before="40" w:after="40"/>
              <w:ind w:left="142"/>
              <w:jc w:val="center"/>
              <w:rPr>
                <w:sz w:val="26"/>
                <w:szCs w:val="26"/>
              </w:rPr>
            </w:pPr>
          </w:p>
        </w:tc>
        <w:tc>
          <w:tcPr>
            <w:tcW w:w="907" w:type="dxa"/>
            <w:vAlign w:val="center"/>
          </w:tcPr>
          <w:p w:rsidR="000915CE" w:rsidRPr="00C10014" w:rsidRDefault="000915CE" w:rsidP="0086053B">
            <w:pPr>
              <w:spacing w:before="40" w:after="40"/>
              <w:jc w:val="center"/>
              <w:rPr>
                <w:b/>
                <w:sz w:val="26"/>
                <w:szCs w:val="26"/>
              </w:rPr>
            </w:pPr>
          </w:p>
        </w:tc>
        <w:tc>
          <w:tcPr>
            <w:tcW w:w="1276" w:type="dxa"/>
          </w:tcPr>
          <w:p w:rsidR="000915CE" w:rsidRPr="00C10014" w:rsidRDefault="00436DB0" w:rsidP="0086053B">
            <w:pPr>
              <w:spacing w:before="40" w:after="40"/>
              <w:jc w:val="both"/>
              <w:rPr>
                <w:spacing w:val="2"/>
                <w:sz w:val="26"/>
                <w:szCs w:val="26"/>
              </w:rPr>
            </w:pPr>
            <w:r>
              <w:rPr>
                <w:spacing w:val="2"/>
                <w:sz w:val="26"/>
                <w:szCs w:val="26"/>
              </w:rPr>
              <w:t>Điều 69</w:t>
            </w:r>
          </w:p>
        </w:tc>
        <w:tc>
          <w:tcPr>
            <w:tcW w:w="6407" w:type="dxa"/>
            <w:vAlign w:val="center"/>
          </w:tcPr>
          <w:p w:rsidR="000915CE" w:rsidRDefault="00436DB0" w:rsidP="00436DB0">
            <w:pPr>
              <w:spacing w:before="40" w:after="40"/>
              <w:ind w:firstLine="346"/>
              <w:jc w:val="both"/>
              <w:rPr>
                <w:spacing w:val="2"/>
                <w:sz w:val="26"/>
                <w:szCs w:val="26"/>
              </w:rPr>
            </w:pPr>
            <w:r>
              <w:rPr>
                <w:spacing w:val="2"/>
                <w:sz w:val="26"/>
                <w:szCs w:val="26"/>
              </w:rPr>
              <w:t>Bổ sung quy định về trách nhiệm của cơ quan quản lý chuyên ngành trong giám sát</w:t>
            </w:r>
            <w:r w:rsidR="00D85115">
              <w:rPr>
                <w:spacing w:val="2"/>
                <w:sz w:val="26"/>
                <w:szCs w:val="26"/>
              </w:rPr>
              <w:t xml:space="preserve"> về công nghệ và chuyển giao công nghệ.</w:t>
            </w:r>
          </w:p>
          <w:p w:rsidR="00D85115" w:rsidRDefault="00D85115" w:rsidP="00436DB0">
            <w:pPr>
              <w:spacing w:before="40" w:after="40"/>
              <w:ind w:firstLine="346"/>
              <w:jc w:val="both"/>
              <w:rPr>
                <w:spacing w:val="2"/>
                <w:sz w:val="26"/>
                <w:szCs w:val="26"/>
              </w:rPr>
            </w:pPr>
            <w:r>
              <w:rPr>
                <w:i/>
                <w:spacing w:val="2"/>
                <w:sz w:val="26"/>
                <w:szCs w:val="26"/>
                <w:u w:val="single"/>
              </w:rPr>
              <w:t>Lý do:</w:t>
            </w:r>
          </w:p>
          <w:p w:rsidR="00E05B7F" w:rsidRDefault="00D85115" w:rsidP="00E05B7F">
            <w:pPr>
              <w:spacing w:before="40" w:after="40"/>
              <w:ind w:firstLine="346"/>
              <w:jc w:val="both"/>
              <w:rPr>
                <w:spacing w:val="2"/>
                <w:sz w:val="26"/>
                <w:szCs w:val="26"/>
              </w:rPr>
            </w:pPr>
            <w:r w:rsidRPr="00D85115">
              <w:rPr>
                <w:spacing w:val="2"/>
                <w:sz w:val="26"/>
                <w:szCs w:val="26"/>
              </w:rPr>
              <w:t xml:space="preserve">Khoản 2 Điều 21 Luật Chuyển giao công nghệ năm 2017 </w:t>
            </w:r>
            <w:bookmarkStart w:id="2" w:name="dieu_21"/>
            <w:r w:rsidRPr="00D85115">
              <w:rPr>
                <w:spacing w:val="2"/>
                <w:sz w:val="26"/>
                <w:szCs w:val="26"/>
              </w:rPr>
              <w:t xml:space="preserve">quy định </w:t>
            </w:r>
            <w:bookmarkEnd w:id="2"/>
            <w:r w:rsidRPr="00D85115">
              <w:rPr>
                <w:spacing w:val="2"/>
                <w:sz w:val="26"/>
                <w:szCs w:val="26"/>
              </w:rPr>
              <w:t xml:space="preserve">“Cơ quan quản lý nhà nước về đầu tư có trách nhiệm chủ trì, phối hợp với cơ quan quản lý nhà nước chuyên ngành để kiểm tra, giám sát công nghệ trong dự án đầu tư cùng với việc kiểm tra, giám sát đầu tư theo quy định của pháp luật”. Điều 69 Luật Đầu tư quy định về “Giám sát, đánh giá đầu tư” và Nghị định số 84/2015/NĐ-CP ngày 30/9/2015 của Chính phủ về giám sát và đánh giá đầu tư. </w:t>
            </w:r>
          </w:p>
          <w:p w:rsidR="00436DB0" w:rsidRPr="00C10014" w:rsidRDefault="00D85115" w:rsidP="00E05B7F">
            <w:pPr>
              <w:spacing w:before="40" w:after="40"/>
              <w:ind w:firstLine="346"/>
              <w:jc w:val="both"/>
              <w:rPr>
                <w:spacing w:val="2"/>
                <w:sz w:val="26"/>
                <w:szCs w:val="26"/>
              </w:rPr>
            </w:pPr>
            <w:r w:rsidRPr="00D85115">
              <w:rPr>
                <w:spacing w:val="2"/>
                <w:sz w:val="26"/>
                <w:szCs w:val="26"/>
              </w:rPr>
              <w:t xml:space="preserve">Tuy nhiên, nội dung giám sát, đánh giá đầu tư theo Luật Đầu tư và theo Nghị định số 84/2015/NĐ-CP cũng chưa quy định rõ về trách nhiệm của cơ quan quản lý nhà nước </w:t>
            </w:r>
            <w:r w:rsidRPr="00D85115">
              <w:rPr>
                <w:spacing w:val="2"/>
                <w:sz w:val="26"/>
                <w:szCs w:val="26"/>
              </w:rPr>
              <w:lastRenderedPageBreak/>
              <w:t xml:space="preserve">chuyên ngành, nội dung giám sát (thông qua theo dõi và kiểm tra) về công nghệ sử dụng và chuyển giao công nghệ trong giai đoạn triển khai thực hiện dự án (nhập khẩu, lắp đặt và vận hành) của dự án đầu tư sử dụng vốn khác. </w:t>
            </w:r>
          </w:p>
        </w:tc>
        <w:tc>
          <w:tcPr>
            <w:tcW w:w="1701" w:type="dxa"/>
          </w:tcPr>
          <w:p w:rsidR="000915CE" w:rsidRPr="00C10014" w:rsidRDefault="00D85115" w:rsidP="00A6359A">
            <w:pPr>
              <w:jc w:val="center"/>
              <w:rPr>
                <w:sz w:val="26"/>
                <w:szCs w:val="26"/>
              </w:rPr>
            </w:pPr>
            <w:r>
              <w:rPr>
                <w:sz w:val="26"/>
                <w:szCs w:val="26"/>
              </w:rPr>
              <w:lastRenderedPageBreak/>
              <w:t>Bộ KH&amp;CN</w:t>
            </w:r>
          </w:p>
        </w:tc>
        <w:tc>
          <w:tcPr>
            <w:tcW w:w="3986" w:type="dxa"/>
          </w:tcPr>
          <w:p w:rsidR="000915CE" w:rsidRDefault="0082288D" w:rsidP="00FA33BC">
            <w:pPr>
              <w:rPr>
                <w:sz w:val="26"/>
                <w:szCs w:val="26"/>
              </w:rPr>
            </w:pPr>
            <w:r>
              <w:rPr>
                <w:sz w:val="26"/>
                <w:szCs w:val="26"/>
              </w:rPr>
              <w:t>Nội dung này đã được quy định trong Luật Chuyển giao công nghệ. Do đó, Luật Đầu tư không quy định lại để tránh trùng lặp.</w:t>
            </w:r>
          </w:p>
          <w:p w:rsidR="0082288D" w:rsidRPr="00C10014" w:rsidRDefault="0082288D" w:rsidP="00FA33BC">
            <w:pPr>
              <w:rPr>
                <w:sz w:val="26"/>
                <w:szCs w:val="26"/>
              </w:rPr>
            </w:pPr>
          </w:p>
        </w:tc>
      </w:tr>
      <w:tr w:rsidR="000915CE" w:rsidRPr="00C10014" w:rsidTr="006F2D44">
        <w:trPr>
          <w:trHeight w:val="372"/>
        </w:trPr>
        <w:tc>
          <w:tcPr>
            <w:tcW w:w="619" w:type="dxa"/>
          </w:tcPr>
          <w:p w:rsidR="000915CE" w:rsidRPr="00C10014" w:rsidRDefault="000915CE" w:rsidP="0086053B">
            <w:pPr>
              <w:spacing w:before="40" w:after="40"/>
              <w:ind w:left="142"/>
              <w:jc w:val="center"/>
              <w:rPr>
                <w:sz w:val="26"/>
                <w:szCs w:val="26"/>
              </w:rPr>
            </w:pPr>
          </w:p>
        </w:tc>
        <w:tc>
          <w:tcPr>
            <w:tcW w:w="907" w:type="dxa"/>
            <w:vAlign w:val="center"/>
          </w:tcPr>
          <w:p w:rsidR="000915CE" w:rsidRPr="00C10014" w:rsidRDefault="000915CE" w:rsidP="0086053B">
            <w:pPr>
              <w:spacing w:before="40" w:after="40"/>
              <w:jc w:val="center"/>
              <w:rPr>
                <w:b/>
                <w:sz w:val="26"/>
                <w:szCs w:val="26"/>
              </w:rPr>
            </w:pPr>
          </w:p>
        </w:tc>
        <w:tc>
          <w:tcPr>
            <w:tcW w:w="1276" w:type="dxa"/>
            <w:vMerge w:val="restart"/>
          </w:tcPr>
          <w:p w:rsidR="000915CE" w:rsidRPr="006F2D44" w:rsidRDefault="0070539E" w:rsidP="0086053B">
            <w:pPr>
              <w:spacing w:before="40" w:after="40"/>
              <w:jc w:val="both"/>
              <w:rPr>
                <w:b/>
                <w:spacing w:val="2"/>
              </w:rPr>
            </w:pPr>
            <w:r w:rsidRPr="006F2D44">
              <w:rPr>
                <w:b/>
                <w:spacing w:val="2"/>
              </w:rPr>
              <w:t>Phụ lục 4</w:t>
            </w:r>
          </w:p>
        </w:tc>
        <w:tc>
          <w:tcPr>
            <w:tcW w:w="6407" w:type="dxa"/>
            <w:vAlign w:val="center"/>
          </w:tcPr>
          <w:p w:rsidR="000915CE" w:rsidRPr="007F322F" w:rsidRDefault="00795EDF" w:rsidP="00A63BE1">
            <w:pPr>
              <w:spacing w:before="40" w:after="40"/>
              <w:jc w:val="both"/>
              <w:rPr>
                <w:spacing w:val="2"/>
                <w:sz w:val="26"/>
                <w:szCs w:val="26"/>
              </w:rPr>
            </w:pPr>
            <w:r w:rsidRPr="007F322F">
              <w:rPr>
                <w:sz w:val="26"/>
              </w:rPr>
              <w:t>Bãi bỏ ngành “sản xuất mũ bảo hiểm cho người đi môtô, xe máy”</w:t>
            </w:r>
          </w:p>
        </w:tc>
        <w:tc>
          <w:tcPr>
            <w:tcW w:w="1701" w:type="dxa"/>
          </w:tcPr>
          <w:p w:rsidR="000915CE" w:rsidRPr="00C10014" w:rsidRDefault="00795EDF" w:rsidP="00A6359A">
            <w:pPr>
              <w:jc w:val="center"/>
              <w:rPr>
                <w:spacing w:val="2"/>
                <w:sz w:val="26"/>
                <w:szCs w:val="26"/>
              </w:rPr>
            </w:pPr>
            <w:r>
              <w:rPr>
                <w:spacing w:val="2"/>
                <w:sz w:val="26"/>
                <w:szCs w:val="26"/>
              </w:rPr>
              <w:t>Bộ KH&amp;CN</w:t>
            </w:r>
          </w:p>
        </w:tc>
        <w:tc>
          <w:tcPr>
            <w:tcW w:w="3986" w:type="dxa"/>
          </w:tcPr>
          <w:p w:rsidR="000915CE" w:rsidRPr="00C10014" w:rsidRDefault="00815C28" w:rsidP="009D656B">
            <w:pPr>
              <w:rPr>
                <w:spacing w:val="2"/>
                <w:sz w:val="26"/>
                <w:szCs w:val="26"/>
              </w:rPr>
            </w:pPr>
            <w:r>
              <w:rPr>
                <w:spacing w:val="2"/>
                <w:sz w:val="26"/>
                <w:szCs w:val="26"/>
              </w:rPr>
              <w:t>Tiếp thu ý kiến</w:t>
            </w:r>
          </w:p>
        </w:tc>
      </w:tr>
      <w:tr w:rsidR="000915CE" w:rsidRPr="00C10014" w:rsidTr="006F2D44">
        <w:trPr>
          <w:trHeight w:val="372"/>
        </w:trPr>
        <w:tc>
          <w:tcPr>
            <w:tcW w:w="619" w:type="dxa"/>
          </w:tcPr>
          <w:p w:rsidR="000915CE" w:rsidRPr="00C10014" w:rsidRDefault="000915CE" w:rsidP="0086053B">
            <w:pPr>
              <w:spacing w:before="40" w:after="40"/>
              <w:ind w:left="142"/>
              <w:jc w:val="center"/>
              <w:rPr>
                <w:sz w:val="26"/>
                <w:szCs w:val="26"/>
              </w:rPr>
            </w:pPr>
          </w:p>
        </w:tc>
        <w:tc>
          <w:tcPr>
            <w:tcW w:w="907" w:type="dxa"/>
            <w:vAlign w:val="center"/>
          </w:tcPr>
          <w:p w:rsidR="000915CE" w:rsidRPr="00C10014" w:rsidRDefault="000915CE" w:rsidP="0086053B">
            <w:pPr>
              <w:spacing w:before="40" w:after="40"/>
              <w:jc w:val="center"/>
              <w:rPr>
                <w:b/>
                <w:sz w:val="26"/>
                <w:szCs w:val="26"/>
              </w:rPr>
            </w:pPr>
          </w:p>
        </w:tc>
        <w:tc>
          <w:tcPr>
            <w:tcW w:w="1276" w:type="dxa"/>
            <w:vMerge/>
          </w:tcPr>
          <w:p w:rsidR="000915CE" w:rsidRPr="00C10014" w:rsidRDefault="000915CE" w:rsidP="0086053B">
            <w:pPr>
              <w:spacing w:before="40" w:after="40"/>
              <w:jc w:val="both"/>
              <w:rPr>
                <w:spacing w:val="2"/>
                <w:sz w:val="26"/>
                <w:szCs w:val="26"/>
              </w:rPr>
            </w:pPr>
          </w:p>
        </w:tc>
        <w:tc>
          <w:tcPr>
            <w:tcW w:w="6407" w:type="dxa"/>
            <w:vAlign w:val="center"/>
          </w:tcPr>
          <w:p w:rsidR="000915CE" w:rsidRPr="0042423A" w:rsidRDefault="00D03DBF" w:rsidP="00D11547">
            <w:pPr>
              <w:spacing w:before="40" w:after="40"/>
              <w:jc w:val="both"/>
              <w:rPr>
                <w:i/>
                <w:sz w:val="26"/>
                <w:szCs w:val="26"/>
                <w:lang w:val="pt-BR"/>
              </w:rPr>
            </w:pPr>
            <w:r w:rsidRPr="0042423A">
              <w:rPr>
                <w:spacing w:val="2"/>
                <w:sz w:val="26"/>
                <w:szCs w:val="26"/>
              </w:rPr>
              <w:t xml:space="preserve">Đề nghị sửa ngành “ </w:t>
            </w:r>
            <w:r w:rsidRPr="0042423A">
              <w:rPr>
                <w:spacing w:val="2"/>
                <w:sz w:val="26"/>
                <w:szCs w:val="26"/>
                <w:u w:val="single"/>
              </w:rPr>
              <w:t>hoạt động kinh doanh</w:t>
            </w:r>
            <w:r w:rsidRPr="0042423A">
              <w:rPr>
                <w:spacing w:val="2"/>
                <w:sz w:val="26"/>
                <w:szCs w:val="26"/>
              </w:rPr>
              <w:t xml:space="preserve"> của các ngân hàng thương mại, TCTD phi ngân hàng, ngân hàng hợp tác xã, quỹ tín dụng nhân dân, tổ chức tài chính vi mô” thành “ </w:t>
            </w:r>
            <w:r w:rsidRPr="0042423A">
              <w:rPr>
                <w:spacing w:val="2"/>
                <w:sz w:val="26"/>
                <w:szCs w:val="26"/>
                <w:u w:val="single"/>
              </w:rPr>
              <w:t>hoạt động</w:t>
            </w:r>
            <w:r w:rsidRPr="0042423A">
              <w:rPr>
                <w:spacing w:val="2"/>
                <w:sz w:val="26"/>
                <w:szCs w:val="26"/>
              </w:rPr>
              <w:t xml:space="preserve"> </w:t>
            </w:r>
            <w:r w:rsidRPr="0042423A">
              <w:rPr>
                <w:strike/>
                <w:spacing w:val="2"/>
                <w:sz w:val="26"/>
                <w:szCs w:val="26"/>
              </w:rPr>
              <w:t>kinh doanh</w:t>
            </w:r>
            <w:r w:rsidRPr="0042423A">
              <w:rPr>
                <w:spacing w:val="2"/>
                <w:sz w:val="26"/>
                <w:szCs w:val="26"/>
              </w:rPr>
              <w:t xml:space="preserve"> của các ngân hàng thương mại, TCTD phi ngân hàng, ngân hàng hợp tác xã, quỹ tín dụng nhân dân, tổ chức tài chính vi mô”</w:t>
            </w:r>
          </w:p>
          <w:p w:rsidR="00D03DBF" w:rsidRPr="0042423A" w:rsidRDefault="00D03DBF" w:rsidP="00D11547">
            <w:pPr>
              <w:spacing w:before="40" w:after="40"/>
              <w:jc w:val="both"/>
              <w:rPr>
                <w:i/>
                <w:sz w:val="26"/>
                <w:szCs w:val="26"/>
                <w:lang w:val="pt-BR"/>
              </w:rPr>
            </w:pPr>
            <w:r w:rsidRPr="0042423A">
              <w:rPr>
                <w:i/>
                <w:sz w:val="26"/>
                <w:szCs w:val="26"/>
                <w:lang w:val="pt-BR"/>
              </w:rPr>
              <w:t>Lý do:</w:t>
            </w:r>
          </w:p>
          <w:p w:rsidR="00D03DBF" w:rsidRPr="0042423A" w:rsidRDefault="00D03DBF" w:rsidP="00D11547">
            <w:pPr>
              <w:spacing w:before="40" w:after="40"/>
              <w:jc w:val="both"/>
              <w:rPr>
                <w:i/>
                <w:sz w:val="26"/>
                <w:szCs w:val="26"/>
                <w:lang w:val="pt-BR"/>
              </w:rPr>
            </w:pPr>
            <w:r w:rsidRPr="0042423A">
              <w:rPr>
                <w:i/>
                <w:sz w:val="26"/>
                <w:szCs w:val="26"/>
                <w:lang w:val="pt-BR"/>
              </w:rPr>
              <w:t xml:space="preserve">- </w:t>
            </w:r>
            <w:r w:rsidRPr="0042423A">
              <w:rPr>
                <w:sz w:val="26"/>
                <w:szCs w:val="26"/>
                <w:lang w:val="pt-BR"/>
              </w:rPr>
              <w:t xml:space="preserve"> Luật các tổ chức tín dụng chỉ quy định về </w:t>
            </w:r>
            <w:r w:rsidRPr="0042423A">
              <w:rPr>
                <w:i/>
                <w:sz w:val="26"/>
                <w:szCs w:val="26"/>
                <w:u w:val="single"/>
                <w:lang w:val="pt-BR"/>
              </w:rPr>
              <w:t>hoạt động</w:t>
            </w:r>
            <w:r w:rsidRPr="0042423A">
              <w:rPr>
                <w:i/>
                <w:sz w:val="26"/>
                <w:szCs w:val="26"/>
                <w:lang w:val="pt-BR"/>
              </w:rPr>
              <w:t xml:space="preserve"> của ngân hàng thương mại, công ty tài chính, công ty cho thuê tài chính, TCTD là hợp tác xã, tổ chức tài chính vi mô, chi nhánh ngân hàng nước ngoài.</w:t>
            </w:r>
          </w:p>
          <w:p w:rsidR="00D03DBF" w:rsidRPr="00C10014" w:rsidRDefault="00D03DBF" w:rsidP="0042423A">
            <w:pPr>
              <w:spacing w:before="40" w:after="40"/>
              <w:jc w:val="both"/>
              <w:rPr>
                <w:spacing w:val="2"/>
                <w:sz w:val="26"/>
                <w:szCs w:val="26"/>
              </w:rPr>
            </w:pPr>
            <w:r w:rsidRPr="0042423A">
              <w:rPr>
                <w:i/>
                <w:sz w:val="26"/>
                <w:szCs w:val="26"/>
                <w:lang w:val="pt-BR"/>
              </w:rPr>
              <w:t xml:space="preserve">- </w:t>
            </w:r>
            <w:r w:rsidR="0042423A" w:rsidRPr="0042423A">
              <w:rPr>
                <w:sz w:val="26"/>
                <w:szCs w:val="26"/>
                <w:lang w:val="pt-BR"/>
              </w:rPr>
              <w:t>N</w:t>
            </w:r>
            <w:r w:rsidRPr="0042423A">
              <w:rPr>
                <w:sz w:val="26"/>
                <w:szCs w:val="26"/>
                <w:lang w:val="pt-BR"/>
              </w:rPr>
              <w:t>gân hàng thương mại có thể được thực hiện các hoạt động kinh doanh khác mà các doanh nghiệp khác thực hiện mà không cần điều kiện đầu tư, kinh doanh như: cho thuê tủ, két, bảo quản tài sản, tư vấn tài chính... và các hoạt động khác liên quan đến hoạt động ngân hàng sau khi được Ngân hàng Nhà nước chấp thuận. Theo đó, việc quy định tất cả các hoạt động kinh doanh của TCTD đều là ngành nghề kinh doanh có điều kiện là không phù hợp</w:t>
            </w:r>
          </w:p>
        </w:tc>
        <w:tc>
          <w:tcPr>
            <w:tcW w:w="1701" w:type="dxa"/>
          </w:tcPr>
          <w:p w:rsidR="000915CE" w:rsidRPr="00C10014" w:rsidRDefault="00D03DBF" w:rsidP="00A6359A">
            <w:pPr>
              <w:jc w:val="center"/>
              <w:rPr>
                <w:spacing w:val="2"/>
                <w:sz w:val="26"/>
                <w:szCs w:val="26"/>
              </w:rPr>
            </w:pPr>
            <w:r>
              <w:rPr>
                <w:spacing w:val="2"/>
                <w:sz w:val="26"/>
                <w:szCs w:val="26"/>
              </w:rPr>
              <w:t>NHNN</w:t>
            </w:r>
          </w:p>
        </w:tc>
        <w:tc>
          <w:tcPr>
            <w:tcW w:w="3986" w:type="dxa"/>
          </w:tcPr>
          <w:p w:rsidR="000915CE" w:rsidRPr="00C10014" w:rsidRDefault="00815C28" w:rsidP="009D6816">
            <w:pPr>
              <w:rPr>
                <w:spacing w:val="2"/>
                <w:sz w:val="26"/>
                <w:szCs w:val="26"/>
              </w:rPr>
            </w:pPr>
            <w:r>
              <w:rPr>
                <w:spacing w:val="2"/>
                <w:sz w:val="26"/>
                <w:szCs w:val="26"/>
              </w:rPr>
              <w:t xml:space="preserve">Tiếp </w:t>
            </w:r>
            <w:r w:rsidR="00CC2D97">
              <w:rPr>
                <w:spacing w:val="2"/>
                <w:sz w:val="26"/>
                <w:szCs w:val="26"/>
              </w:rPr>
              <w:t>thu ý kiến</w:t>
            </w:r>
          </w:p>
        </w:tc>
      </w:tr>
      <w:tr w:rsidR="000915CE" w:rsidRPr="00C10014" w:rsidTr="006F2D44">
        <w:trPr>
          <w:trHeight w:val="372"/>
        </w:trPr>
        <w:tc>
          <w:tcPr>
            <w:tcW w:w="619" w:type="dxa"/>
          </w:tcPr>
          <w:p w:rsidR="000915CE" w:rsidRPr="00C10014" w:rsidRDefault="000915CE" w:rsidP="00114567">
            <w:pPr>
              <w:spacing w:before="40" w:after="40"/>
              <w:ind w:left="142"/>
              <w:jc w:val="center"/>
              <w:rPr>
                <w:sz w:val="26"/>
                <w:szCs w:val="26"/>
              </w:rPr>
            </w:pPr>
          </w:p>
        </w:tc>
        <w:tc>
          <w:tcPr>
            <w:tcW w:w="907" w:type="dxa"/>
            <w:vAlign w:val="center"/>
          </w:tcPr>
          <w:p w:rsidR="000915CE" w:rsidRPr="00C10014" w:rsidRDefault="000915CE" w:rsidP="00114567">
            <w:pPr>
              <w:spacing w:before="40" w:after="40"/>
              <w:jc w:val="center"/>
              <w:rPr>
                <w:b/>
                <w:sz w:val="26"/>
                <w:szCs w:val="26"/>
              </w:rPr>
            </w:pPr>
          </w:p>
        </w:tc>
        <w:tc>
          <w:tcPr>
            <w:tcW w:w="1276" w:type="dxa"/>
            <w:vMerge/>
          </w:tcPr>
          <w:p w:rsidR="000915CE" w:rsidRPr="00C10014" w:rsidRDefault="000915CE" w:rsidP="00114567">
            <w:pPr>
              <w:spacing w:before="40" w:after="40"/>
              <w:jc w:val="both"/>
              <w:rPr>
                <w:spacing w:val="2"/>
                <w:sz w:val="26"/>
                <w:szCs w:val="26"/>
              </w:rPr>
            </w:pPr>
          </w:p>
        </w:tc>
        <w:tc>
          <w:tcPr>
            <w:tcW w:w="6407" w:type="dxa"/>
            <w:vAlign w:val="center"/>
          </w:tcPr>
          <w:p w:rsidR="0093449B" w:rsidRPr="001A0491" w:rsidRDefault="0093449B" w:rsidP="001A0491">
            <w:pPr>
              <w:spacing w:before="120"/>
              <w:ind w:firstLine="346"/>
              <w:jc w:val="both"/>
              <w:rPr>
                <w:sz w:val="26"/>
                <w:szCs w:val="26"/>
              </w:rPr>
            </w:pPr>
            <w:r w:rsidRPr="001A0491">
              <w:rPr>
                <w:sz w:val="26"/>
                <w:szCs w:val="26"/>
              </w:rPr>
              <w:t>Đề nghị tiếp tục giữ lại các ngành, nghề đầu tư kinh doanh có điều kiện sau:</w:t>
            </w:r>
          </w:p>
          <w:p w:rsidR="0093449B" w:rsidRPr="001A0491" w:rsidRDefault="0093449B" w:rsidP="001A0491">
            <w:pPr>
              <w:spacing w:before="120"/>
              <w:ind w:firstLine="346"/>
              <w:jc w:val="both"/>
              <w:rPr>
                <w:i/>
                <w:sz w:val="26"/>
                <w:szCs w:val="26"/>
              </w:rPr>
            </w:pPr>
            <w:r w:rsidRPr="001A0491">
              <w:rPr>
                <w:sz w:val="26"/>
                <w:szCs w:val="26"/>
              </w:rPr>
              <w:t>-</w:t>
            </w:r>
            <w:r w:rsidRPr="001A0491">
              <w:rPr>
                <w:i/>
                <w:sz w:val="26"/>
                <w:szCs w:val="26"/>
              </w:rPr>
              <w:t xml:space="preserve"> Kinh doanh dịch vụ phát hành và phổ biến phim;</w:t>
            </w:r>
          </w:p>
          <w:p w:rsidR="0093449B" w:rsidRPr="001A0491" w:rsidRDefault="0093449B" w:rsidP="001A0491">
            <w:pPr>
              <w:spacing w:before="120"/>
              <w:ind w:firstLine="346"/>
              <w:jc w:val="both"/>
              <w:rPr>
                <w:i/>
                <w:sz w:val="26"/>
                <w:szCs w:val="26"/>
              </w:rPr>
            </w:pPr>
            <w:r w:rsidRPr="001A0491">
              <w:rPr>
                <w:i/>
                <w:sz w:val="26"/>
                <w:szCs w:val="26"/>
              </w:rPr>
              <w:t xml:space="preserve">- Kinh doanh dịch vụ lữ hành; </w:t>
            </w:r>
          </w:p>
          <w:p w:rsidR="0093449B" w:rsidRPr="001A0491" w:rsidRDefault="0093449B" w:rsidP="001A0491">
            <w:pPr>
              <w:spacing w:before="120"/>
              <w:ind w:firstLine="346"/>
              <w:jc w:val="both"/>
              <w:rPr>
                <w:i/>
                <w:sz w:val="26"/>
                <w:szCs w:val="26"/>
              </w:rPr>
            </w:pPr>
            <w:r w:rsidRPr="001A0491">
              <w:rPr>
                <w:i/>
                <w:sz w:val="26"/>
                <w:szCs w:val="26"/>
              </w:rPr>
              <w:t xml:space="preserve">- Kinh doanh dịch vụ biểu diễn nghệ thuật, trình diễn thời trang, tổ chức thi người đẹp, người mẫu; </w:t>
            </w:r>
          </w:p>
          <w:p w:rsidR="0093449B" w:rsidRPr="001A0491" w:rsidRDefault="0093449B" w:rsidP="001A0491">
            <w:pPr>
              <w:spacing w:before="120"/>
              <w:ind w:firstLine="346"/>
              <w:jc w:val="both"/>
              <w:rPr>
                <w:i/>
                <w:sz w:val="26"/>
                <w:szCs w:val="26"/>
              </w:rPr>
            </w:pPr>
            <w:r w:rsidRPr="001A0491">
              <w:rPr>
                <w:i/>
                <w:sz w:val="26"/>
                <w:szCs w:val="26"/>
              </w:rPr>
              <w:lastRenderedPageBreak/>
              <w:t>- Kinh doanh dịch vụ giới thiệu quảng cáo đến công chúng.</w:t>
            </w:r>
          </w:p>
          <w:p w:rsidR="000915CE" w:rsidRPr="001A0491" w:rsidRDefault="0093449B" w:rsidP="001A0491">
            <w:pPr>
              <w:spacing w:before="40" w:after="40"/>
              <w:ind w:firstLine="346"/>
              <w:jc w:val="both"/>
              <w:rPr>
                <w:spacing w:val="2"/>
                <w:sz w:val="26"/>
                <w:szCs w:val="26"/>
              </w:rPr>
            </w:pPr>
            <w:r w:rsidRPr="001A0491">
              <w:rPr>
                <w:spacing w:val="2"/>
                <w:sz w:val="26"/>
                <w:szCs w:val="26"/>
              </w:rPr>
              <w:t>Lý do:</w:t>
            </w:r>
          </w:p>
          <w:p w:rsidR="0093449B" w:rsidRPr="001A0491" w:rsidRDefault="0093449B" w:rsidP="001A0491">
            <w:pPr>
              <w:spacing w:before="120"/>
              <w:ind w:firstLine="346"/>
              <w:jc w:val="both"/>
              <w:rPr>
                <w:sz w:val="26"/>
                <w:szCs w:val="26"/>
              </w:rPr>
            </w:pPr>
            <w:r w:rsidRPr="001A0491">
              <w:rPr>
                <w:sz w:val="26"/>
                <w:szCs w:val="26"/>
              </w:rPr>
              <w:t>Cơ chế hậu kiểm cũng như lực lượng thực thi công vụ tại cơ quan Trung ương và địa phương cho việc kiểm tra, thanh tra, hậu kiểm đối với các ngành nghề trên còn hạn chế, thiếu về nhân lực trong khi phải thực hiện khối lượng công việc lớn trên địa bàn rộng và có nhiều địa bàn phức tạp, nhạy cảm. Trong khi các ngành nghề này là một chuỗi các quá trình, đều tác động đến con người, đạo đức xã hội, tuyên truyền phổ biến và sử dụng văn hóa, du lịch cùng các công cụ phát hành thông tin từ đơn giản đến hiện đại, là cách truyền bá nhanh nhất, đơn giản và tiết kiệm chi phí nhất để tuyên truyền, khai thác một cách có chủ đích của các chủ thể kinh doanh.</w:t>
            </w:r>
          </w:p>
          <w:p w:rsidR="0093449B" w:rsidRPr="00114567" w:rsidRDefault="0093449B" w:rsidP="001A0491">
            <w:pPr>
              <w:spacing w:before="40" w:after="40"/>
              <w:ind w:firstLine="346"/>
              <w:jc w:val="both"/>
              <w:rPr>
                <w:spacing w:val="2"/>
                <w:sz w:val="26"/>
                <w:szCs w:val="26"/>
              </w:rPr>
            </w:pPr>
            <w:r w:rsidRPr="001A0491">
              <w:rPr>
                <w:sz w:val="26"/>
                <w:szCs w:val="26"/>
              </w:rPr>
              <w:t>Do vậy, tại thời điểm hiện tại khi chưa có đánh giá tác động cụ thể nếu dỡ bỏ hoàn toàn điều kiện kinh doanh, về lợi ích nhận được và chi phí, hậu quả xã hội xảy ra (nếu có) so với chính sách hiện hành, cũng như trong khi chưa chuẩn bị được đầy đủ về cơ chế chính sách, hệ thống thực thi pháp luật, nhân lực cho việc đảm bảo quản lý được hiệu quả.</w:t>
            </w:r>
          </w:p>
        </w:tc>
        <w:tc>
          <w:tcPr>
            <w:tcW w:w="1701" w:type="dxa"/>
          </w:tcPr>
          <w:p w:rsidR="000915CE" w:rsidRDefault="0093449B" w:rsidP="00114567">
            <w:pPr>
              <w:jc w:val="center"/>
              <w:rPr>
                <w:sz w:val="26"/>
                <w:szCs w:val="26"/>
              </w:rPr>
            </w:pPr>
            <w:r>
              <w:rPr>
                <w:sz w:val="26"/>
                <w:szCs w:val="26"/>
              </w:rPr>
              <w:lastRenderedPageBreak/>
              <w:t>VHTTDL</w:t>
            </w:r>
          </w:p>
        </w:tc>
        <w:tc>
          <w:tcPr>
            <w:tcW w:w="3986" w:type="dxa"/>
          </w:tcPr>
          <w:p w:rsidR="000915CE" w:rsidRDefault="001A0491" w:rsidP="00EE7E08">
            <w:pPr>
              <w:rPr>
                <w:sz w:val="26"/>
                <w:szCs w:val="26"/>
              </w:rPr>
            </w:pPr>
            <w:r>
              <w:rPr>
                <w:spacing w:val="2"/>
                <w:sz w:val="26"/>
                <w:szCs w:val="26"/>
              </w:rPr>
              <w:t>Tiếp thu ý kiến</w:t>
            </w:r>
          </w:p>
        </w:tc>
      </w:tr>
      <w:tr w:rsidR="0093449B" w:rsidRPr="00C10014" w:rsidTr="006F2D44">
        <w:trPr>
          <w:trHeight w:val="372"/>
        </w:trPr>
        <w:tc>
          <w:tcPr>
            <w:tcW w:w="619" w:type="dxa"/>
          </w:tcPr>
          <w:p w:rsidR="0093449B" w:rsidRPr="00C10014" w:rsidRDefault="0093449B" w:rsidP="00114567">
            <w:pPr>
              <w:spacing w:before="40" w:after="40"/>
              <w:ind w:left="142"/>
              <w:jc w:val="center"/>
              <w:rPr>
                <w:sz w:val="26"/>
                <w:szCs w:val="26"/>
              </w:rPr>
            </w:pPr>
          </w:p>
        </w:tc>
        <w:tc>
          <w:tcPr>
            <w:tcW w:w="907" w:type="dxa"/>
            <w:vAlign w:val="center"/>
          </w:tcPr>
          <w:p w:rsidR="0093449B" w:rsidRPr="00C10014" w:rsidRDefault="0093449B" w:rsidP="00114567">
            <w:pPr>
              <w:spacing w:before="40" w:after="40"/>
              <w:jc w:val="center"/>
              <w:rPr>
                <w:b/>
                <w:sz w:val="26"/>
                <w:szCs w:val="26"/>
              </w:rPr>
            </w:pPr>
          </w:p>
        </w:tc>
        <w:tc>
          <w:tcPr>
            <w:tcW w:w="1276" w:type="dxa"/>
          </w:tcPr>
          <w:p w:rsidR="0093449B" w:rsidRPr="00C10014" w:rsidRDefault="0093449B" w:rsidP="00114567">
            <w:pPr>
              <w:spacing w:before="40" w:after="40"/>
              <w:jc w:val="both"/>
              <w:rPr>
                <w:spacing w:val="2"/>
                <w:sz w:val="26"/>
                <w:szCs w:val="26"/>
              </w:rPr>
            </w:pPr>
          </w:p>
        </w:tc>
        <w:tc>
          <w:tcPr>
            <w:tcW w:w="6407" w:type="dxa"/>
            <w:vAlign w:val="center"/>
          </w:tcPr>
          <w:p w:rsidR="0093449B" w:rsidRPr="001A0491" w:rsidRDefault="0093449B" w:rsidP="001A0491">
            <w:pPr>
              <w:spacing w:before="120"/>
              <w:ind w:firstLine="346"/>
              <w:jc w:val="both"/>
              <w:rPr>
                <w:sz w:val="26"/>
                <w:szCs w:val="26"/>
                <w:u w:val="single"/>
              </w:rPr>
            </w:pPr>
            <w:r w:rsidRPr="001A0491">
              <w:rPr>
                <w:sz w:val="26"/>
                <w:szCs w:val="26"/>
              </w:rPr>
              <w:t>Bãi bỏ ngành</w:t>
            </w:r>
            <w:r w:rsidRPr="001A0491">
              <w:rPr>
                <w:sz w:val="26"/>
                <w:szCs w:val="26"/>
                <w:u w:val="single"/>
              </w:rPr>
              <w:t xml:space="preserve"> “Kinh doanh dịch vụ sản xuất phim” </w:t>
            </w:r>
          </w:p>
          <w:p w:rsidR="0093449B" w:rsidRDefault="0093449B" w:rsidP="001A0491">
            <w:pPr>
              <w:spacing w:before="120"/>
              <w:ind w:firstLine="346"/>
              <w:jc w:val="both"/>
            </w:pPr>
            <w:r w:rsidRPr="001A0491">
              <w:rPr>
                <w:sz w:val="26"/>
                <w:szCs w:val="26"/>
              </w:rPr>
              <w:t>Lý do:</w:t>
            </w:r>
            <w:r w:rsidRPr="001A0491">
              <w:rPr>
                <w:sz w:val="26"/>
                <w:szCs w:val="26"/>
                <w:u w:val="single"/>
              </w:rPr>
              <w:t xml:space="preserve"> </w:t>
            </w:r>
            <w:r w:rsidRPr="001A0491">
              <w:rPr>
                <w:sz w:val="26"/>
                <w:szCs w:val="26"/>
              </w:rPr>
              <w:t>ngành nghề này đã có Luật Điện ảnh và Nghị định hướng dẫn hiện hành quy định các biện pháp quản lý khá chặt chẽ để thực thi pháp luật</w:t>
            </w:r>
          </w:p>
        </w:tc>
        <w:tc>
          <w:tcPr>
            <w:tcW w:w="1701" w:type="dxa"/>
          </w:tcPr>
          <w:p w:rsidR="0093449B" w:rsidRDefault="0093449B" w:rsidP="00114567">
            <w:pPr>
              <w:jc w:val="center"/>
              <w:rPr>
                <w:sz w:val="26"/>
                <w:szCs w:val="26"/>
              </w:rPr>
            </w:pPr>
            <w:r>
              <w:rPr>
                <w:sz w:val="26"/>
                <w:szCs w:val="26"/>
              </w:rPr>
              <w:t>VHTTDL</w:t>
            </w:r>
          </w:p>
        </w:tc>
        <w:tc>
          <w:tcPr>
            <w:tcW w:w="3986" w:type="dxa"/>
          </w:tcPr>
          <w:p w:rsidR="0093449B" w:rsidRDefault="00CC2D97" w:rsidP="00EE7E08">
            <w:pPr>
              <w:rPr>
                <w:sz w:val="26"/>
                <w:szCs w:val="26"/>
              </w:rPr>
            </w:pPr>
            <w:r>
              <w:rPr>
                <w:spacing w:val="2"/>
                <w:sz w:val="26"/>
                <w:szCs w:val="26"/>
              </w:rPr>
              <w:t>Tiếp thu ý kiến</w:t>
            </w:r>
          </w:p>
        </w:tc>
      </w:tr>
      <w:tr w:rsidR="0093449B" w:rsidRPr="00C10014" w:rsidTr="006F2D44">
        <w:trPr>
          <w:trHeight w:val="372"/>
        </w:trPr>
        <w:tc>
          <w:tcPr>
            <w:tcW w:w="619" w:type="dxa"/>
          </w:tcPr>
          <w:p w:rsidR="0093449B" w:rsidRPr="00C10014" w:rsidRDefault="0093449B" w:rsidP="00114567">
            <w:pPr>
              <w:spacing w:before="40" w:after="40"/>
              <w:ind w:left="142"/>
              <w:jc w:val="center"/>
              <w:rPr>
                <w:sz w:val="26"/>
                <w:szCs w:val="26"/>
              </w:rPr>
            </w:pPr>
          </w:p>
        </w:tc>
        <w:tc>
          <w:tcPr>
            <w:tcW w:w="907" w:type="dxa"/>
            <w:vAlign w:val="center"/>
          </w:tcPr>
          <w:p w:rsidR="0093449B" w:rsidRPr="00C10014" w:rsidRDefault="0093449B" w:rsidP="00114567">
            <w:pPr>
              <w:spacing w:before="40" w:after="40"/>
              <w:jc w:val="center"/>
              <w:rPr>
                <w:b/>
                <w:sz w:val="26"/>
                <w:szCs w:val="26"/>
              </w:rPr>
            </w:pPr>
          </w:p>
        </w:tc>
        <w:tc>
          <w:tcPr>
            <w:tcW w:w="1276" w:type="dxa"/>
          </w:tcPr>
          <w:p w:rsidR="0093449B" w:rsidRPr="00C10014" w:rsidRDefault="0093449B" w:rsidP="00114567">
            <w:pPr>
              <w:spacing w:before="40" w:after="40"/>
              <w:jc w:val="both"/>
              <w:rPr>
                <w:spacing w:val="2"/>
                <w:sz w:val="26"/>
                <w:szCs w:val="26"/>
              </w:rPr>
            </w:pPr>
          </w:p>
        </w:tc>
        <w:tc>
          <w:tcPr>
            <w:tcW w:w="6407" w:type="dxa"/>
            <w:vAlign w:val="center"/>
          </w:tcPr>
          <w:p w:rsidR="0093449B" w:rsidRPr="001A0491" w:rsidRDefault="0093449B" w:rsidP="001A0491">
            <w:pPr>
              <w:spacing w:before="120"/>
              <w:ind w:firstLine="204"/>
              <w:jc w:val="both"/>
              <w:rPr>
                <w:sz w:val="26"/>
                <w:szCs w:val="26"/>
              </w:rPr>
            </w:pPr>
            <w:r w:rsidRPr="001A0491">
              <w:rPr>
                <w:sz w:val="26"/>
                <w:szCs w:val="26"/>
              </w:rPr>
              <w:t>Bổ sung ngành nghề “</w:t>
            </w:r>
            <w:r w:rsidRPr="001A0491">
              <w:rPr>
                <w:i/>
                <w:sz w:val="26"/>
                <w:szCs w:val="26"/>
              </w:rPr>
              <w:t>tư vấn lập quy hoạch lâm nghiệp</w:t>
            </w:r>
            <w:r w:rsidRPr="001A0491">
              <w:rPr>
                <w:sz w:val="26"/>
                <w:szCs w:val="26"/>
              </w:rPr>
              <w:t>” để phù hợp với Luật Lâm nghiệp vừa được Quốc</w:t>
            </w:r>
            <w:r w:rsidR="001A0491">
              <w:rPr>
                <w:sz w:val="26"/>
                <w:szCs w:val="26"/>
              </w:rPr>
              <w:t xml:space="preserve"> hội thông qua ngày 15/11/2017</w:t>
            </w:r>
          </w:p>
        </w:tc>
        <w:tc>
          <w:tcPr>
            <w:tcW w:w="1701" w:type="dxa"/>
          </w:tcPr>
          <w:p w:rsidR="0093449B" w:rsidRDefault="0093449B" w:rsidP="00114567">
            <w:pPr>
              <w:jc w:val="center"/>
              <w:rPr>
                <w:sz w:val="26"/>
                <w:szCs w:val="26"/>
              </w:rPr>
            </w:pPr>
            <w:r>
              <w:rPr>
                <w:sz w:val="26"/>
                <w:szCs w:val="26"/>
              </w:rPr>
              <w:t>Bộ NNPTNT</w:t>
            </w:r>
          </w:p>
        </w:tc>
        <w:tc>
          <w:tcPr>
            <w:tcW w:w="3986" w:type="dxa"/>
          </w:tcPr>
          <w:p w:rsidR="0093449B" w:rsidRDefault="00CC2D97" w:rsidP="00EE7E08">
            <w:pPr>
              <w:rPr>
                <w:sz w:val="26"/>
                <w:szCs w:val="26"/>
              </w:rPr>
            </w:pPr>
            <w:r>
              <w:rPr>
                <w:spacing w:val="2"/>
                <w:sz w:val="26"/>
                <w:szCs w:val="26"/>
              </w:rPr>
              <w:t>Tiếp thu ý kiến</w:t>
            </w:r>
          </w:p>
        </w:tc>
      </w:tr>
      <w:tr w:rsidR="0093449B" w:rsidRPr="00C10014" w:rsidTr="006F2D44">
        <w:trPr>
          <w:trHeight w:val="372"/>
        </w:trPr>
        <w:tc>
          <w:tcPr>
            <w:tcW w:w="619" w:type="dxa"/>
          </w:tcPr>
          <w:p w:rsidR="0093449B" w:rsidRPr="00C10014" w:rsidRDefault="0093449B" w:rsidP="00114567">
            <w:pPr>
              <w:spacing w:before="40" w:after="40"/>
              <w:ind w:left="142"/>
              <w:jc w:val="center"/>
              <w:rPr>
                <w:sz w:val="26"/>
                <w:szCs w:val="26"/>
              </w:rPr>
            </w:pPr>
          </w:p>
        </w:tc>
        <w:tc>
          <w:tcPr>
            <w:tcW w:w="907" w:type="dxa"/>
            <w:vAlign w:val="center"/>
          </w:tcPr>
          <w:p w:rsidR="0093449B" w:rsidRPr="00C10014" w:rsidRDefault="0093449B" w:rsidP="00114567">
            <w:pPr>
              <w:spacing w:before="40" w:after="40"/>
              <w:jc w:val="center"/>
              <w:rPr>
                <w:b/>
                <w:sz w:val="26"/>
                <w:szCs w:val="26"/>
              </w:rPr>
            </w:pPr>
          </w:p>
        </w:tc>
        <w:tc>
          <w:tcPr>
            <w:tcW w:w="1276" w:type="dxa"/>
          </w:tcPr>
          <w:p w:rsidR="0093449B" w:rsidRPr="00C10014" w:rsidRDefault="0093449B" w:rsidP="00114567">
            <w:pPr>
              <w:spacing w:before="40" w:after="40"/>
              <w:jc w:val="both"/>
              <w:rPr>
                <w:spacing w:val="2"/>
                <w:sz w:val="26"/>
                <w:szCs w:val="26"/>
              </w:rPr>
            </w:pPr>
          </w:p>
        </w:tc>
        <w:tc>
          <w:tcPr>
            <w:tcW w:w="6407" w:type="dxa"/>
            <w:vAlign w:val="center"/>
          </w:tcPr>
          <w:p w:rsidR="0093449B" w:rsidRPr="001A0491" w:rsidRDefault="0093449B" w:rsidP="001A0491">
            <w:pPr>
              <w:spacing w:before="120"/>
              <w:ind w:firstLine="204"/>
              <w:jc w:val="both"/>
              <w:rPr>
                <w:sz w:val="26"/>
                <w:szCs w:val="26"/>
              </w:rPr>
            </w:pPr>
            <w:r w:rsidRPr="001A0491">
              <w:rPr>
                <w:sz w:val="26"/>
                <w:szCs w:val="26"/>
              </w:rPr>
              <w:t>Bổ sung ngành nghề “</w:t>
            </w:r>
            <w:r w:rsidRPr="001A0491">
              <w:rPr>
                <w:i/>
                <w:sz w:val="26"/>
                <w:szCs w:val="26"/>
              </w:rPr>
              <w:t>đăng kiểm tàu cá</w:t>
            </w:r>
            <w:r w:rsidRPr="001A0491">
              <w:rPr>
                <w:sz w:val="26"/>
                <w:szCs w:val="26"/>
              </w:rPr>
              <w:t>” để phù hợp với Luật Thủy sản dự kiến được Quốc hội thông qua vào ngày 21/11/2017</w:t>
            </w:r>
          </w:p>
        </w:tc>
        <w:tc>
          <w:tcPr>
            <w:tcW w:w="1701" w:type="dxa"/>
          </w:tcPr>
          <w:p w:rsidR="0093449B" w:rsidRDefault="0093449B" w:rsidP="00114567">
            <w:pPr>
              <w:jc w:val="center"/>
              <w:rPr>
                <w:sz w:val="26"/>
                <w:szCs w:val="26"/>
              </w:rPr>
            </w:pPr>
            <w:r>
              <w:rPr>
                <w:sz w:val="26"/>
                <w:szCs w:val="26"/>
              </w:rPr>
              <w:t>BNPTNT</w:t>
            </w:r>
          </w:p>
        </w:tc>
        <w:tc>
          <w:tcPr>
            <w:tcW w:w="3986" w:type="dxa"/>
          </w:tcPr>
          <w:p w:rsidR="0093449B" w:rsidRDefault="00CC2D97" w:rsidP="00EE7E08">
            <w:pPr>
              <w:rPr>
                <w:sz w:val="26"/>
                <w:szCs w:val="26"/>
              </w:rPr>
            </w:pPr>
            <w:r>
              <w:rPr>
                <w:spacing w:val="2"/>
                <w:sz w:val="26"/>
                <w:szCs w:val="26"/>
              </w:rPr>
              <w:t>Tiếp thu ý kiến</w:t>
            </w:r>
          </w:p>
        </w:tc>
      </w:tr>
      <w:tr w:rsidR="000915CE" w:rsidRPr="00C10014" w:rsidTr="006F2D44">
        <w:trPr>
          <w:trHeight w:val="372"/>
        </w:trPr>
        <w:tc>
          <w:tcPr>
            <w:tcW w:w="619" w:type="dxa"/>
            <w:shd w:val="clear" w:color="auto" w:fill="FFF2CC"/>
          </w:tcPr>
          <w:p w:rsidR="000915CE" w:rsidRPr="00C10014" w:rsidRDefault="000915CE" w:rsidP="001A55C7">
            <w:pPr>
              <w:spacing w:before="40" w:after="40"/>
              <w:ind w:left="142"/>
              <w:jc w:val="center"/>
              <w:rPr>
                <w:sz w:val="26"/>
                <w:szCs w:val="26"/>
              </w:rPr>
            </w:pPr>
            <w:r w:rsidRPr="00C10014">
              <w:rPr>
                <w:sz w:val="26"/>
                <w:szCs w:val="26"/>
              </w:rPr>
              <w:t>2</w:t>
            </w:r>
          </w:p>
        </w:tc>
        <w:tc>
          <w:tcPr>
            <w:tcW w:w="10291" w:type="dxa"/>
            <w:gridSpan w:val="4"/>
            <w:shd w:val="clear" w:color="auto" w:fill="FFF2CC"/>
          </w:tcPr>
          <w:p w:rsidR="000915CE" w:rsidRPr="00C10014" w:rsidRDefault="000915CE" w:rsidP="00A6359A">
            <w:pPr>
              <w:jc w:val="center"/>
              <w:rPr>
                <w:sz w:val="26"/>
                <w:szCs w:val="26"/>
              </w:rPr>
            </w:pPr>
            <w:r w:rsidRPr="00C10014">
              <w:rPr>
                <w:b/>
                <w:sz w:val="26"/>
                <w:szCs w:val="26"/>
              </w:rPr>
              <w:t>Luật Doanh nghiệp</w:t>
            </w:r>
          </w:p>
        </w:tc>
        <w:tc>
          <w:tcPr>
            <w:tcW w:w="3986" w:type="dxa"/>
            <w:shd w:val="clear" w:color="auto" w:fill="FFF2CC"/>
          </w:tcPr>
          <w:p w:rsidR="000915CE" w:rsidRPr="00C10014" w:rsidRDefault="000915CE" w:rsidP="00A6359A">
            <w:pPr>
              <w:jc w:val="center"/>
              <w:rPr>
                <w:b/>
                <w:sz w:val="26"/>
                <w:szCs w:val="26"/>
              </w:rPr>
            </w:pPr>
          </w:p>
        </w:tc>
      </w:tr>
      <w:tr w:rsidR="00242CEA" w:rsidRPr="00C10014" w:rsidTr="006C2B5C">
        <w:trPr>
          <w:trHeight w:val="372"/>
        </w:trPr>
        <w:tc>
          <w:tcPr>
            <w:tcW w:w="619" w:type="dxa"/>
          </w:tcPr>
          <w:p w:rsidR="00242CEA" w:rsidRPr="00C10014" w:rsidRDefault="00242CEA" w:rsidP="001A55C7">
            <w:pPr>
              <w:spacing w:before="40" w:after="40"/>
              <w:ind w:left="142"/>
              <w:jc w:val="center"/>
              <w:rPr>
                <w:sz w:val="26"/>
                <w:szCs w:val="26"/>
              </w:rPr>
            </w:pPr>
          </w:p>
        </w:tc>
        <w:tc>
          <w:tcPr>
            <w:tcW w:w="907" w:type="dxa"/>
            <w:vAlign w:val="center"/>
          </w:tcPr>
          <w:p w:rsidR="00242CEA" w:rsidRPr="00C10014" w:rsidRDefault="00242CEA" w:rsidP="001A55C7">
            <w:pPr>
              <w:spacing w:before="40" w:after="40"/>
              <w:jc w:val="center"/>
              <w:rPr>
                <w:b/>
                <w:sz w:val="26"/>
                <w:szCs w:val="26"/>
              </w:rPr>
            </w:pPr>
          </w:p>
        </w:tc>
        <w:tc>
          <w:tcPr>
            <w:tcW w:w="1276" w:type="dxa"/>
          </w:tcPr>
          <w:p w:rsidR="00242CEA" w:rsidRDefault="00242CEA" w:rsidP="001A55C7">
            <w:pPr>
              <w:widowControl w:val="0"/>
              <w:spacing w:before="120" w:line="264" w:lineRule="auto"/>
              <w:jc w:val="both"/>
              <w:rPr>
                <w:sz w:val="26"/>
                <w:szCs w:val="26"/>
              </w:rPr>
            </w:pPr>
            <w:r w:rsidRPr="00B51B13">
              <w:rPr>
                <w:spacing w:val="-2"/>
                <w:sz w:val="28"/>
                <w:szCs w:val="28"/>
                <w:lang w:val="nl-NL"/>
              </w:rPr>
              <w:t>Khoản 16 Điều 4</w:t>
            </w:r>
          </w:p>
        </w:tc>
        <w:tc>
          <w:tcPr>
            <w:tcW w:w="6407" w:type="dxa"/>
          </w:tcPr>
          <w:p w:rsidR="00242CEA" w:rsidRPr="00CC2D97" w:rsidRDefault="00242CEA" w:rsidP="00CC2D97">
            <w:pPr>
              <w:spacing w:before="120"/>
              <w:ind w:firstLine="204"/>
              <w:jc w:val="both"/>
              <w:rPr>
                <w:sz w:val="26"/>
                <w:szCs w:val="26"/>
              </w:rPr>
            </w:pPr>
            <w:r w:rsidRPr="00CC2D97">
              <w:rPr>
                <w:sz w:val="26"/>
                <w:szCs w:val="26"/>
              </w:rPr>
              <w:t>Làm rõ khái niệm “kinh doanh” tại Luật doanh nghiệp.</w:t>
            </w:r>
          </w:p>
          <w:p w:rsidR="00242CEA" w:rsidRDefault="00242CEA" w:rsidP="00CC2D97">
            <w:pPr>
              <w:spacing w:before="120"/>
              <w:ind w:firstLine="204"/>
              <w:jc w:val="both"/>
              <w:rPr>
                <w:sz w:val="26"/>
                <w:szCs w:val="26"/>
              </w:rPr>
            </w:pPr>
            <w:r w:rsidRPr="00CC2D97">
              <w:rPr>
                <w:sz w:val="26"/>
                <w:szCs w:val="26"/>
              </w:rPr>
              <w:t xml:space="preserve">Lý do: trong quá trình triển khai, một vướng mắc phát sinh liên quan đến việc đánh giá tính “liên tục” của hành vi để xác định tính chất kinh doanh hay giao dịch dân sự thông thường. </w:t>
            </w:r>
          </w:p>
        </w:tc>
        <w:tc>
          <w:tcPr>
            <w:tcW w:w="1701" w:type="dxa"/>
          </w:tcPr>
          <w:p w:rsidR="00242CEA" w:rsidRDefault="00242CEA" w:rsidP="00A6359A">
            <w:pPr>
              <w:jc w:val="center"/>
              <w:rPr>
                <w:sz w:val="26"/>
                <w:szCs w:val="26"/>
              </w:rPr>
            </w:pPr>
            <w:r>
              <w:rPr>
                <w:sz w:val="26"/>
                <w:szCs w:val="26"/>
              </w:rPr>
              <w:t>NHNN</w:t>
            </w:r>
          </w:p>
        </w:tc>
        <w:tc>
          <w:tcPr>
            <w:tcW w:w="3986" w:type="dxa"/>
          </w:tcPr>
          <w:p w:rsidR="00242CEA" w:rsidRDefault="00CC2D97" w:rsidP="00E95CB2">
            <w:pPr>
              <w:jc w:val="both"/>
              <w:rPr>
                <w:sz w:val="26"/>
                <w:szCs w:val="26"/>
              </w:rPr>
            </w:pPr>
            <w:r>
              <w:rPr>
                <w:sz w:val="26"/>
                <w:szCs w:val="26"/>
              </w:rPr>
              <w:t>Tiếp thu ý kiến, sửa đổi khái niệm này và chuyển sang quy định tại Luật Đầu tư.</w:t>
            </w:r>
          </w:p>
        </w:tc>
      </w:tr>
      <w:tr w:rsidR="00242CEA" w:rsidRPr="00C10014" w:rsidTr="006C2B5C">
        <w:trPr>
          <w:trHeight w:val="372"/>
        </w:trPr>
        <w:tc>
          <w:tcPr>
            <w:tcW w:w="619" w:type="dxa"/>
          </w:tcPr>
          <w:p w:rsidR="00242CEA" w:rsidRPr="00C10014" w:rsidRDefault="00242CEA" w:rsidP="001A55C7">
            <w:pPr>
              <w:spacing w:before="40" w:after="40"/>
              <w:ind w:left="142"/>
              <w:jc w:val="center"/>
              <w:rPr>
                <w:sz w:val="26"/>
                <w:szCs w:val="26"/>
              </w:rPr>
            </w:pPr>
          </w:p>
        </w:tc>
        <w:tc>
          <w:tcPr>
            <w:tcW w:w="907" w:type="dxa"/>
            <w:vAlign w:val="center"/>
          </w:tcPr>
          <w:p w:rsidR="00242CEA" w:rsidRPr="00C10014" w:rsidRDefault="00242CEA" w:rsidP="001A55C7">
            <w:pPr>
              <w:spacing w:before="40" w:after="40"/>
              <w:jc w:val="center"/>
              <w:rPr>
                <w:b/>
                <w:sz w:val="26"/>
                <w:szCs w:val="26"/>
              </w:rPr>
            </w:pPr>
          </w:p>
        </w:tc>
        <w:tc>
          <w:tcPr>
            <w:tcW w:w="1276" w:type="dxa"/>
          </w:tcPr>
          <w:p w:rsidR="00242CEA" w:rsidRDefault="00242CEA" w:rsidP="001A55C7">
            <w:pPr>
              <w:widowControl w:val="0"/>
              <w:spacing w:before="120" w:line="264" w:lineRule="auto"/>
              <w:jc w:val="both"/>
              <w:rPr>
                <w:sz w:val="26"/>
                <w:szCs w:val="26"/>
              </w:rPr>
            </w:pPr>
            <w:r>
              <w:rPr>
                <w:sz w:val="26"/>
                <w:szCs w:val="26"/>
              </w:rPr>
              <w:t>Khoản 3 Điều 7</w:t>
            </w:r>
          </w:p>
        </w:tc>
        <w:tc>
          <w:tcPr>
            <w:tcW w:w="6407" w:type="dxa"/>
          </w:tcPr>
          <w:p w:rsidR="00242CEA" w:rsidRPr="00CC2D97" w:rsidRDefault="00242CEA" w:rsidP="009A1647">
            <w:pPr>
              <w:tabs>
                <w:tab w:val="left" w:pos="567"/>
              </w:tabs>
              <w:spacing w:before="120" w:after="120" w:line="288" w:lineRule="auto"/>
              <w:ind w:right="34" w:firstLine="346"/>
              <w:jc w:val="both"/>
              <w:rPr>
                <w:sz w:val="26"/>
                <w:szCs w:val="26"/>
                <w:lang w:val="nl-NL"/>
              </w:rPr>
            </w:pPr>
            <w:r w:rsidRPr="00CC2D97">
              <w:rPr>
                <w:sz w:val="26"/>
                <w:szCs w:val="26"/>
                <w:lang w:val="nl-NL"/>
              </w:rPr>
              <w:t>Sửa theo hướng doanh nghiệp có quyền “</w:t>
            </w:r>
            <w:r w:rsidRPr="00CC2D97">
              <w:rPr>
                <w:i/>
                <w:sz w:val="26"/>
                <w:szCs w:val="26"/>
              </w:rPr>
              <w:t>Lựa chọn hình thức, phương thức huy động, phân bổ và sử dụng vốn</w:t>
            </w:r>
            <w:r w:rsidRPr="00CC2D97">
              <w:rPr>
                <w:i/>
                <w:sz w:val="26"/>
                <w:szCs w:val="26"/>
                <w:lang w:val="nl-NL"/>
              </w:rPr>
              <w:t xml:space="preserve"> </w:t>
            </w:r>
            <w:r w:rsidRPr="00CC2D97">
              <w:rPr>
                <w:b/>
                <w:i/>
                <w:sz w:val="26"/>
                <w:szCs w:val="26"/>
                <w:lang w:val="nl-NL"/>
              </w:rPr>
              <w:t>không trái với các quy định của pháp luật</w:t>
            </w:r>
            <w:r w:rsidRPr="00CC2D97">
              <w:rPr>
                <w:i/>
                <w:sz w:val="26"/>
                <w:szCs w:val="26"/>
              </w:rPr>
              <w:t>.</w:t>
            </w:r>
            <w:r w:rsidRPr="00CC2D97">
              <w:rPr>
                <w:sz w:val="26"/>
                <w:szCs w:val="26"/>
                <w:lang w:val="nl-NL"/>
              </w:rPr>
              <w:t xml:space="preserve">” </w:t>
            </w:r>
          </w:p>
          <w:p w:rsidR="00242CEA" w:rsidRDefault="00242CEA" w:rsidP="009A1647">
            <w:pPr>
              <w:spacing w:before="120" w:after="120" w:line="288" w:lineRule="auto"/>
              <w:ind w:right="34" w:firstLine="346"/>
              <w:jc w:val="both"/>
              <w:rPr>
                <w:sz w:val="26"/>
                <w:szCs w:val="26"/>
              </w:rPr>
            </w:pPr>
            <w:r w:rsidRPr="00CC2D97">
              <w:rPr>
                <w:spacing w:val="-2"/>
                <w:sz w:val="26"/>
                <w:szCs w:val="26"/>
                <w:lang w:val="nl-NL"/>
              </w:rPr>
              <w:t xml:space="preserve">Việc bổ sung nội dung ràng buộc quyền huy động, sử dụng vốn của doanh nghiệp </w:t>
            </w:r>
            <w:r w:rsidRPr="00CC2D97">
              <w:rPr>
                <w:b/>
                <w:i/>
                <w:spacing w:val="-2"/>
                <w:sz w:val="26"/>
                <w:szCs w:val="26"/>
                <w:lang w:val="nl-NL"/>
              </w:rPr>
              <w:t>không trái với các quy định của pháp luật</w:t>
            </w:r>
            <w:r w:rsidRPr="00CC2D97">
              <w:rPr>
                <w:i/>
                <w:spacing w:val="-2"/>
                <w:sz w:val="26"/>
                <w:szCs w:val="26"/>
                <w:lang w:val="nl-NL"/>
              </w:rPr>
              <w:t xml:space="preserve"> </w:t>
            </w:r>
            <w:r w:rsidRPr="00CC2D97">
              <w:rPr>
                <w:b/>
                <w:spacing w:val="-2"/>
                <w:sz w:val="26"/>
                <w:szCs w:val="26"/>
                <w:lang w:val="nl-NL"/>
              </w:rPr>
              <w:t xml:space="preserve"> </w:t>
            </w:r>
            <w:r w:rsidRPr="00CC2D97">
              <w:rPr>
                <w:spacing w:val="-2"/>
                <w:sz w:val="26"/>
                <w:szCs w:val="26"/>
                <w:lang w:val="nl-NL"/>
              </w:rPr>
              <w:t>là cần thiết, một mặt tạo cơ sở pháp lý cho NHNN triển khai chỉ đạo của Thủ tướng Chính phủ về việc giám sát mức vay nước ngoài của doanh nghiệp và duy trì các chỉ tiêu an toàn nợ nước ngoài của quốc gia đã được Quốc hội phê duyệt; mặt khác góp phần tạo khung pháp lý đảm bảo doanh nghiệp sử dụng các kênh huy động vốn hợp pháp (tránh các trường hợp sử dụng các nguồn vốn không hợp pháp như vay nặng lãi, sử dụng bitcoin,…)</w:t>
            </w:r>
          </w:p>
        </w:tc>
        <w:tc>
          <w:tcPr>
            <w:tcW w:w="1701" w:type="dxa"/>
          </w:tcPr>
          <w:p w:rsidR="00242CEA" w:rsidRDefault="00242CEA" w:rsidP="00A6359A">
            <w:pPr>
              <w:jc w:val="center"/>
              <w:rPr>
                <w:sz w:val="26"/>
                <w:szCs w:val="26"/>
              </w:rPr>
            </w:pPr>
            <w:r>
              <w:rPr>
                <w:sz w:val="26"/>
                <w:szCs w:val="26"/>
              </w:rPr>
              <w:t>NHNN</w:t>
            </w:r>
          </w:p>
        </w:tc>
        <w:tc>
          <w:tcPr>
            <w:tcW w:w="3986" w:type="dxa"/>
          </w:tcPr>
          <w:p w:rsidR="00242CEA" w:rsidRDefault="009A1647" w:rsidP="00E95CB2">
            <w:pPr>
              <w:jc w:val="both"/>
              <w:rPr>
                <w:sz w:val="26"/>
                <w:szCs w:val="26"/>
              </w:rPr>
            </w:pPr>
            <w:r>
              <w:rPr>
                <w:sz w:val="26"/>
                <w:szCs w:val="26"/>
              </w:rPr>
              <w:t xml:space="preserve">Tiếp tục trao đổi cụ thể trong quá trình soạn thảo, hoàn thiện Dự </w:t>
            </w:r>
            <w:proofErr w:type="gramStart"/>
            <w:r>
              <w:rPr>
                <w:sz w:val="26"/>
                <w:szCs w:val="26"/>
              </w:rPr>
              <w:t>án</w:t>
            </w:r>
            <w:proofErr w:type="gramEnd"/>
            <w:r>
              <w:rPr>
                <w:sz w:val="26"/>
                <w:szCs w:val="26"/>
              </w:rPr>
              <w:t xml:space="preserve"> Luật.</w:t>
            </w:r>
          </w:p>
        </w:tc>
      </w:tr>
      <w:tr w:rsidR="000915CE" w:rsidRPr="00C10014" w:rsidTr="006C2B5C">
        <w:trPr>
          <w:trHeight w:val="372"/>
        </w:trPr>
        <w:tc>
          <w:tcPr>
            <w:tcW w:w="619" w:type="dxa"/>
          </w:tcPr>
          <w:p w:rsidR="000915CE" w:rsidRPr="00C10014" w:rsidRDefault="000915CE" w:rsidP="001A55C7">
            <w:pPr>
              <w:spacing w:before="40" w:after="40"/>
              <w:ind w:left="142"/>
              <w:jc w:val="center"/>
              <w:rPr>
                <w:sz w:val="26"/>
                <w:szCs w:val="26"/>
              </w:rPr>
            </w:pPr>
          </w:p>
        </w:tc>
        <w:tc>
          <w:tcPr>
            <w:tcW w:w="907" w:type="dxa"/>
            <w:vAlign w:val="center"/>
          </w:tcPr>
          <w:p w:rsidR="000915CE" w:rsidRPr="00C10014" w:rsidRDefault="000915CE" w:rsidP="001A55C7">
            <w:pPr>
              <w:spacing w:before="40" w:after="40"/>
              <w:jc w:val="center"/>
              <w:rPr>
                <w:b/>
                <w:sz w:val="26"/>
                <w:szCs w:val="26"/>
              </w:rPr>
            </w:pPr>
          </w:p>
        </w:tc>
        <w:tc>
          <w:tcPr>
            <w:tcW w:w="1276" w:type="dxa"/>
          </w:tcPr>
          <w:p w:rsidR="000915CE" w:rsidRPr="00C10014" w:rsidRDefault="00CF75C4" w:rsidP="001A55C7">
            <w:pPr>
              <w:widowControl w:val="0"/>
              <w:spacing w:before="120" w:line="264" w:lineRule="auto"/>
              <w:jc w:val="both"/>
              <w:rPr>
                <w:sz w:val="26"/>
                <w:szCs w:val="26"/>
              </w:rPr>
            </w:pPr>
            <w:r>
              <w:rPr>
                <w:sz w:val="26"/>
                <w:szCs w:val="26"/>
              </w:rPr>
              <w:t>Khoản 2 Điều 35</w:t>
            </w:r>
          </w:p>
        </w:tc>
        <w:tc>
          <w:tcPr>
            <w:tcW w:w="6407" w:type="dxa"/>
          </w:tcPr>
          <w:p w:rsidR="000915CE" w:rsidRDefault="006C2B5C" w:rsidP="006C2B5C">
            <w:pPr>
              <w:widowControl w:val="0"/>
              <w:spacing w:before="120" w:line="264" w:lineRule="auto"/>
              <w:ind w:firstLine="346"/>
              <w:jc w:val="both"/>
              <w:rPr>
                <w:sz w:val="26"/>
                <w:szCs w:val="26"/>
              </w:rPr>
            </w:pPr>
            <w:r>
              <w:rPr>
                <w:sz w:val="26"/>
                <w:szCs w:val="26"/>
              </w:rPr>
              <w:t>Bổ sung vào Khoản 2 Điều 35 nội dung:</w:t>
            </w:r>
          </w:p>
          <w:p w:rsidR="006C2B5C" w:rsidRPr="00C10014" w:rsidRDefault="006C2B5C" w:rsidP="006C2B5C">
            <w:pPr>
              <w:widowControl w:val="0"/>
              <w:spacing w:before="120" w:line="264" w:lineRule="auto"/>
              <w:ind w:firstLine="346"/>
              <w:jc w:val="both"/>
              <w:rPr>
                <w:sz w:val="26"/>
                <w:szCs w:val="26"/>
              </w:rPr>
            </w:pPr>
            <w:r w:rsidRPr="006C2B5C">
              <w:rPr>
                <w:sz w:val="26"/>
              </w:rPr>
              <w:t>“</w:t>
            </w:r>
            <w:r w:rsidRPr="006C2B5C">
              <w:rPr>
                <w:i/>
                <w:sz w:val="26"/>
              </w:rPr>
              <w:t>C</w:t>
            </w:r>
            <w:r w:rsidRPr="006C2B5C">
              <w:rPr>
                <w:i/>
                <w:sz w:val="26"/>
                <w:lang w:val="vi-VN"/>
              </w:rPr>
              <w:t xml:space="preserve">ác kết quả nghiên cứu từ việc thực hiện nhiệm vụ khoa học và công nghệ </w:t>
            </w:r>
            <w:r w:rsidRPr="006C2B5C">
              <w:rPr>
                <w:i/>
                <w:sz w:val="26"/>
              </w:rPr>
              <w:t>có sử dụng</w:t>
            </w:r>
            <w:r w:rsidRPr="006C2B5C">
              <w:rPr>
                <w:i/>
                <w:sz w:val="26"/>
                <w:lang w:val="vi-VN"/>
              </w:rPr>
              <w:t xml:space="preserve"> ngân sách nhà nước </w:t>
            </w:r>
            <w:r w:rsidRPr="006C2B5C">
              <w:rPr>
                <w:i/>
                <w:sz w:val="26"/>
              </w:rPr>
              <w:t>được sử dụng để</w:t>
            </w:r>
            <w:r w:rsidRPr="006C2B5C">
              <w:rPr>
                <w:i/>
                <w:sz w:val="26"/>
                <w:lang w:val="vi-VN"/>
              </w:rPr>
              <w:t xml:space="preserve"> góp vốn thành lập doanh nghiệp khi cá nhân, tổ chức có quyền sử dụng các </w:t>
            </w:r>
            <w:r w:rsidRPr="006C2B5C">
              <w:rPr>
                <w:i/>
                <w:sz w:val="26"/>
              </w:rPr>
              <w:t>kết quả</w:t>
            </w:r>
            <w:r w:rsidRPr="006C2B5C">
              <w:rPr>
                <w:i/>
                <w:sz w:val="26"/>
                <w:lang w:val="vi-VN"/>
              </w:rPr>
              <w:t xml:space="preserve"> đó</w:t>
            </w:r>
            <w:r w:rsidRPr="006C2B5C">
              <w:rPr>
                <w:sz w:val="26"/>
              </w:rPr>
              <w:t>”</w:t>
            </w:r>
            <w:r w:rsidRPr="006C2B5C">
              <w:rPr>
                <w:sz w:val="26"/>
                <w:lang w:val="vi-VN"/>
              </w:rPr>
              <w:t>.</w:t>
            </w:r>
          </w:p>
        </w:tc>
        <w:tc>
          <w:tcPr>
            <w:tcW w:w="1701" w:type="dxa"/>
          </w:tcPr>
          <w:p w:rsidR="000915CE" w:rsidRPr="00C10014" w:rsidRDefault="006C2B5C" w:rsidP="00A6359A">
            <w:pPr>
              <w:jc w:val="center"/>
              <w:rPr>
                <w:sz w:val="26"/>
                <w:szCs w:val="26"/>
              </w:rPr>
            </w:pPr>
            <w:r>
              <w:rPr>
                <w:sz w:val="26"/>
                <w:szCs w:val="26"/>
              </w:rPr>
              <w:t>Bộ KH&amp;CN</w:t>
            </w:r>
          </w:p>
        </w:tc>
        <w:tc>
          <w:tcPr>
            <w:tcW w:w="3986" w:type="dxa"/>
          </w:tcPr>
          <w:p w:rsidR="000915CE" w:rsidRPr="00C10014" w:rsidRDefault="00E95CB2" w:rsidP="00E95CB2">
            <w:pPr>
              <w:jc w:val="both"/>
              <w:rPr>
                <w:sz w:val="26"/>
                <w:szCs w:val="26"/>
              </w:rPr>
            </w:pPr>
            <w:r>
              <w:rPr>
                <w:sz w:val="26"/>
                <w:szCs w:val="26"/>
              </w:rPr>
              <w:t xml:space="preserve">Không tiếp thu vì nội dung đề xuất không thuộc phạm vi điều chỉnh của Luật Doanh nghiệp. </w:t>
            </w:r>
          </w:p>
        </w:tc>
      </w:tr>
      <w:tr w:rsidR="00242CEA" w:rsidRPr="00C10014" w:rsidTr="006F2D44">
        <w:trPr>
          <w:trHeight w:val="372"/>
        </w:trPr>
        <w:tc>
          <w:tcPr>
            <w:tcW w:w="619" w:type="dxa"/>
          </w:tcPr>
          <w:p w:rsidR="00242CEA" w:rsidRPr="00C10014" w:rsidRDefault="00242CEA" w:rsidP="00AE5EB8">
            <w:pPr>
              <w:spacing w:before="40" w:after="40"/>
              <w:ind w:left="142"/>
              <w:jc w:val="center"/>
              <w:rPr>
                <w:sz w:val="26"/>
                <w:szCs w:val="26"/>
              </w:rPr>
            </w:pPr>
          </w:p>
        </w:tc>
        <w:tc>
          <w:tcPr>
            <w:tcW w:w="907" w:type="dxa"/>
            <w:vAlign w:val="center"/>
          </w:tcPr>
          <w:p w:rsidR="00242CEA" w:rsidRPr="00C10014" w:rsidRDefault="00242CEA" w:rsidP="00AE5EB8">
            <w:pPr>
              <w:spacing w:before="40" w:after="40"/>
              <w:jc w:val="center"/>
              <w:rPr>
                <w:b/>
                <w:sz w:val="26"/>
                <w:szCs w:val="26"/>
              </w:rPr>
            </w:pPr>
          </w:p>
        </w:tc>
        <w:tc>
          <w:tcPr>
            <w:tcW w:w="1276" w:type="dxa"/>
          </w:tcPr>
          <w:p w:rsidR="00242CEA" w:rsidRDefault="00242CEA" w:rsidP="00AE5EB8">
            <w:pPr>
              <w:widowControl w:val="0"/>
              <w:spacing w:before="120" w:line="264" w:lineRule="auto"/>
              <w:jc w:val="both"/>
              <w:rPr>
                <w:sz w:val="26"/>
                <w:szCs w:val="26"/>
              </w:rPr>
            </w:pPr>
            <w:r>
              <w:rPr>
                <w:sz w:val="26"/>
                <w:szCs w:val="26"/>
              </w:rPr>
              <w:t>Khoản 3 Điều 36</w:t>
            </w:r>
          </w:p>
        </w:tc>
        <w:tc>
          <w:tcPr>
            <w:tcW w:w="6407" w:type="dxa"/>
            <w:vAlign w:val="center"/>
          </w:tcPr>
          <w:p w:rsidR="00242CEA" w:rsidRPr="009A1647" w:rsidRDefault="00242CEA" w:rsidP="009A1647">
            <w:pPr>
              <w:tabs>
                <w:tab w:val="left" w:pos="567"/>
                <w:tab w:val="left" w:pos="851"/>
              </w:tabs>
              <w:spacing w:before="120" w:after="120" w:line="288" w:lineRule="auto"/>
              <w:ind w:right="-141" w:firstLine="346"/>
              <w:jc w:val="both"/>
              <w:rPr>
                <w:i/>
                <w:spacing w:val="-2"/>
                <w:sz w:val="26"/>
                <w:szCs w:val="26"/>
                <w:lang w:val="pt-BR"/>
              </w:rPr>
            </w:pPr>
            <w:r w:rsidRPr="009A1647">
              <w:rPr>
                <w:spacing w:val="-2"/>
                <w:sz w:val="26"/>
                <w:szCs w:val="26"/>
                <w:lang w:val="pt-BR"/>
              </w:rPr>
              <w:t>Đề nghị sửa như sau: “</w:t>
            </w:r>
            <w:r w:rsidRPr="009A1647">
              <w:rPr>
                <w:i/>
                <w:spacing w:val="-2"/>
                <w:sz w:val="26"/>
                <w:szCs w:val="26"/>
                <w:lang w:val="pt-BR"/>
              </w:rPr>
              <w:t xml:space="preserve">Việc thanh toán hoạt động mua, bán, chuyển nhượng cổ phần và phần vốn góp và nhận cổ tức của nhà đầu tư nước ngoài được thực hiện </w:t>
            </w:r>
            <w:r w:rsidRPr="009A1647">
              <w:rPr>
                <w:b/>
                <w:i/>
                <w:spacing w:val="-2"/>
                <w:sz w:val="26"/>
                <w:szCs w:val="26"/>
                <w:lang w:val="pt-BR"/>
              </w:rPr>
              <w:t xml:space="preserve">theo quy định của pháp </w:t>
            </w:r>
            <w:r w:rsidRPr="009A1647">
              <w:rPr>
                <w:b/>
                <w:i/>
                <w:spacing w:val="-2"/>
                <w:sz w:val="26"/>
                <w:szCs w:val="26"/>
                <w:lang w:val="pt-BR"/>
              </w:rPr>
              <w:lastRenderedPageBreak/>
              <w:t>luật về quản lý ngoại hối</w:t>
            </w:r>
            <w:r w:rsidRPr="009A1647">
              <w:rPr>
                <w:i/>
                <w:spacing w:val="-2"/>
                <w:sz w:val="26"/>
                <w:szCs w:val="26"/>
                <w:lang w:val="pt-BR"/>
              </w:rPr>
              <w:t>, trừ trường hợp thanh toán bằng tài sản”.</w:t>
            </w:r>
          </w:p>
          <w:p w:rsidR="00242CEA" w:rsidRDefault="00242CEA" w:rsidP="009A1647">
            <w:pPr>
              <w:widowControl w:val="0"/>
              <w:spacing w:before="120" w:line="264" w:lineRule="auto"/>
              <w:ind w:firstLine="346"/>
              <w:jc w:val="both"/>
              <w:rPr>
                <w:sz w:val="26"/>
                <w:szCs w:val="26"/>
              </w:rPr>
            </w:pPr>
            <w:r w:rsidRPr="009A1647">
              <w:rPr>
                <w:sz w:val="26"/>
                <w:szCs w:val="26"/>
              </w:rPr>
              <w:t xml:space="preserve">Lý do: </w:t>
            </w:r>
            <w:r w:rsidRPr="009A1647">
              <w:rPr>
                <w:sz w:val="26"/>
                <w:szCs w:val="26"/>
                <w:lang w:val="pt-BR"/>
              </w:rPr>
              <w:t xml:space="preserve"> theo quy định về quản lý ngoại hối, không phải việc thanh toán mọi hoạt động mua, bán, chuyển nhượng cổ phần và phần vốn góp và nhận cổ tức của nhà đầu tư nước ngoài đều bắt buộc thực hiện thông qua tài khoản vốn (như việc thanh toán chuyển nhượng vốn đầu tư giữa 2 người cư trú, giữa 2 người không cư trú không bắt buộc thực hiện thông qua tài khoản vốn).</w:t>
            </w:r>
          </w:p>
        </w:tc>
        <w:tc>
          <w:tcPr>
            <w:tcW w:w="1701" w:type="dxa"/>
          </w:tcPr>
          <w:p w:rsidR="00242CEA" w:rsidRDefault="00242CEA" w:rsidP="00A6359A">
            <w:pPr>
              <w:jc w:val="center"/>
              <w:rPr>
                <w:sz w:val="26"/>
                <w:szCs w:val="26"/>
              </w:rPr>
            </w:pPr>
            <w:r>
              <w:rPr>
                <w:sz w:val="26"/>
                <w:szCs w:val="26"/>
              </w:rPr>
              <w:lastRenderedPageBreak/>
              <w:t>NHNN</w:t>
            </w:r>
          </w:p>
        </w:tc>
        <w:tc>
          <w:tcPr>
            <w:tcW w:w="3986" w:type="dxa"/>
          </w:tcPr>
          <w:p w:rsidR="00242CEA" w:rsidRPr="00C10014" w:rsidRDefault="00CD7BD0" w:rsidP="009C1D78">
            <w:pPr>
              <w:rPr>
                <w:sz w:val="26"/>
                <w:szCs w:val="26"/>
              </w:rPr>
            </w:pPr>
            <w:r>
              <w:rPr>
                <w:sz w:val="26"/>
                <w:szCs w:val="26"/>
              </w:rPr>
              <w:t>Tiếp thu ý kiến</w:t>
            </w:r>
          </w:p>
        </w:tc>
      </w:tr>
      <w:tr w:rsidR="000915CE" w:rsidRPr="00C10014" w:rsidTr="006F2D44">
        <w:trPr>
          <w:trHeight w:val="372"/>
        </w:trPr>
        <w:tc>
          <w:tcPr>
            <w:tcW w:w="619" w:type="dxa"/>
          </w:tcPr>
          <w:p w:rsidR="000915CE" w:rsidRPr="00C10014" w:rsidRDefault="000915CE" w:rsidP="00AE5EB8">
            <w:pPr>
              <w:spacing w:before="40" w:after="40"/>
              <w:ind w:left="142"/>
              <w:jc w:val="center"/>
              <w:rPr>
                <w:sz w:val="26"/>
                <w:szCs w:val="26"/>
              </w:rPr>
            </w:pPr>
          </w:p>
        </w:tc>
        <w:tc>
          <w:tcPr>
            <w:tcW w:w="907" w:type="dxa"/>
            <w:vAlign w:val="center"/>
          </w:tcPr>
          <w:p w:rsidR="000915CE" w:rsidRPr="00C10014" w:rsidRDefault="000915CE" w:rsidP="00AE5EB8">
            <w:pPr>
              <w:spacing w:before="40" w:after="40"/>
              <w:jc w:val="center"/>
              <w:rPr>
                <w:b/>
                <w:sz w:val="26"/>
                <w:szCs w:val="26"/>
              </w:rPr>
            </w:pPr>
          </w:p>
        </w:tc>
        <w:tc>
          <w:tcPr>
            <w:tcW w:w="1276" w:type="dxa"/>
          </w:tcPr>
          <w:p w:rsidR="000915CE" w:rsidRPr="00C10014" w:rsidRDefault="00C21547" w:rsidP="00AE5EB8">
            <w:pPr>
              <w:widowControl w:val="0"/>
              <w:spacing w:before="120" w:line="264" w:lineRule="auto"/>
              <w:jc w:val="both"/>
              <w:rPr>
                <w:sz w:val="26"/>
                <w:szCs w:val="26"/>
              </w:rPr>
            </w:pPr>
            <w:r>
              <w:rPr>
                <w:sz w:val="26"/>
                <w:szCs w:val="26"/>
              </w:rPr>
              <w:t>Khoản 2 Điều 90</w:t>
            </w:r>
          </w:p>
        </w:tc>
        <w:tc>
          <w:tcPr>
            <w:tcW w:w="6407" w:type="dxa"/>
            <w:vAlign w:val="center"/>
          </w:tcPr>
          <w:p w:rsidR="000915CE" w:rsidRDefault="00C21547" w:rsidP="006C2B5C">
            <w:pPr>
              <w:widowControl w:val="0"/>
              <w:spacing w:before="120" w:line="264" w:lineRule="auto"/>
              <w:ind w:firstLine="346"/>
              <w:jc w:val="both"/>
              <w:rPr>
                <w:sz w:val="26"/>
                <w:szCs w:val="26"/>
              </w:rPr>
            </w:pPr>
            <w:r>
              <w:rPr>
                <w:sz w:val="26"/>
                <w:szCs w:val="26"/>
              </w:rPr>
              <w:t>Bãi bỏ quy định “Thành viên Hội đồng thành viên làm việc theo chế độ chuyên trách”.</w:t>
            </w:r>
          </w:p>
          <w:p w:rsidR="00C21547" w:rsidRDefault="00C21547" w:rsidP="006C2B5C">
            <w:pPr>
              <w:widowControl w:val="0"/>
              <w:spacing w:before="120" w:line="264" w:lineRule="auto"/>
              <w:ind w:firstLine="346"/>
              <w:jc w:val="both"/>
              <w:rPr>
                <w:sz w:val="26"/>
                <w:szCs w:val="26"/>
              </w:rPr>
            </w:pPr>
            <w:r>
              <w:rPr>
                <w:i/>
                <w:sz w:val="26"/>
                <w:szCs w:val="26"/>
                <w:u w:val="single"/>
              </w:rPr>
              <w:t>Lý do:</w:t>
            </w:r>
          </w:p>
          <w:p w:rsidR="00C21547" w:rsidRPr="00C21547" w:rsidRDefault="00C21547" w:rsidP="007A4C2B">
            <w:pPr>
              <w:widowControl w:val="0"/>
              <w:spacing w:before="120" w:line="264" w:lineRule="auto"/>
              <w:ind w:firstLine="346"/>
              <w:jc w:val="both"/>
              <w:rPr>
                <w:sz w:val="26"/>
                <w:szCs w:val="26"/>
              </w:rPr>
            </w:pPr>
            <w:r>
              <w:rPr>
                <w:sz w:val="26"/>
                <w:szCs w:val="26"/>
              </w:rPr>
              <w:t xml:space="preserve">Thành viên Hội đồng thành viên kiêm nhiệm chức danh Tổng giám đốc sẽ tạo sự gắn kết </w:t>
            </w:r>
            <w:r w:rsidR="00B97A17">
              <w:rPr>
                <w:sz w:val="26"/>
                <w:szCs w:val="26"/>
              </w:rPr>
              <w:t xml:space="preserve">giữa việc ban hành chủ trương, chính sách, chiến lược phát triển của doanh nghiệp với việc điều hành hoạt động sản xuất kinh doanh của doanh nghiệp, đảm bảo quyết định của Hội đồng thành viên mang tính thực tiễn cao. Đặc biệt </w:t>
            </w:r>
            <w:r w:rsidR="007A4C2B">
              <w:rPr>
                <w:sz w:val="26"/>
                <w:szCs w:val="26"/>
              </w:rPr>
              <w:t xml:space="preserve">là đối với doanh nghiệp do nhà nước nắm giữ 100% vốn thì </w:t>
            </w:r>
            <w:r w:rsidR="00B97A17">
              <w:rPr>
                <w:sz w:val="26"/>
                <w:szCs w:val="26"/>
              </w:rPr>
              <w:t xml:space="preserve">thành viên Hội đồng </w:t>
            </w:r>
            <w:r w:rsidR="007A4C2B">
              <w:rPr>
                <w:sz w:val="26"/>
                <w:szCs w:val="26"/>
              </w:rPr>
              <w:t>thành viên và Tổng giám đốc đều là người được cơ quan nhà nước có thẩm quyền cử ra để quản lý, điều hành doanh nghiệp.</w:t>
            </w:r>
          </w:p>
        </w:tc>
        <w:tc>
          <w:tcPr>
            <w:tcW w:w="1701" w:type="dxa"/>
          </w:tcPr>
          <w:p w:rsidR="000915CE" w:rsidRPr="00C10014" w:rsidRDefault="007A4C2B" w:rsidP="00A6359A">
            <w:pPr>
              <w:jc w:val="center"/>
              <w:rPr>
                <w:sz w:val="26"/>
                <w:szCs w:val="26"/>
              </w:rPr>
            </w:pPr>
            <w:r>
              <w:rPr>
                <w:sz w:val="26"/>
                <w:szCs w:val="26"/>
              </w:rPr>
              <w:t>Bộ TTTT</w:t>
            </w:r>
          </w:p>
        </w:tc>
        <w:tc>
          <w:tcPr>
            <w:tcW w:w="3986" w:type="dxa"/>
          </w:tcPr>
          <w:p w:rsidR="000915CE" w:rsidRPr="00C10014" w:rsidRDefault="00CD7BD0" w:rsidP="009C1D78">
            <w:pPr>
              <w:rPr>
                <w:sz w:val="26"/>
                <w:szCs w:val="26"/>
              </w:rPr>
            </w:pPr>
            <w:r>
              <w:rPr>
                <w:sz w:val="26"/>
                <w:szCs w:val="26"/>
              </w:rPr>
              <w:t>Tiếp thu ý kiến</w:t>
            </w:r>
          </w:p>
        </w:tc>
      </w:tr>
      <w:tr w:rsidR="000915CE" w:rsidRPr="00C10014" w:rsidTr="008C60F7">
        <w:trPr>
          <w:trHeight w:val="372"/>
        </w:trPr>
        <w:tc>
          <w:tcPr>
            <w:tcW w:w="619" w:type="dxa"/>
          </w:tcPr>
          <w:p w:rsidR="000915CE" w:rsidRPr="00C10014" w:rsidRDefault="000915CE" w:rsidP="00AE5EB8">
            <w:pPr>
              <w:spacing w:before="40" w:after="40"/>
              <w:ind w:left="142"/>
              <w:jc w:val="center"/>
              <w:rPr>
                <w:sz w:val="26"/>
                <w:szCs w:val="26"/>
              </w:rPr>
            </w:pPr>
          </w:p>
        </w:tc>
        <w:tc>
          <w:tcPr>
            <w:tcW w:w="907" w:type="dxa"/>
            <w:vAlign w:val="center"/>
          </w:tcPr>
          <w:p w:rsidR="000915CE" w:rsidRPr="00C10014" w:rsidRDefault="000915CE" w:rsidP="00AE5EB8">
            <w:pPr>
              <w:spacing w:before="40" w:after="40"/>
              <w:jc w:val="center"/>
              <w:rPr>
                <w:b/>
                <w:sz w:val="26"/>
                <w:szCs w:val="26"/>
              </w:rPr>
            </w:pPr>
          </w:p>
        </w:tc>
        <w:tc>
          <w:tcPr>
            <w:tcW w:w="1276" w:type="dxa"/>
          </w:tcPr>
          <w:p w:rsidR="000915CE" w:rsidRPr="00C10014" w:rsidRDefault="008C60F7" w:rsidP="008C60F7">
            <w:pPr>
              <w:widowControl w:val="0"/>
              <w:spacing w:before="120" w:line="264" w:lineRule="auto"/>
              <w:jc w:val="both"/>
              <w:rPr>
                <w:sz w:val="26"/>
                <w:szCs w:val="26"/>
              </w:rPr>
            </w:pPr>
            <w:r>
              <w:rPr>
                <w:sz w:val="26"/>
                <w:szCs w:val="26"/>
              </w:rPr>
              <w:t>Khoản 2 Điều 48, Khoản 2 Điều 74 và Khoản 1 Điều 112</w:t>
            </w:r>
          </w:p>
        </w:tc>
        <w:tc>
          <w:tcPr>
            <w:tcW w:w="6407" w:type="dxa"/>
          </w:tcPr>
          <w:p w:rsidR="000915CE" w:rsidRPr="00C10014" w:rsidRDefault="004D765B" w:rsidP="00D11547">
            <w:pPr>
              <w:widowControl w:val="0"/>
              <w:spacing w:before="120" w:line="264" w:lineRule="auto"/>
              <w:jc w:val="both"/>
              <w:rPr>
                <w:sz w:val="26"/>
                <w:szCs w:val="26"/>
              </w:rPr>
            </w:pPr>
            <w:r>
              <w:rPr>
                <w:sz w:val="26"/>
                <w:szCs w:val="26"/>
              </w:rPr>
              <w:t>Thay đổi thời gian góp vốn điều lệ; quy định vốn tối thiểu ban đầu so với vốn điều lệ; lộ trình góp vốn điều lệ đã đăng ký phù hợp với các quy định của pháp luật có liên quan (Luật Đất đai, Luật quản lý, sử dụng vốn nhà nước đầu tư vào sản xuất, kinh doanh tại doanh nghiệp, …)</w:t>
            </w:r>
          </w:p>
        </w:tc>
        <w:tc>
          <w:tcPr>
            <w:tcW w:w="1701" w:type="dxa"/>
          </w:tcPr>
          <w:p w:rsidR="000915CE" w:rsidRPr="00C10014" w:rsidRDefault="004D765B" w:rsidP="00A6359A">
            <w:pPr>
              <w:jc w:val="center"/>
              <w:rPr>
                <w:sz w:val="26"/>
                <w:szCs w:val="26"/>
              </w:rPr>
            </w:pPr>
            <w:r>
              <w:rPr>
                <w:sz w:val="26"/>
                <w:szCs w:val="26"/>
              </w:rPr>
              <w:t>Bộ Quốc phòng</w:t>
            </w:r>
          </w:p>
        </w:tc>
        <w:tc>
          <w:tcPr>
            <w:tcW w:w="3986" w:type="dxa"/>
          </w:tcPr>
          <w:p w:rsidR="000915CE" w:rsidRPr="00C10014" w:rsidRDefault="00CD7BD0" w:rsidP="009A7D64">
            <w:pPr>
              <w:rPr>
                <w:sz w:val="26"/>
                <w:szCs w:val="26"/>
              </w:rPr>
            </w:pPr>
            <w:r>
              <w:rPr>
                <w:sz w:val="26"/>
                <w:szCs w:val="26"/>
              </w:rPr>
              <w:t>Tiếp thu ý kiến</w:t>
            </w:r>
          </w:p>
        </w:tc>
      </w:tr>
      <w:tr w:rsidR="000915CE" w:rsidRPr="00C10014" w:rsidTr="006F2D44">
        <w:trPr>
          <w:trHeight w:val="372"/>
        </w:trPr>
        <w:tc>
          <w:tcPr>
            <w:tcW w:w="619" w:type="dxa"/>
          </w:tcPr>
          <w:p w:rsidR="000915CE" w:rsidRPr="00C10014" w:rsidRDefault="000915CE" w:rsidP="00AE5EB8">
            <w:pPr>
              <w:spacing w:before="40" w:after="40"/>
              <w:ind w:left="142"/>
              <w:jc w:val="center"/>
              <w:rPr>
                <w:sz w:val="26"/>
                <w:szCs w:val="26"/>
              </w:rPr>
            </w:pPr>
          </w:p>
        </w:tc>
        <w:tc>
          <w:tcPr>
            <w:tcW w:w="907" w:type="dxa"/>
            <w:vAlign w:val="center"/>
          </w:tcPr>
          <w:p w:rsidR="000915CE" w:rsidRPr="00C10014" w:rsidRDefault="000915CE" w:rsidP="00AE5EB8">
            <w:pPr>
              <w:spacing w:before="40" w:after="40"/>
              <w:jc w:val="center"/>
              <w:rPr>
                <w:b/>
                <w:sz w:val="26"/>
                <w:szCs w:val="26"/>
              </w:rPr>
            </w:pPr>
          </w:p>
        </w:tc>
        <w:tc>
          <w:tcPr>
            <w:tcW w:w="1276" w:type="dxa"/>
          </w:tcPr>
          <w:p w:rsidR="000915CE" w:rsidRPr="00C10014" w:rsidRDefault="000915CE" w:rsidP="00AE5EB8">
            <w:pPr>
              <w:widowControl w:val="0"/>
              <w:spacing w:before="120" w:line="264" w:lineRule="auto"/>
              <w:jc w:val="both"/>
              <w:rPr>
                <w:spacing w:val="2"/>
                <w:sz w:val="26"/>
                <w:szCs w:val="26"/>
              </w:rPr>
            </w:pPr>
          </w:p>
        </w:tc>
        <w:tc>
          <w:tcPr>
            <w:tcW w:w="6407" w:type="dxa"/>
            <w:vAlign w:val="center"/>
          </w:tcPr>
          <w:p w:rsidR="00242CEA" w:rsidRPr="00CD7BD0" w:rsidRDefault="00242CEA" w:rsidP="00242CEA">
            <w:pPr>
              <w:spacing w:before="120"/>
              <w:ind w:right="-7"/>
              <w:jc w:val="both"/>
              <w:rPr>
                <w:sz w:val="26"/>
                <w:szCs w:val="26"/>
              </w:rPr>
            </w:pPr>
            <w:r w:rsidRPr="00CD7BD0">
              <w:rPr>
                <w:sz w:val="26"/>
                <w:szCs w:val="26"/>
              </w:rPr>
              <w:t>Đề nghị cho phép chủ hộ kinh doanh, chủ doanh nghiệp tư nhân được quyền lựa chọn chuyển đổi hộ kinh doanh, doanh nghiệp tư nhân thành cá nhân kinh doanh hoặc các loại hình doanh nghiệp có tư cách pháp nhân (công ty trách nhiệm hữu hạn một thành viên, công ty cổ phần…).</w:t>
            </w:r>
          </w:p>
          <w:p w:rsidR="000915CE" w:rsidRPr="00C10014" w:rsidRDefault="00242CEA" w:rsidP="00CD7BD0">
            <w:pPr>
              <w:spacing w:before="120"/>
              <w:ind w:right="-7"/>
              <w:jc w:val="both"/>
              <w:rPr>
                <w:spacing w:val="2"/>
                <w:sz w:val="26"/>
                <w:szCs w:val="26"/>
              </w:rPr>
            </w:pPr>
            <w:r w:rsidRPr="00CD7BD0">
              <w:rPr>
                <w:sz w:val="26"/>
                <w:szCs w:val="26"/>
              </w:rPr>
              <w:t xml:space="preserve">Lý do: </w:t>
            </w:r>
            <w:r w:rsidRPr="00CD7BD0">
              <w:rPr>
                <w:sz w:val="26"/>
                <w:szCs w:val="26"/>
                <w:lang w:val="pt-BR"/>
              </w:rPr>
              <w:t>Theo quy định tại Điều 1, 3, 4 Bộ luật dân sự 2015, chủ thể của quan hệ dân sự chỉ bao gồm cá nhân, pháp nhân. Trên cơ sở đó, Điều 101 Bộ luật dân sự 2015 quy định về cách xác định chủ thể của quan hệ dân sự trong trường hợp các tổ chức không có tư cách pháp nhân tham gia quan hệ dân sự. Theo đó, về nguyên tắc, các tổ chức không có tư cách pháp nhân không thể tự mình tham gia quan hệ dân sự. Việc tham gia quan hệ dân sự của các chủ thể không có tư cách pháp nhân này sẽ dẫn tới giao dịch dân sự vô hiệu theo quy định tại Điều 122 Bộ luật dân sự 2015, do đó, dẫn đến tiềm ẩn rủi ro lớn cho các bên tham gia vào giao dịch với các đối tượng này</w:t>
            </w:r>
            <w:r w:rsidR="00CD7BD0">
              <w:rPr>
                <w:sz w:val="26"/>
                <w:szCs w:val="26"/>
                <w:lang w:val="pt-BR"/>
              </w:rPr>
              <w:t>.</w:t>
            </w:r>
          </w:p>
        </w:tc>
        <w:tc>
          <w:tcPr>
            <w:tcW w:w="1701" w:type="dxa"/>
          </w:tcPr>
          <w:p w:rsidR="000915CE" w:rsidRPr="00C10014" w:rsidRDefault="00242CEA" w:rsidP="00A6359A">
            <w:pPr>
              <w:jc w:val="center"/>
              <w:rPr>
                <w:sz w:val="26"/>
                <w:szCs w:val="26"/>
              </w:rPr>
            </w:pPr>
            <w:r>
              <w:rPr>
                <w:sz w:val="26"/>
                <w:szCs w:val="26"/>
              </w:rPr>
              <w:t>NHNN</w:t>
            </w:r>
          </w:p>
        </w:tc>
        <w:tc>
          <w:tcPr>
            <w:tcW w:w="3986" w:type="dxa"/>
          </w:tcPr>
          <w:p w:rsidR="000915CE" w:rsidRDefault="00827374" w:rsidP="00827374">
            <w:pPr>
              <w:jc w:val="both"/>
              <w:rPr>
                <w:sz w:val="26"/>
                <w:szCs w:val="26"/>
              </w:rPr>
            </w:pPr>
            <w:r>
              <w:rPr>
                <w:sz w:val="26"/>
                <w:szCs w:val="26"/>
              </w:rPr>
              <w:t>- Việc hỗ trợ chuyển đổi hộ kinh doanh thành doanh nghiệp đã được quy định tại Điều 16 Luật hỗ trợ doanh nghiệp nhỏ và vừa.</w:t>
            </w:r>
          </w:p>
          <w:p w:rsidR="00827374" w:rsidRPr="00C10014" w:rsidRDefault="00827374" w:rsidP="00827374">
            <w:pPr>
              <w:jc w:val="both"/>
              <w:rPr>
                <w:sz w:val="26"/>
                <w:szCs w:val="26"/>
              </w:rPr>
            </w:pPr>
            <w:r>
              <w:rPr>
                <w:sz w:val="26"/>
                <w:szCs w:val="26"/>
              </w:rPr>
              <w:t>- Chủ thể của quan hệ dân sự giải quyết tại Bộ luật Dân sự, không điều chỉnh tại Luật Đầu tư, Luật Doanh nghiệp.</w:t>
            </w:r>
          </w:p>
        </w:tc>
      </w:tr>
    </w:tbl>
    <w:p w:rsidR="00EB3923" w:rsidRPr="00FA6906" w:rsidRDefault="00EB3923" w:rsidP="00D73135">
      <w:pPr>
        <w:rPr>
          <w:sz w:val="26"/>
          <w:szCs w:val="26"/>
        </w:rPr>
      </w:pPr>
    </w:p>
    <w:sectPr w:rsidR="00EB3923" w:rsidRPr="00FA6906" w:rsidSect="00E31A0B">
      <w:headerReference w:type="even" r:id="rId8"/>
      <w:footerReference w:type="even" r:id="rId9"/>
      <w:footerReference w:type="default" r:id="rId10"/>
      <w:pgSz w:w="16839" w:h="11907" w:orient="landscape" w:code="9"/>
      <w:pgMar w:top="720" w:right="720" w:bottom="539" w:left="851" w:header="720" w:footer="3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24" w:rsidRDefault="003A1C24">
      <w:r>
        <w:separator/>
      </w:r>
    </w:p>
  </w:endnote>
  <w:endnote w:type="continuationSeparator" w:id="0">
    <w:p w:rsidR="003A1C24" w:rsidRDefault="003A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07" w:rsidRDefault="00067B3D" w:rsidP="001E35C7">
    <w:pPr>
      <w:pStyle w:val="Footer"/>
      <w:framePr w:wrap="around" w:vAnchor="text" w:hAnchor="margin" w:xAlign="right" w:y="1"/>
      <w:rPr>
        <w:rStyle w:val="PageNumber"/>
      </w:rPr>
    </w:pPr>
    <w:r>
      <w:rPr>
        <w:rStyle w:val="PageNumber"/>
      </w:rPr>
      <w:fldChar w:fldCharType="begin"/>
    </w:r>
    <w:r w:rsidR="00513D07">
      <w:rPr>
        <w:rStyle w:val="PageNumber"/>
      </w:rPr>
      <w:instrText xml:space="preserve">PAGE  </w:instrText>
    </w:r>
    <w:r>
      <w:rPr>
        <w:rStyle w:val="PageNumber"/>
      </w:rPr>
      <w:fldChar w:fldCharType="end"/>
    </w:r>
  </w:p>
  <w:p w:rsidR="00513D07" w:rsidRDefault="00513D07" w:rsidP="001E35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07" w:rsidRDefault="00067B3D" w:rsidP="001E35C7">
    <w:pPr>
      <w:pStyle w:val="Footer"/>
      <w:framePr w:wrap="around" w:vAnchor="text" w:hAnchor="margin" w:xAlign="right" w:y="1"/>
      <w:rPr>
        <w:rStyle w:val="PageNumber"/>
      </w:rPr>
    </w:pPr>
    <w:r>
      <w:rPr>
        <w:rStyle w:val="PageNumber"/>
      </w:rPr>
      <w:fldChar w:fldCharType="begin"/>
    </w:r>
    <w:r w:rsidR="00513D07">
      <w:rPr>
        <w:rStyle w:val="PageNumber"/>
      </w:rPr>
      <w:instrText xml:space="preserve">PAGE  </w:instrText>
    </w:r>
    <w:r>
      <w:rPr>
        <w:rStyle w:val="PageNumber"/>
      </w:rPr>
      <w:fldChar w:fldCharType="separate"/>
    </w:r>
    <w:r w:rsidR="001D08BB">
      <w:rPr>
        <w:rStyle w:val="PageNumber"/>
        <w:noProof/>
      </w:rPr>
      <w:t>17</w:t>
    </w:r>
    <w:r>
      <w:rPr>
        <w:rStyle w:val="PageNumber"/>
      </w:rPr>
      <w:fldChar w:fldCharType="end"/>
    </w:r>
  </w:p>
  <w:p w:rsidR="00513D07" w:rsidRDefault="00513D07" w:rsidP="001E35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24" w:rsidRDefault="003A1C24">
      <w:r>
        <w:separator/>
      </w:r>
    </w:p>
  </w:footnote>
  <w:footnote w:type="continuationSeparator" w:id="0">
    <w:p w:rsidR="003A1C24" w:rsidRDefault="003A1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07" w:rsidRDefault="00067B3D" w:rsidP="001E35C7">
    <w:pPr>
      <w:pStyle w:val="Header"/>
      <w:framePr w:wrap="around" w:vAnchor="text" w:hAnchor="margin" w:xAlign="center" w:y="1"/>
      <w:rPr>
        <w:rStyle w:val="PageNumber"/>
      </w:rPr>
    </w:pPr>
    <w:r>
      <w:rPr>
        <w:rStyle w:val="PageNumber"/>
      </w:rPr>
      <w:fldChar w:fldCharType="begin"/>
    </w:r>
    <w:r w:rsidR="00513D07">
      <w:rPr>
        <w:rStyle w:val="PageNumber"/>
      </w:rPr>
      <w:instrText xml:space="preserve">PAGE  </w:instrText>
    </w:r>
    <w:r>
      <w:rPr>
        <w:rStyle w:val="PageNumber"/>
      </w:rPr>
      <w:fldChar w:fldCharType="end"/>
    </w:r>
  </w:p>
  <w:p w:rsidR="00513D07" w:rsidRDefault="00513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500C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0834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0005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7E60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84D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80E6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06EE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97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E40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E2C28"/>
    <w:multiLevelType w:val="hybridMultilevel"/>
    <w:tmpl w:val="7408CE4E"/>
    <w:lvl w:ilvl="0" w:tplc="A3FEDD9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D7764C"/>
    <w:multiLevelType w:val="hybridMultilevel"/>
    <w:tmpl w:val="D8CC8F1A"/>
    <w:lvl w:ilvl="0" w:tplc="78D021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4C70C4"/>
    <w:multiLevelType w:val="hybridMultilevel"/>
    <w:tmpl w:val="DC0A1EA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072E0DAB"/>
    <w:multiLevelType w:val="hybridMultilevel"/>
    <w:tmpl w:val="F0F45B2C"/>
    <w:lvl w:ilvl="0" w:tplc="D3644F5C">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ED325B"/>
    <w:multiLevelType w:val="hybridMultilevel"/>
    <w:tmpl w:val="0C7AE914"/>
    <w:lvl w:ilvl="0" w:tplc="5324EAB8">
      <w:start w:val="1"/>
      <w:numFmt w:val="decimal"/>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624CF6"/>
    <w:multiLevelType w:val="hybridMultilevel"/>
    <w:tmpl w:val="95F6A828"/>
    <w:lvl w:ilvl="0" w:tplc="56AA37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C57F99"/>
    <w:multiLevelType w:val="hybridMultilevel"/>
    <w:tmpl w:val="0EE8601A"/>
    <w:lvl w:ilvl="0" w:tplc="59769E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B97B1B"/>
    <w:multiLevelType w:val="hybridMultilevel"/>
    <w:tmpl w:val="48043A6A"/>
    <w:lvl w:ilvl="0" w:tplc="81BEEBB0">
      <w:start w:val="2"/>
      <w:numFmt w:val="bullet"/>
      <w:lvlText w:val="-"/>
      <w:lvlJc w:val="left"/>
      <w:pPr>
        <w:ind w:left="349" w:hanging="360"/>
      </w:pPr>
      <w:rPr>
        <w:rFonts w:ascii="Times New Roman" w:eastAsia="Times New Roman"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18" w15:restartNumberingAfterBreak="0">
    <w:nsid w:val="132A69C2"/>
    <w:multiLevelType w:val="hybridMultilevel"/>
    <w:tmpl w:val="F60E17BA"/>
    <w:lvl w:ilvl="0" w:tplc="0352AFD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A83A5D"/>
    <w:multiLevelType w:val="hybridMultilevel"/>
    <w:tmpl w:val="6E367598"/>
    <w:lvl w:ilvl="0" w:tplc="67B63FC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45785A"/>
    <w:multiLevelType w:val="hybridMultilevel"/>
    <w:tmpl w:val="8430A6E0"/>
    <w:lvl w:ilvl="0" w:tplc="C18839D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18DF6217"/>
    <w:multiLevelType w:val="hybridMultilevel"/>
    <w:tmpl w:val="CCFC919A"/>
    <w:lvl w:ilvl="0" w:tplc="C06436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A9743F5"/>
    <w:multiLevelType w:val="hybridMultilevel"/>
    <w:tmpl w:val="38C2FAF2"/>
    <w:lvl w:ilvl="0" w:tplc="BE3E002E">
      <w:start w:val="3"/>
      <w:numFmt w:val="bullet"/>
      <w:lvlText w:val="-"/>
      <w:lvlJc w:val="left"/>
      <w:pPr>
        <w:tabs>
          <w:tab w:val="num" w:pos="1060"/>
        </w:tabs>
        <w:ind w:left="1060" w:hanging="36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1D6D134D"/>
    <w:multiLevelType w:val="hybridMultilevel"/>
    <w:tmpl w:val="E5AA690C"/>
    <w:lvl w:ilvl="0" w:tplc="5324EAB8">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2011709A"/>
    <w:multiLevelType w:val="hybridMultilevel"/>
    <w:tmpl w:val="22C06DCE"/>
    <w:lvl w:ilvl="0" w:tplc="EA36D2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5B75B4"/>
    <w:multiLevelType w:val="multilevel"/>
    <w:tmpl w:val="641CF6C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BD7F46"/>
    <w:multiLevelType w:val="hybridMultilevel"/>
    <w:tmpl w:val="4AF6266C"/>
    <w:lvl w:ilvl="0" w:tplc="F1B2F4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3A66AB"/>
    <w:multiLevelType w:val="hybridMultilevel"/>
    <w:tmpl w:val="7C929404"/>
    <w:lvl w:ilvl="0" w:tplc="F42E0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9F0533"/>
    <w:multiLevelType w:val="hybridMultilevel"/>
    <w:tmpl w:val="831ADB8E"/>
    <w:lvl w:ilvl="0" w:tplc="5324EAB8">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33CC45D3"/>
    <w:multiLevelType w:val="hybridMultilevel"/>
    <w:tmpl w:val="0616BFB8"/>
    <w:lvl w:ilvl="0" w:tplc="EA9025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2825ED"/>
    <w:multiLevelType w:val="hybridMultilevel"/>
    <w:tmpl w:val="725CB266"/>
    <w:lvl w:ilvl="0" w:tplc="227C61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A13861"/>
    <w:multiLevelType w:val="hybridMultilevel"/>
    <w:tmpl w:val="BF084A78"/>
    <w:lvl w:ilvl="0" w:tplc="AF4214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663F30"/>
    <w:multiLevelType w:val="hybridMultilevel"/>
    <w:tmpl w:val="4F36306C"/>
    <w:lvl w:ilvl="0" w:tplc="B3CAD8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F705AC"/>
    <w:multiLevelType w:val="hybridMultilevel"/>
    <w:tmpl w:val="31FE4386"/>
    <w:lvl w:ilvl="0" w:tplc="E3ACFF50">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BB1211"/>
    <w:multiLevelType w:val="hybridMultilevel"/>
    <w:tmpl w:val="4BA8CD54"/>
    <w:lvl w:ilvl="0" w:tplc="953451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DF08A6"/>
    <w:multiLevelType w:val="hybridMultilevel"/>
    <w:tmpl w:val="5C0E21A8"/>
    <w:lvl w:ilvl="0" w:tplc="6AC2228A">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52803DE1"/>
    <w:multiLevelType w:val="hybridMultilevel"/>
    <w:tmpl w:val="3F4CC590"/>
    <w:lvl w:ilvl="0" w:tplc="6C2078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3A77E83"/>
    <w:multiLevelType w:val="hybridMultilevel"/>
    <w:tmpl w:val="33A474AA"/>
    <w:lvl w:ilvl="0" w:tplc="3D0091C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5C7A6D07"/>
    <w:multiLevelType w:val="hybridMultilevel"/>
    <w:tmpl w:val="8FE6D92E"/>
    <w:lvl w:ilvl="0" w:tplc="4C0CFFCA">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5CAE3CB4"/>
    <w:multiLevelType w:val="hybridMultilevel"/>
    <w:tmpl w:val="9E8E2268"/>
    <w:lvl w:ilvl="0" w:tplc="4BD6CFE2">
      <w:start w:val="1"/>
      <w:numFmt w:val="bullet"/>
      <w:lvlText w:val="-"/>
      <w:lvlJc w:val="left"/>
      <w:pPr>
        <w:tabs>
          <w:tab w:val="num" w:pos="403"/>
        </w:tabs>
        <w:ind w:left="403" w:hanging="360"/>
      </w:pPr>
      <w:rPr>
        <w:rFonts w:ascii="Times New Roman" w:eastAsia="Times New Roman" w:hAnsi="Times New Roman" w:cs="Times New Roman" w:hint="default"/>
      </w:rPr>
    </w:lvl>
    <w:lvl w:ilvl="1" w:tplc="04090003" w:tentative="1">
      <w:start w:val="1"/>
      <w:numFmt w:val="bullet"/>
      <w:lvlText w:val="o"/>
      <w:lvlJc w:val="left"/>
      <w:pPr>
        <w:tabs>
          <w:tab w:val="num" w:pos="1123"/>
        </w:tabs>
        <w:ind w:left="1123" w:hanging="360"/>
      </w:pPr>
      <w:rPr>
        <w:rFonts w:ascii="Courier New" w:hAnsi="Courier New" w:cs="Courier New" w:hint="default"/>
      </w:rPr>
    </w:lvl>
    <w:lvl w:ilvl="2" w:tplc="04090005" w:tentative="1">
      <w:start w:val="1"/>
      <w:numFmt w:val="bullet"/>
      <w:lvlText w:val=""/>
      <w:lvlJc w:val="left"/>
      <w:pPr>
        <w:tabs>
          <w:tab w:val="num" w:pos="1843"/>
        </w:tabs>
        <w:ind w:left="1843" w:hanging="360"/>
      </w:pPr>
      <w:rPr>
        <w:rFonts w:ascii="Wingdings" w:hAnsi="Wingdings" w:hint="default"/>
      </w:rPr>
    </w:lvl>
    <w:lvl w:ilvl="3" w:tplc="04090001" w:tentative="1">
      <w:start w:val="1"/>
      <w:numFmt w:val="bullet"/>
      <w:lvlText w:val=""/>
      <w:lvlJc w:val="left"/>
      <w:pPr>
        <w:tabs>
          <w:tab w:val="num" w:pos="2563"/>
        </w:tabs>
        <w:ind w:left="2563" w:hanging="360"/>
      </w:pPr>
      <w:rPr>
        <w:rFonts w:ascii="Symbol" w:hAnsi="Symbol" w:hint="default"/>
      </w:rPr>
    </w:lvl>
    <w:lvl w:ilvl="4" w:tplc="04090003" w:tentative="1">
      <w:start w:val="1"/>
      <w:numFmt w:val="bullet"/>
      <w:lvlText w:val="o"/>
      <w:lvlJc w:val="left"/>
      <w:pPr>
        <w:tabs>
          <w:tab w:val="num" w:pos="3283"/>
        </w:tabs>
        <w:ind w:left="3283" w:hanging="360"/>
      </w:pPr>
      <w:rPr>
        <w:rFonts w:ascii="Courier New" w:hAnsi="Courier New" w:cs="Courier New" w:hint="default"/>
      </w:rPr>
    </w:lvl>
    <w:lvl w:ilvl="5" w:tplc="04090005" w:tentative="1">
      <w:start w:val="1"/>
      <w:numFmt w:val="bullet"/>
      <w:lvlText w:val=""/>
      <w:lvlJc w:val="left"/>
      <w:pPr>
        <w:tabs>
          <w:tab w:val="num" w:pos="4003"/>
        </w:tabs>
        <w:ind w:left="4003" w:hanging="360"/>
      </w:pPr>
      <w:rPr>
        <w:rFonts w:ascii="Wingdings" w:hAnsi="Wingdings" w:hint="default"/>
      </w:rPr>
    </w:lvl>
    <w:lvl w:ilvl="6" w:tplc="04090001" w:tentative="1">
      <w:start w:val="1"/>
      <w:numFmt w:val="bullet"/>
      <w:lvlText w:val=""/>
      <w:lvlJc w:val="left"/>
      <w:pPr>
        <w:tabs>
          <w:tab w:val="num" w:pos="4723"/>
        </w:tabs>
        <w:ind w:left="4723" w:hanging="360"/>
      </w:pPr>
      <w:rPr>
        <w:rFonts w:ascii="Symbol" w:hAnsi="Symbol" w:hint="default"/>
      </w:rPr>
    </w:lvl>
    <w:lvl w:ilvl="7" w:tplc="04090003" w:tentative="1">
      <w:start w:val="1"/>
      <w:numFmt w:val="bullet"/>
      <w:lvlText w:val="o"/>
      <w:lvlJc w:val="left"/>
      <w:pPr>
        <w:tabs>
          <w:tab w:val="num" w:pos="5443"/>
        </w:tabs>
        <w:ind w:left="5443" w:hanging="360"/>
      </w:pPr>
      <w:rPr>
        <w:rFonts w:ascii="Courier New" w:hAnsi="Courier New" w:cs="Courier New" w:hint="default"/>
      </w:rPr>
    </w:lvl>
    <w:lvl w:ilvl="8" w:tplc="04090005" w:tentative="1">
      <w:start w:val="1"/>
      <w:numFmt w:val="bullet"/>
      <w:lvlText w:val=""/>
      <w:lvlJc w:val="left"/>
      <w:pPr>
        <w:tabs>
          <w:tab w:val="num" w:pos="6163"/>
        </w:tabs>
        <w:ind w:left="6163" w:hanging="360"/>
      </w:pPr>
      <w:rPr>
        <w:rFonts w:ascii="Wingdings" w:hAnsi="Wingdings" w:hint="default"/>
      </w:rPr>
    </w:lvl>
  </w:abstractNum>
  <w:abstractNum w:abstractNumId="40" w15:restartNumberingAfterBreak="0">
    <w:nsid w:val="5D2C3385"/>
    <w:multiLevelType w:val="hybridMultilevel"/>
    <w:tmpl w:val="641CF6C8"/>
    <w:lvl w:ilvl="0" w:tplc="1B643ED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3A60EF"/>
    <w:multiLevelType w:val="hybridMultilevel"/>
    <w:tmpl w:val="D35E4C82"/>
    <w:lvl w:ilvl="0" w:tplc="94808D28">
      <w:numFmt w:val="bullet"/>
      <w:lvlText w:val="-"/>
      <w:lvlJc w:val="left"/>
      <w:pPr>
        <w:ind w:left="706" w:hanging="360"/>
      </w:pPr>
      <w:rPr>
        <w:rFonts w:ascii="Times New Roman" w:eastAsia="Times New Roman" w:hAnsi="Times New Roman" w:cs="Times New Roman"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2" w15:restartNumberingAfterBreak="0">
    <w:nsid w:val="621F7D83"/>
    <w:multiLevelType w:val="hybridMultilevel"/>
    <w:tmpl w:val="9BD8553E"/>
    <w:lvl w:ilvl="0" w:tplc="5324EAB8">
      <w:start w:val="1"/>
      <w:numFmt w:val="decimal"/>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5A7538"/>
    <w:multiLevelType w:val="hybridMultilevel"/>
    <w:tmpl w:val="132855CA"/>
    <w:lvl w:ilvl="0" w:tplc="B284FA6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6EA15D99"/>
    <w:multiLevelType w:val="hybridMultilevel"/>
    <w:tmpl w:val="831ADB8E"/>
    <w:lvl w:ilvl="0" w:tplc="5324EAB8">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210160A"/>
    <w:multiLevelType w:val="hybridMultilevel"/>
    <w:tmpl w:val="85545AD8"/>
    <w:lvl w:ilvl="0" w:tplc="0409001B">
      <w:start w:val="1"/>
      <w:numFmt w:val="bullet"/>
      <w:lvlText w:val="-"/>
      <w:lvlJc w:val="left"/>
      <w:pPr>
        <w:ind w:left="1440" w:hanging="360"/>
      </w:pPr>
      <w:rPr>
        <w:rFonts w:ascii="Times New Roman" w:hAnsi="Times New Roman" w:cs="Times New Roman" w:hint="default"/>
        <w:b w:val="0"/>
        <w:i w:val="0"/>
        <w:color w:val="auto"/>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38333AF"/>
    <w:multiLevelType w:val="hybridMultilevel"/>
    <w:tmpl w:val="20664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9068F7"/>
    <w:multiLevelType w:val="hybridMultilevel"/>
    <w:tmpl w:val="40D6C84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36"/>
  </w:num>
  <w:num w:numId="2">
    <w:abstractNumId w:val="33"/>
  </w:num>
  <w:num w:numId="3">
    <w:abstractNumId w:val="31"/>
  </w:num>
  <w:num w:numId="4">
    <w:abstractNumId w:val="22"/>
  </w:num>
  <w:num w:numId="5">
    <w:abstractNumId w:val="29"/>
  </w:num>
  <w:num w:numId="6">
    <w:abstractNumId w:val="34"/>
  </w:num>
  <w:num w:numId="7">
    <w:abstractNumId w:val="38"/>
  </w:num>
  <w:num w:numId="8">
    <w:abstractNumId w:val="37"/>
  </w:num>
  <w:num w:numId="9">
    <w:abstractNumId w:val="21"/>
  </w:num>
  <w:num w:numId="10">
    <w:abstractNumId w:val="43"/>
  </w:num>
  <w:num w:numId="11">
    <w:abstractNumId w:val="18"/>
  </w:num>
  <w:num w:numId="12">
    <w:abstractNumId w:val="40"/>
  </w:num>
  <w:num w:numId="13">
    <w:abstractNumId w:val="19"/>
  </w:num>
  <w:num w:numId="14">
    <w:abstractNumId w:val="30"/>
  </w:num>
  <w:num w:numId="15">
    <w:abstractNumId w:val="16"/>
  </w:num>
  <w:num w:numId="16">
    <w:abstractNumId w:val="26"/>
  </w:num>
  <w:num w:numId="17">
    <w:abstractNumId w:val="11"/>
  </w:num>
  <w:num w:numId="18">
    <w:abstractNumId w:val="15"/>
  </w:num>
  <w:num w:numId="19">
    <w:abstractNumId w:val="24"/>
  </w:num>
  <w:num w:numId="20">
    <w:abstractNumId w:val="17"/>
  </w:num>
  <w:num w:numId="21">
    <w:abstractNumId w:val="32"/>
  </w:num>
  <w:num w:numId="22">
    <w:abstractNumId w:val="39"/>
  </w:num>
  <w:num w:numId="23">
    <w:abstractNumId w:val="25"/>
  </w:num>
  <w:num w:numId="24">
    <w:abstractNumId w:val="35"/>
  </w:num>
  <w:num w:numId="25">
    <w:abstractNumId w:val="13"/>
  </w:num>
  <w:num w:numId="26">
    <w:abstractNumId w:val="2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7"/>
  </w:num>
  <w:num w:numId="38">
    <w:abstractNumId w:val="10"/>
  </w:num>
  <w:num w:numId="39">
    <w:abstractNumId w:val="45"/>
  </w:num>
  <w:num w:numId="40">
    <w:abstractNumId w:val="28"/>
  </w:num>
  <w:num w:numId="41">
    <w:abstractNumId w:val="47"/>
  </w:num>
  <w:num w:numId="42">
    <w:abstractNumId w:val="12"/>
  </w:num>
  <w:num w:numId="43">
    <w:abstractNumId w:val="23"/>
  </w:num>
  <w:num w:numId="44">
    <w:abstractNumId w:val="44"/>
  </w:num>
  <w:num w:numId="45">
    <w:abstractNumId w:val="42"/>
  </w:num>
  <w:num w:numId="46">
    <w:abstractNumId w:val="14"/>
  </w:num>
  <w:num w:numId="47">
    <w:abstractNumId w:val="46"/>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C7"/>
    <w:rsid w:val="00000E5C"/>
    <w:rsid w:val="0000102B"/>
    <w:rsid w:val="00014037"/>
    <w:rsid w:val="000168DE"/>
    <w:rsid w:val="000173E5"/>
    <w:rsid w:val="000241B3"/>
    <w:rsid w:val="000247B2"/>
    <w:rsid w:val="00025633"/>
    <w:rsid w:val="00025FE9"/>
    <w:rsid w:val="00026E8A"/>
    <w:rsid w:val="00030956"/>
    <w:rsid w:val="000315B5"/>
    <w:rsid w:val="0003357A"/>
    <w:rsid w:val="00036F4F"/>
    <w:rsid w:val="00044440"/>
    <w:rsid w:val="000461C6"/>
    <w:rsid w:val="00055E32"/>
    <w:rsid w:val="00057E13"/>
    <w:rsid w:val="00063CF5"/>
    <w:rsid w:val="00066EF8"/>
    <w:rsid w:val="00067B3D"/>
    <w:rsid w:val="00074106"/>
    <w:rsid w:val="000746BC"/>
    <w:rsid w:val="00075F6C"/>
    <w:rsid w:val="00081E9C"/>
    <w:rsid w:val="00082510"/>
    <w:rsid w:val="0009043C"/>
    <w:rsid w:val="000911B7"/>
    <w:rsid w:val="000915CE"/>
    <w:rsid w:val="00093E28"/>
    <w:rsid w:val="000943FD"/>
    <w:rsid w:val="00097EAD"/>
    <w:rsid w:val="000B0295"/>
    <w:rsid w:val="000B07FE"/>
    <w:rsid w:val="000C03D1"/>
    <w:rsid w:val="000C094E"/>
    <w:rsid w:val="000C2389"/>
    <w:rsid w:val="000C2916"/>
    <w:rsid w:val="000C4DFB"/>
    <w:rsid w:val="000D0EF0"/>
    <w:rsid w:val="000D61E5"/>
    <w:rsid w:val="000D6F6C"/>
    <w:rsid w:val="000E01C2"/>
    <w:rsid w:val="000E0929"/>
    <w:rsid w:val="000E2D12"/>
    <w:rsid w:val="000E394A"/>
    <w:rsid w:val="000F23E0"/>
    <w:rsid w:val="000F425E"/>
    <w:rsid w:val="000F6B12"/>
    <w:rsid w:val="00103053"/>
    <w:rsid w:val="001046E7"/>
    <w:rsid w:val="0011000E"/>
    <w:rsid w:val="00114567"/>
    <w:rsid w:val="00124264"/>
    <w:rsid w:val="00135BF4"/>
    <w:rsid w:val="00137E5B"/>
    <w:rsid w:val="0014200B"/>
    <w:rsid w:val="001427E3"/>
    <w:rsid w:val="00142890"/>
    <w:rsid w:val="00142D4B"/>
    <w:rsid w:val="00144882"/>
    <w:rsid w:val="00147171"/>
    <w:rsid w:val="00150243"/>
    <w:rsid w:val="00150C3A"/>
    <w:rsid w:val="00153F77"/>
    <w:rsid w:val="00155040"/>
    <w:rsid w:val="00171591"/>
    <w:rsid w:val="00172831"/>
    <w:rsid w:val="00174BC6"/>
    <w:rsid w:val="001874BF"/>
    <w:rsid w:val="00195279"/>
    <w:rsid w:val="001A0491"/>
    <w:rsid w:val="001A18B6"/>
    <w:rsid w:val="001A47E4"/>
    <w:rsid w:val="001A55C7"/>
    <w:rsid w:val="001A626C"/>
    <w:rsid w:val="001B0D04"/>
    <w:rsid w:val="001B6381"/>
    <w:rsid w:val="001B767B"/>
    <w:rsid w:val="001C37C1"/>
    <w:rsid w:val="001C3A04"/>
    <w:rsid w:val="001C3C0C"/>
    <w:rsid w:val="001C490B"/>
    <w:rsid w:val="001C5991"/>
    <w:rsid w:val="001D08BB"/>
    <w:rsid w:val="001D1997"/>
    <w:rsid w:val="001E0A56"/>
    <w:rsid w:val="001E35C7"/>
    <w:rsid w:val="001F2881"/>
    <w:rsid w:val="0020046C"/>
    <w:rsid w:val="00206AEC"/>
    <w:rsid w:val="002106F7"/>
    <w:rsid w:val="00211292"/>
    <w:rsid w:val="002122AD"/>
    <w:rsid w:val="00214991"/>
    <w:rsid w:val="00225A94"/>
    <w:rsid w:val="002313E5"/>
    <w:rsid w:val="00234F2F"/>
    <w:rsid w:val="00235EDF"/>
    <w:rsid w:val="002427D4"/>
    <w:rsid w:val="00242CEA"/>
    <w:rsid w:val="00244492"/>
    <w:rsid w:val="00245626"/>
    <w:rsid w:val="002519B2"/>
    <w:rsid w:val="00254219"/>
    <w:rsid w:val="00260176"/>
    <w:rsid w:val="002631F4"/>
    <w:rsid w:val="002677CC"/>
    <w:rsid w:val="00272ABB"/>
    <w:rsid w:val="00273D54"/>
    <w:rsid w:val="0027495C"/>
    <w:rsid w:val="00274B93"/>
    <w:rsid w:val="00275668"/>
    <w:rsid w:val="00275D99"/>
    <w:rsid w:val="00284160"/>
    <w:rsid w:val="00286840"/>
    <w:rsid w:val="00286F59"/>
    <w:rsid w:val="00292007"/>
    <w:rsid w:val="00295EF1"/>
    <w:rsid w:val="002A0554"/>
    <w:rsid w:val="002A3CF9"/>
    <w:rsid w:val="002A5402"/>
    <w:rsid w:val="002B027C"/>
    <w:rsid w:val="002B315F"/>
    <w:rsid w:val="002B351A"/>
    <w:rsid w:val="002B3D9A"/>
    <w:rsid w:val="002B4310"/>
    <w:rsid w:val="002C2F12"/>
    <w:rsid w:val="002C3AEE"/>
    <w:rsid w:val="002D0431"/>
    <w:rsid w:val="002E626A"/>
    <w:rsid w:val="002F0415"/>
    <w:rsid w:val="002F4089"/>
    <w:rsid w:val="002F478B"/>
    <w:rsid w:val="00301471"/>
    <w:rsid w:val="0031337B"/>
    <w:rsid w:val="00316AC0"/>
    <w:rsid w:val="00320F66"/>
    <w:rsid w:val="00321236"/>
    <w:rsid w:val="0032186F"/>
    <w:rsid w:val="00323A7A"/>
    <w:rsid w:val="003246A4"/>
    <w:rsid w:val="00325275"/>
    <w:rsid w:val="003278BB"/>
    <w:rsid w:val="00327EC6"/>
    <w:rsid w:val="003366DE"/>
    <w:rsid w:val="00340F77"/>
    <w:rsid w:val="00342BED"/>
    <w:rsid w:val="0034372F"/>
    <w:rsid w:val="00344664"/>
    <w:rsid w:val="003505E1"/>
    <w:rsid w:val="00350662"/>
    <w:rsid w:val="00355639"/>
    <w:rsid w:val="003556ED"/>
    <w:rsid w:val="00360C3F"/>
    <w:rsid w:val="0036347B"/>
    <w:rsid w:val="00364395"/>
    <w:rsid w:val="00375296"/>
    <w:rsid w:val="003A0DCF"/>
    <w:rsid w:val="003A1C24"/>
    <w:rsid w:val="003A263B"/>
    <w:rsid w:val="003A7231"/>
    <w:rsid w:val="003B0150"/>
    <w:rsid w:val="003B0AD9"/>
    <w:rsid w:val="003B1373"/>
    <w:rsid w:val="003B1658"/>
    <w:rsid w:val="003B40A2"/>
    <w:rsid w:val="003B77F0"/>
    <w:rsid w:val="003C351C"/>
    <w:rsid w:val="003C47E7"/>
    <w:rsid w:val="003C5DEB"/>
    <w:rsid w:val="003D1959"/>
    <w:rsid w:val="003E3E72"/>
    <w:rsid w:val="003F0499"/>
    <w:rsid w:val="003F6D3D"/>
    <w:rsid w:val="00400176"/>
    <w:rsid w:val="00400598"/>
    <w:rsid w:val="00404C2B"/>
    <w:rsid w:val="00411B56"/>
    <w:rsid w:val="004153B0"/>
    <w:rsid w:val="0041565B"/>
    <w:rsid w:val="00416889"/>
    <w:rsid w:val="00416BD0"/>
    <w:rsid w:val="00420DEC"/>
    <w:rsid w:val="0042263A"/>
    <w:rsid w:val="00423098"/>
    <w:rsid w:val="0042423A"/>
    <w:rsid w:val="004260F1"/>
    <w:rsid w:val="004328D3"/>
    <w:rsid w:val="00435D71"/>
    <w:rsid w:val="00436DB0"/>
    <w:rsid w:val="0043781B"/>
    <w:rsid w:val="00443887"/>
    <w:rsid w:val="0044489E"/>
    <w:rsid w:val="00445680"/>
    <w:rsid w:val="00446ACE"/>
    <w:rsid w:val="00454332"/>
    <w:rsid w:val="004623C4"/>
    <w:rsid w:val="0046337C"/>
    <w:rsid w:val="004639DD"/>
    <w:rsid w:val="0047213F"/>
    <w:rsid w:val="00476076"/>
    <w:rsid w:val="00476517"/>
    <w:rsid w:val="00476A7D"/>
    <w:rsid w:val="00482A5D"/>
    <w:rsid w:val="00482CE4"/>
    <w:rsid w:val="00486E3D"/>
    <w:rsid w:val="00490DCB"/>
    <w:rsid w:val="00490FF2"/>
    <w:rsid w:val="0049174C"/>
    <w:rsid w:val="00497E4B"/>
    <w:rsid w:val="004A552E"/>
    <w:rsid w:val="004B356F"/>
    <w:rsid w:val="004C269A"/>
    <w:rsid w:val="004C3A81"/>
    <w:rsid w:val="004C49CA"/>
    <w:rsid w:val="004C6A18"/>
    <w:rsid w:val="004C70F1"/>
    <w:rsid w:val="004D5BF2"/>
    <w:rsid w:val="004D6CAC"/>
    <w:rsid w:val="004D765B"/>
    <w:rsid w:val="004E273B"/>
    <w:rsid w:val="004E2C69"/>
    <w:rsid w:val="004E2F26"/>
    <w:rsid w:val="004E330E"/>
    <w:rsid w:val="004F1B87"/>
    <w:rsid w:val="004F6158"/>
    <w:rsid w:val="004F7856"/>
    <w:rsid w:val="0050017A"/>
    <w:rsid w:val="005012C0"/>
    <w:rsid w:val="00513D07"/>
    <w:rsid w:val="00525C93"/>
    <w:rsid w:val="005325CA"/>
    <w:rsid w:val="005334DA"/>
    <w:rsid w:val="005341F2"/>
    <w:rsid w:val="00535A4E"/>
    <w:rsid w:val="005446AA"/>
    <w:rsid w:val="0055487F"/>
    <w:rsid w:val="005576EE"/>
    <w:rsid w:val="005606A8"/>
    <w:rsid w:val="005721E3"/>
    <w:rsid w:val="005742A0"/>
    <w:rsid w:val="00575BF2"/>
    <w:rsid w:val="00581C8D"/>
    <w:rsid w:val="0059199A"/>
    <w:rsid w:val="00592DF9"/>
    <w:rsid w:val="00595500"/>
    <w:rsid w:val="005A1093"/>
    <w:rsid w:val="005A245D"/>
    <w:rsid w:val="005A370D"/>
    <w:rsid w:val="005B18B6"/>
    <w:rsid w:val="005C2256"/>
    <w:rsid w:val="005C33D8"/>
    <w:rsid w:val="005D3492"/>
    <w:rsid w:val="005D74C2"/>
    <w:rsid w:val="005E58AB"/>
    <w:rsid w:val="005F2D0C"/>
    <w:rsid w:val="005F63A7"/>
    <w:rsid w:val="005F6A4E"/>
    <w:rsid w:val="006005A8"/>
    <w:rsid w:val="006018A7"/>
    <w:rsid w:val="006054E0"/>
    <w:rsid w:val="006067C3"/>
    <w:rsid w:val="006112E1"/>
    <w:rsid w:val="00617139"/>
    <w:rsid w:val="00620EC3"/>
    <w:rsid w:val="006314AA"/>
    <w:rsid w:val="00632352"/>
    <w:rsid w:val="00640AC5"/>
    <w:rsid w:val="006429FE"/>
    <w:rsid w:val="00647CDE"/>
    <w:rsid w:val="006501B6"/>
    <w:rsid w:val="00653DA5"/>
    <w:rsid w:val="00660947"/>
    <w:rsid w:val="00663ED3"/>
    <w:rsid w:val="006646BB"/>
    <w:rsid w:val="006724E2"/>
    <w:rsid w:val="0067378B"/>
    <w:rsid w:val="00675F2A"/>
    <w:rsid w:val="00682825"/>
    <w:rsid w:val="00684A60"/>
    <w:rsid w:val="00691E8B"/>
    <w:rsid w:val="006A00B2"/>
    <w:rsid w:val="006A17E6"/>
    <w:rsid w:val="006A22DF"/>
    <w:rsid w:val="006A2C34"/>
    <w:rsid w:val="006A50A4"/>
    <w:rsid w:val="006B0E15"/>
    <w:rsid w:val="006B7737"/>
    <w:rsid w:val="006C2B5C"/>
    <w:rsid w:val="006C2C62"/>
    <w:rsid w:val="006D10B0"/>
    <w:rsid w:val="006D1813"/>
    <w:rsid w:val="006D2062"/>
    <w:rsid w:val="006D26BC"/>
    <w:rsid w:val="006D42AF"/>
    <w:rsid w:val="006D6BA9"/>
    <w:rsid w:val="006E2151"/>
    <w:rsid w:val="006E2B88"/>
    <w:rsid w:val="006E2FD4"/>
    <w:rsid w:val="006E73C2"/>
    <w:rsid w:val="006E7805"/>
    <w:rsid w:val="006F0F51"/>
    <w:rsid w:val="006F2D44"/>
    <w:rsid w:val="006F5583"/>
    <w:rsid w:val="0070539E"/>
    <w:rsid w:val="0070768C"/>
    <w:rsid w:val="00710C50"/>
    <w:rsid w:val="00710EC0"/>
    <w:rsid w:val="007118A6"/>
    <w:rsid w:val="00715182"/>
    <w:rsid w:val="007153A3"/>
    <w:rsid w:val="00716A7D"/>
    <w:rsid w:val="00720906"/>
    <w:rsid w:val="007229F9"/>
    <w:rsid w:val="00724A18"/>
    <w:rsid w:val="00724B3D"/>
    <w:rsid w:val="00726533"/>
    <w:rsid w:val="00727C3F"/>
    <w:rsid w:val="0073008C"/>
    <w:rsid w:val="007313C5"/>
    <w:rsid w:val="00734E88"/>
    <w:rsid w:val="0074022F"/>
    <w:rsid w:val="00742056"/>
    <w:rsid w:val="007461C6"/>
    <w:rsid w:val="007529C0"/>
    <w:rsid w:val="00752FDD"/>
    <w:rsid w:val="0077564D"/>
    <w:rsid w:val="0077632B"/>
    <w:rsid w:val="00777A09"/>
    <w:rsid w:val="00780201"/>
    <w:rsid w:val="007808A9"/>
    <w:rsid w:val="00781AE6"/>
    <w:rsid w:val="00784D08"/>
    <w:rsid w:val="0078635A"/>
    <w:rsid w:val="0078686F"/>
    <w:rsid w:val="007869AF"/>
    <w:rsid w:val="00786AA3"/>
    <w:rsid w:val="007936DA"/>
    <w:rsid w:val="007939B1"/>
    <w:rsid w:val="00793CBE"/>
    <w:rsid w:val="00795EDF"/>
    <w:rsid w:val="0079790F"/>
    <w:rsid w:val="007A4C2B"/>
    <w:rsid w:val="007B284F"/>
    <w:rsid w:val="007B5410"/>
    <w:rsid w:val="007B59EF"/>
    <w:rsid w:val="007C048F"/>
    <w:rsid w:val="007C38D9"/>
    <w:rsid w:val="007D06E0"/>
    <w:rsid w:val="007E2C73"/>
    <w:rsid w:val="007E714F"/>
    <w:rsid w:val="007F322F"/>
    <w:rsid w:val="007F388C"/>
    <w:rsid w:val="00801F65"/>
    <w:rsid w:val="00805C0B"/>
    <w:rsid w:val="008137DB"/>
    <w:rsid w:val="008139A8"/>
    <w:rsid w:val="00814AF0"/>
    <w:rsid w:val="00815C28"/>
    <w:rsid w:val="00820DCB"/>
    <w:rsid w:val="0082272A"/>
    <w:rsid w:val="0082288D"/>
    <w:rsid w:val="00822A50"/>
    <w:rsid w:val="0082461A"/>
    <w:rsid w:val="00826900"/>
    <w:rsid w:val="00827374"/>
    <w:rsid w:val="00834E7D"/>
    <w:rsid w:val="00835D24"/>
    <w:rsid w:val="008405CD"/>
    <w:rsid w:val="00843C98"/>
    <w:rsid w:val="00855DD8"/>
    <w:rsid w:val="0085692F"/>
    <w:rsid w:val="0086053B"/>
    <w:rsid w:val="0086609E"/>
    <w:rsid w:val="008671BC"/>
    <w:rsid w:val="00873527"/>
    <w:rsid w:val="00873F95"/>
    <w:rsid w:val="00874974"/>
    <w:rsid w:val="00875B8F"/>
    <w:rsid w:val="00880178"/>
    <w:rsid w:val="008814FB"/>
    <w:rsid w:val="00883A5F"/>
    <w:rsid w:val="00884625"/>
    <w:rsid w:val="00891F3B"/>
    <w:rsid w:val="008952CC"/>
    <w:rsid w:val="008A0C9E"/>
    <w:rsid w:val="008B0EA1"/>
    <w:rsid w:val="008C1674"/>
    <w:rsid w:val="008C38FD"/>
    <w:rsid w:val="008C5A69"/>
    <w:rsid w:val="008C60F7"/>
    <w:rsid w:val="008C6EA4"/>
    <w:rsid w:val="008C70FE"/>
    <w:rsid w:val="008D4E54"/>
    <w:rsid w:val="008E7B72"/>
    <w:rsid w:val="008F5741"/>
    <w:rsid w:val="008F57AB"/>
    <w:rsid w:val="00900D42"/>
    <w:rsid w:val="00902532"/>
    <w:rsid w:val="00903F9D"/>
    <w:rsid w:val="0090424B"/>
    <w:rsid w:val="00904E69"/>
    <w:rsid w:val="009055A7"/>
    <w:rsid w:val="009068F5"/>
    <w:rsid w:val="009075B2"/>
    <w:rsid w:val="00914C7D"/>
    <w:rsid w:val="00914F6D"/>
    <w:rsid w:val="00916270"/>
    <w:rsid w:val="00924B06"/>
    <w:rsid w:val="0092575B"/>
    <w:rsid w:val="00931478"/>
    <w:rsid w:val="0093449B"/>
    <w:rsid w:val="00935C7C"/>
    <w:rsid w:val="00940DF2"/>
    <w:rsid w:val="00943251"/>
    <w:rsid w:val="009474F5"/>
    <w:rsid w:val="009520AB"/>
    <w:rsid w:val="00954B24"/>
    <w:rsid w:val="00954C00"/>
    <w:rsid w:val="00955882"/>
    <w:rsid w:val="0096054D"/>
    <w:rsid w:val="00967CA0"/>
    <w:rsid w:val="0098583B"/>
    <w:rsid w:val="0099021C"/>
    <w:rsid w:val="0099169A"/>
    <w:rsid w:val="0099665C"/>
    <w:rsid w:val="009968E0"/>
    <w:rsid w:val="009A1647"/>
    <w:rsid w:val="009A4AF1"/>
    <w:rsid w:val="009A7D64"/>
    <w:rsid w:val="009B59B5"/>
    <w:rsid w:val="009C0DA7"/>
    <w:rsid w:val="009C1D78"/>
    <w:rsid w:val="009C222C"/>
    <w:rsid w:val="009C6BE3"/>
    <w:rsid w:val="009D080D"/>
    <w:rsid w:val="009D09A0"/>
    <w:rsid w:val="009D3ADA"/>
    <w:rsid w:val="009D4477"/>
    <w:rsid w:val="009D57BF"/>
    <w:rsid w:val="009D656B"/>
    <w:rsid w:val="009D6816"/>
    <w:rsid w:val="009E19EA"/>
    <w:rsid w:val="009E33B0"/>
    <w:rsid w:val="009E3E54"/>
    <w:rsid w:val="009E5A1D"/>
    <w:rsid w:val="009F624B"/>
    <w:rsid w:val="009F74E7"/>
    <w:rsid w:val="00A00749"/>
    <w:rsid w:val="00A107C8"/>
    <w:rsid w:val="00A1229B"/>
    <w:rsid w:val="00A210B4"/>
    <w:rsid w:val="00A23829"/>
    <w:rsid w:val="00A269B6"/>
    <w:rsid w:val="00A277BC"/>
    <w:rsid w:val="00A320FD"/>
    <w:rsid w:val="00A41707"/>
    <w:rsid w:val="00A41A1F"/>
    <w:rsid w:val="00A420A1"/>
    <w:rsid w:val="00A4222F"/>
    <w:rsid w:val="00A4797E"/>
    <w:rsid w:val="00A4798E"/>
    <w:rsid w:val="00A500AD"/>
    <w:rsid w:val="00A51D31"/>
    <w:rsid w:val="00A51F97"/>
    <w:rsid w:val="00A52198"/>
    <w:rsid w:val="00A52A63"/>
    <w:rsid w:val="00A6060D"/>
    <w:rsid w:val="00A60B43"/>
    <w:rsid w:val="00A6359A"/>
    <w:rsid w:val="00A63BE1"/>
    <w:rsid w:val="00A66403"/>
    <w:rsid w:val="00A67786"/>
    <w:rsid w:val="00A772CD"/>
    <w:rsid w:val="00A813AB"/>
    <w:rsid w:val="00A82B69"/>
    <w:rsid w:val="00A86CD9"/>
    <w:rsid w:val="00A90773"/>
    <w:rsid w:val="00A92351"/>
    <w:rsid w:val="00A95051"/>
    <w:rsid w:val="00A9509A"/>
    <w:rsid w:val="00A977B3"/>
    <w:rsid w:val="00AA6CC8"/>
    <w:rsid w:val="00AD047F"/>
    <w:rsid w:val="00AD1E5C"/>
    <w:rsid w:val="00AD2BF6"/>
    <w:rsid w:val="00AD3CC3"/>
    <w:rsid w:val="00AD461A"/>
    <w:rsid w:val="00AD677D"/>
    <w:rsid w:val="00AD6A0B"/>
    <w:rsid w:val="00AE5EB8"/>
    <w:rsid w:val="00AE636C"/>
    <w:rsid w:val="00AF16DE"/>
    <w:rsid w:val="00AF6DCA"/>
    <w:rsid w:val="00B03BF5"/>
    <w:rsid w:val="00B12099"/>
    <w:rsid w:val="00B30313"/>
    <w:rsid w:val="00B30812"/>
    <w:rsid w:val="00B314FB"/>
    <w:rsid w:val="00B31CF4"/>
    <w:rsid w:val="00B32600"/>
    <w:rsid w:val="00B35CCD"/>
    <w:rsid w:val="00B36D7E"/>
    <w:rsid w:val="00B3791B"/>
    <w:rsid w:val="00B37F36"/>
    <w:rsid w:val="00B426CA"/>
    <w:rsid w:val="00B43ABF"/>
    <w:rsid w:val="00B44029"/>
    <w:rsid w:val="00B50BD2"/>
    <w:rsid w:val="00B513EF"/>
    <w:rsid w:val="00B520FA"/>
    <w:rsid w:val="00B62999"/>
    <w:rsid w:val="00B7185B"/>
    <w:rsid w:val="00B71FDA"/>
    <w:rsid w:val="00B743A7"/>
    <w:rsid w:val="00B751A2"/>
    <w:rsid w:val="00B76A36"/>
    <w:rsid w:val="00B82E91"/>
    <w:rsid w:val="00B85EEE"/>
    <w:rsid w:val="00B86B7B"/>
    <w:rsid w:val="00B91A3F"/>
    <w:rsid w:val="00B9373E"/>
    <w:rsid w:val="00B96D04"/>
    <w:rsid w:val="00B97A17"/>
    <w:rsid w:val="00BA35EB"/>
    <w:rsid w:val="00BA509D"/>
    <w:rsid w:val="00BB313D"/>
    <w:rsid w:val="00BC001F"/>
    <w:rsid w:val="00BC01A0"/>
    <w:rsid w:val="00BC3A7E"/>
    <w:rsid w:val="00BC3EB3"/>
    <w:rsid w:val="00BC44B4"/>
    <w:rsid w:val="00BC5BB5"/>
    <w:rsid w:val="00BC5E00"/>
    <w:rsid w:val="00BC6924"/>
    <w:rsid w:val="00BD10F8"/>
    <w:rsid w:val="00BD5F19"/>
    <w:rsid w:val="00BD6752"/>
    <w:rsid w:val="00BE0953"/>
    <w:rsid w:val="00BE11B1"/>
    <w:rsid w:val="00BE2404"/>
    <w:rsid w:val="00BE2CE7"/>
    <w:rsid w:val="00BE3635"/>
    <w:rsid w:val="00BE4B4F"/>
    <w:rsid w:val="00BE66E7"/>
    <w:rsid w:val="00BF7062"/>
    <w:rsid w:val="00C10003"/>
    <w:rsid w:val="00C10006"/>
    <w:rsid w:val="00C10014"/>
    <w:rsid w:val="00C16654"/>
    <w:rsid w:val="00C17457"/>
    <w:rsid w:val="00C209D0"/>
    <w:rsid w:val="00C21547"/>
    <w:rsid w:val="00C21F5B"/>
    <w:rsid w:val="00C22D9A"/>
    <w:rsid w:val="00C27516"/>
    <w:rsid w:val="00C31AB6"/>
    <w:rsid w:val="00C40D21"/>
    <w:rsid w:val="00C40E4A"/>
    <w:rsid w:val="00C44F52"/>
    <w:rsid w:val="00C45A9C"/>
    <w:rsid w:val="00C60FB8"/>
    <w:rsid w:val="00C61246"/>
    <w:rsid w:val="00C61951"/>
    <w:rsid w:val="00C647E4"/>
    <w:rsid w:val="00C66BEC"/>
    <w:rsid w:val="00C66EA7"/>
    <w:rsid w:val="00C67846"/>
    <w:rsid w:val="00C67D1C"/>
    <w:rsid w:val="00C71871"/>
    <w:rsid w:val="00C77F85"/>
    <w:rsid w:val="00C83DCD"/>
    <w:rsid w:val="00C86005"/>
    <w:rsid w:val="00C87E35"/>
    <w:rsid w:val="00CA6DEA"/>
    <w:rsid w:val="00CB32D3"/>
    <w:rsid w:val="00CB351D"/>
    <w:rsid w:val="00CC0352"/>
    <w:rsid w:val="00CC2D97"/>
    <w:rsid w:val="00CC3878"/>
    <w:rsid w:val="00CC4593"/>
    <w:rsid w:val="00CC53C5"/>
    <w:rsid w:val="00CD7483"/>
    <w:rsid w:val="00CD7BD0"/>
    <w:rsid w:val="00CE06A6"/>
    <w:rsid w:val="00CE6D59"/>
    <w:rsid w:val="00CF0DA1"/>
    <w:rsid w:val="00CF1D18"/>
    <w:rsid w:val="00CF75C4"/>
    <w:rsid w:val="00D0347F"/>
    <w:rsid w:val="00D03DBF"/>
    <w:rsid w:val="00D11547"/>
    <w:rsid w:val="00D129A6"/>
    <w:rsid w:val="00D13591"/>
    <w:rsid w:val="00D135A7"/>
    <w:rsid w:val="00D249EA"/>
    <w:rsid w:val="00D252A7"/>
    <w:rsid w:val="00D344DB"/>
    <w:rsid w:val="00D35F28"/>
    <w:rsid w:val="00D364B6"/>
    <w:rsid w:val="00D37537"/>
    <w:rsid w:val="00D40ABF"/>
    <w:rsid w:val="00D41126"/>
    <w:rsid w:val="00D4132C"/>
    <w:rsid w:val="00D45510"/>
    <w:rsid w:val="00D464DC"/>
    <w:rsid w:val="00D47B68"/>
    <w:rsid w:val="00D5034C"/>
    <w:rsid w:val="00D61CA8"/>
    <w:rsid w:val="00D66B1D"/>
    <w:rsid w:val="00D73135"/>
    <w:rsid w:val="00D735AD"/>
    <w:rsid w:val="00D81A18"/>
    <w:rsid w:val="00D81C24"/>
    <w:rsid w:val="00D84C80"/>
    <w:rsid w:val="00D84D75"/>
    <w:rsid w:val="00D85115"/>
    <w:rsid w:val="00D91D4E"/>
    <w:rsid w:val="00D91EFB"/>
    <w:rsid w:val="00D92434"/>
    <w:rsid w:val="00D94DBA"/>
    <w:rsid w:val="00D95DB4"/>
    <w:rsid w:val="00DA11A6"/>
    <w:rsid w:val="00DA1479"/>
    <w:rsid w:val="00DA57F1"/>
    <w:rsid w:val="00DA5A6C"/>
    <w:rsid w:val="00DA6317"/>
    <w:rsid w:val="00DB4D05"/>
    <w:rsid w:val="00DB790A"/>
    <w:rsid w:val="00DC216A"/>
    <w:rsid w:val="00DC4942"/>
    <w:rsid w:val="00DC7957"/>
    <w:rsid w:val="00DD37B0"/>
    <w:rsid w:val="00DD5A64"/>
    <w:rsid w:val="00DE51FA"/>
    <w:rsid w:val="00DE66A8"/>
    <w:rsid w:val="00DE7521"/>
    <w:rsid w:val="00DF1011"/>
    <w:rsid w:val="00DF1E30"/>
    <w:rsid w:val="00DF2D14"/>
    <w:rsid w:val="00DF31AE"/>
    <w:rsid w:val="00DF553C"/>
    <w:rsid w:val="00DF7BC0"/>
    <w:rsid w:val="00E007A6"/>
    <w:rsid w:val="00E01A5C"/>
    <w:rsid w:val="00E02353"/>
    <w:rsid w:val="00E034E4"/>
    <w:rsid w:val="00E052EB"/>
    <w:rsid w:val="00E0588A"/>
    <w:rsid w:val="00E05B7F"/>
    <w:rsid w:val="00E0724A"/>
    <w:rsid w:val="00E1257E"/>
    <w:rsid w:val="00E1349E"/>
    <w:rsid w:val="00E13EB1"/>
    <w:rsid w:val="00E14CD4"/>
    <w:rsid w:val="00E1784A"/>
    <w:rsid w:val="00E23CDC"/>
    <w:rsid w:val="00E30C8B"/>
    <w:rsid w:val="00E31A0B"/>
    <w:rsid w:val="00E33AD4"/>
    <w:rsid w:val="00E35A6B"/>
    <w:rsid w:val="00E4116E"/>
    <w:rsid w:val="00E41DB6"/>
    <w:rsid w:val="00E42186"/>
    <w:rsid w:val="00E460D3"/>
    <w:rsid w:val="00E50052"/>
    <w:rsid w:val="00E53B3A"/>
    <w:rsid w:val="00E55FA8"/>
    <w:rsid w:val="00E56A47"/>
    <w:rsid w:val="00E70B9F"/>
    <w:rsid w:val="00E717EB"/>
    <w:rsid w:val="00E7552F"/>
    <w:rsid w:val="00E763BA"/>
    <w:rsid w:val="00E80636"/>
    <w:rsid w:val="00E81633"/>
    <w:rsid w:val="00E84A62"/>
    <w:rsid w:val="00E84AB4"/>
    <w:rsid w:val="00E942B3"/>
    <w:rsid w:val="00E95CB2"/>
    <w:rsid w:val="00EA31B8"/>
    <w:rsid w:val="00EA4566"/>
    <w:rsid w:val="00EB169F"/>
    <w:rsid w:val="00EB3923"/>
    <w:rsid w:val="00EB76AA"/>
    <w:rsid w:val="00EC0D1F"/>
    <w:rsid w:val="00EC4B13"/>
    <w:rsid w:val="00EC5C7E"/>
    <w:rsid w:val="00ED283D"/>
    <w:rsid w:val="00ED42C4"/>
    <w:rsid w:val="00ED433B"/>
    <w:rsid w:val="00ED5C07"/>
    <w:rsid w:val="00EE1F7E"/>
    <w:rsid w:val="00EE459E"/>
    <w:rsid w:val="00EE4836"/>
    <w:rsid w:val="00EE7E08"/>
    <w:rsid w:val="00EF2972"/>
    <w:rsid w:val="00EF2A8B"/>
    <w:rsid w:val="00EF4237"/>
    <w:rsid w:val="00EF5CBA"/>
    <w:rsid w:val="00EF71B9"/>
    <w:rsid w:val="00F02EEC"/>
    <w:rsid w:val="00F0566C"/>
    <w:rsid w:val="00F05E06"/>
    <w:rsid w:val="00F071A6"/>
    <w:rsid w:val="00F14887"/>
    <w:rsid w:val="00F159DB"/>
    <w:rsid w:val="00F178E8"/>
    <w:rsid w:val="00F21391"/>
    <w:rsid w:val="00F23F2A"/>
    <w:rsid w:val="00F25EB9"/>
    <w:rsid w:val="00F31DE5"/>
    <w:rsid w:val="00F32913"/>
    <w:rsid w:val="00F34EF2"/>
    <w:rsid w:val="00F36600"/>
    <w:rsid w:val="00F3720A"/>
    <w:rsid w:val="00F37529"/>
    <w:rsid w:val="00F37D83"/>
    <w:rsid w:val="00F40851"/>
    <w:rsid w:val="00F40906"/>
    <w:rsid w:val="00F424AF"/>
    <w:rsid w:val="00F43329"/>
    <w:rsid w:val="00F46D8F"/>
    <w:rsid w:val="00F547AD"/>
    <w:rsid w:val="00F548E6"/>
    <w:rsid w:val="00F57723"/>
    <w:rsid w:val="00F62092"/>
    <w:rsid w:val="00F71714"/>
    <w:rsid w:val="00F77E1B"/>
    <w:rsid w:val="00F82799"/>
    <w:rsid w:val="00FA0746"/>
    <w:rsid w:val="00FA09E1"/>
    <w:rsid w:val="00FA1273"/>
    <w:rsid w:val="00FA1603"/>
    <w:rsid w:val="00FA26DC"/>
    <w:rsid w:val="00FA33BC"/>
    <w:rsid w:val="00FA6906"/>
    <w:rsid w:val="00FB09A3"/>
    <w:rsid w:val="00FB286D"/>
    <w:rsid w:val="00FB6843"/>
    <w:rsid w:val="00FC1916"/>
    <w:rsid w:val="00FC6CC8"/>
    <w:rsid w:val="00FD163D"/>
    <w:rsid w:val="00FD210E"/>
    <w:rsid w:val="00FD55E8"/>
    <w:rsid w:val="00FE0AD4"/>
    <w:rsid w:val="00FF3857"/>
    <w:rsid w:val="00FF42A8"/>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B71083-CACB-4259-8C55-A7837ABA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C7"/>
    <w:rPr>
      <w:sz w:val="24"/>
      <w:szCs w:val="24"/>
    </w:rPr>
  </w:style>
  <w:style w:type="paragraph" w:styleId="Heading1">
    <w:name w:val="heading 1"/>
    <w:basedOn w:val="Normal"/>
    <w:next w:val="Normal"/>
    <w:link w:val="Heading1Char"/>
    <w:qFormat/>
    <w:rsid w:val="001E35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E35C7"/>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1E35C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35C7"/>
    <w:rPr>
      <w:rFonts w:ascii="Cambria" w:hAnsi="Cambria"/>
      <w:b/>
      <w:bCs/>
      <w:kern w:val="32"/>
      <w:sz w:val="32"/>
      <w:szCs w:val="32"/>
      <w:lang w:bidi="ar-SA"/>
    </w:rPr>
  </w:style>
  <w:style w:type="character" w:customStyle="1" w:styleId="Heading2Char">
    <w:name w:val="Heading 2 Char"/>
    <w:link w:val="Heading2"/>
    <w:uiPriority w:val="9"/>
    <w:rsid w:val="001E35C7"/>
    <w:rPr>
      <w:rFonts w:ascii="Arial" w:hAnsi="Arial"/>
      <w:b/>
      <w:bCs/>
      <w:i/>
      <w:iCs/>
      <w:sz w:val="28"/>
      <w:szCs w:val="28"/>
      <w:lang w:bidi="ar-SA"/>
    </w:rPr>
  </w:style>
  <w:style w:type="character" w:customStyle="1" w:styleId="Heading3Char">
    <w:name w:val="Heading 3 Char"/>
    <w:link w:val="Heading3"/>
    <w:rsid w:val="001E35C7"/>
    <w:rPr>
      <w:rFonts w:ascii="Cambria" w:hAnsi="Cambria"/>
      <w:b/>
      <w:bCs/>
      <w:sz w:val="26"/>
      <w:szCs w:val="26"/>
      <w:lang w:bidi="ar-SA"/>
    </w:rPr>
  </w:style>
  <w:style w:type="paragraph" w:customStyle="1" w:styleId="CharCharCharCharCharCharChar">
    <w:name w:val="Char Char Char Char Char Char Char"/>
    <w:basedOn w:val="Normal"/>
    <w:autoRedefine/>
    <w:rsid w:val="001E35C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1E35C7"/>
    <w:pPr>
      <w:tabs>
        <w:tab w:val="center" w:pos="4320"/>
        <w:tab w:val="right" w:pos="8640"/>
      </w:tabs>
    </w:pPr>
  </w:style>
  <w:style w:type="character" w:customStyle="1" w:styleId="FooterChar">
    <w:name w:val="Footer Char"/>
    <w:link w:val="Footer"/>
    <w:rsid w:val="001E35C7"/>
    <w:rPr>
      <w:sz w:val="24"/>
      <w:szCs w:val="24"/>
      <w:lang w:bidi="ar-SA"/>
    </w:rPr>
  </w:style>
  <w:style w:type="character" w:styleId="PageNumber">
    <w:name w:val="page number"/>
    <w:basedOn w:val="DefaultParagraphFont"/>
    <w:rsid w:val="001E35C7"/>
  </w:style>
  <w:style w:type="paragraph" w:styleId="Header">
    <w:name w:val="header"/>
    <w:basedOn w:val="Normal"/>
    <w:link w:val="HeaderChar"/>
    <w:rsid w:val="001E35C7"/>
    <w:pPr>
      <w:tabs>
        <w:tab w:val="center" w:pos="4320"/>
        <w:tab w:val="right" w:pos="8640"/>
      </w:tabs>
    </w:pPr>
  </w:style>
  <w:style w:type="character" w:customStyle="1" w:styleId="HeaderChar">
    <w:name w:val="Header Char"/>
    <w:link w:val="Header"/>
    <w:rsid w:val="001E35C7"/>
    <w:rPr>
      <w:sz w:val="24"/>
      <w:szCs w:val="24"/>
      <w:lang w:bidi="ar-SA"/>
    </w:rPr>
  </w:style>
  <w:style w:type="paragraph" w:styleId="FootnoteText">
    <w:name w:val="footnote text"/>
    <w:basedOn w:val="Normal"/>
    <w:link w:val="FootnoteTextChar"/>
    <w:semiHidden/>
    <w:rsid w:val="001E35C7"/>
    <w:rPr>
      <w:sz w:val="20"/>
      <w:szCs w:val="20"/>
    </w:rPr>
  </w:style>
  <w:style w:type="character" w:customStyle="1" w:styleId="FootnoteTextChar">
    <w:name w:val="Footnote Text Char"/>
    <w:link w:val="FootnoteText"/>
    <w:semiHidden/>
    <w:rsid w:val="001E35C7"/>
    <w:rPr>
      <w:lang w:bidi="ar-SA"/>
    </w:rPr>
  </w:style>
  <w:style w:type="character" w:customStyle="1" w:styleId="BalloonTextChar">
    <w:name w:val="Balloon Text Char"/>
    <w:link w:val="BalloonText"/>
    <w:semiHidden/>
    <w:rsid w:val="001E35C7"/>
    <w:rPr>
      <w:rFonts w:ascii="Tahoma" w:hAnsi="Tahoma"/>
      <w:sz w:val="16"/>
      <w:szCs w:val="16"/>
      <w:lang w:bidi="ar-SA"/>
    </w:rPr>
  </w:style>
  <w:style w:type="paragraph" w:styleId="BalloonText">
    <w:name w:val="Balloon Text"/>
    <w:basedOn w:val="Normal"/>
    <w:link w:val="BalloonTextChar"/>
    <w:semiHidden/>
    <w:rsid w:val="001E35C7"/>
    <w:rPr>
      <w:rFonts w:ascii="Tahoma" w:hAnsi="Tahoma"/>
      <w:sz w:val="16"/>
      <w:szCs w:val="16"/>
    </w:rPr>
  </w:style>
  <w:style w:type="paragraph" w:styleId="DocumentMap">
    <w:name w:val="Document Map"/>
    <w:basedOn w:val="Normal"/>
    <w:link w:val="DocumentMapChar"/>
    <w:semiHidden/>
    <w:rsid w:val="001E35C7"/>
    <w:pPr>
      <w:shd w:val="clear" w:color="auto" w:fill="000080"/>
    </w:pPr>
    <w:rPr>
      <w:rFonts w:ascii="Tahoma" w:hAnsi="Tahoma"/>
      <w:sz w:val="20"/>
      <w:szCs w:val="20"/>
    </w:rPr>
  </w:style>
  <w:style w:type="character" w:customStyle="1" w:styleId="DocumentMapChar">
    <w:name w:val="Document Map Char"/>
    <w:link w:val="DocumentMap"/>
    <w:semiHidden/>
    <w:rsid w:val="001E35C7"/>
    <w:rPr>
      <w:rFonts w:ascii="Tahoma" w:hAnsi="Tahoma"/>
      <w:lang w:bidi="ar-SA"/>
    </w:rPr>
  </w:style>
  <w:style w:type="character" w:customStyle="1" w:styleId="normal-h1">
    <w:name w:val="normal-h1"/>
    <w:rsid w:val="001E35C7"/>
    <w:rPr>
      <w:rFonts w:ascii="Times New Roman" w:hAnsi="Times New Roman" w:cs="Times New Roman" w:hint="default"/>
      <w:sz w:val="28"/>
      <w:szCs w:val="28"/>
    </w:rPr>
  </w:style>
  <w:style w:type="paragraph" w:styleId="Title">
    <w:name w:val="Title"/>
    <w:basedOn w:val="Normal"/>
    <w:link w:val="TitleChar"/>
    <w:qFormat/>
    <w:rsid w:val="001E35C7"/>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link w:val="Title"/>
    <w:rsid w:val="001E35C7"/>
    <w:rPr>
      <w:rFonts w:ascii=".VnTimeH" w:eastAsia="MS Mincho" w:hAnsi=".VnTimeH"/>
      <w:b/>
      <w:bCs/>
      <w:sz w:val="32"/>
      <w:szCs w:val="32"/>
      <w:lang w:bidi="ar-SA"/>
    </w:rPr>
  </w:style>
  <w:style w:type="paragraph" w:styleId="BodyTextIndent2">
    <w:name w:val="Body Text Indent 2"/>
    <w:basedOn w:val="Normal"/>
    <w:link w:val="BodyTextIndent2Char"/>
    <w:uiPriority w:val="99"/>
    <w:rsid w:val="001E35C7"/>
    <w:pPr>
      <w:spacing w:before="60" w:after="60"/>
      <w:ind w:firstLine="567"/>
      <w:jc w:val="both"/>
    </w:pPr>
    <w:rPr>
      <w:rFonts w:ascii=".VnTime" w:hAnsi=".VnTime"/>
      <w:sz w:val="28"/>
      <w:szCs w:val="20"/>
    </w:rPr>
  </w:style>
  <w:style w:type="character" w:customStyle="1" w:styleId="BodyTextIndent2Char">
    <w:name w:val="Body Text Indent 2 Char"/>
    <w:link w:val="BodyTextIndent2"/>
    <w:uiPriority w:val="99"/>
    <w:rsid w:val="001E35C7"/>
    <w:rPr>
      <w:rFonts w:ascii=".VnTime" w:hAnsi=".VnTime"/>
      <w:sz w:val="28"/>
      <w:lang w:bidi="ar-SA"/>
    </w:rPr>
  </w:style>
  <w:style w:type="character" w:customStyle="1" w:styleId="apple-converted-space">
    <w:name w:val="apple-converted-space"/>
    <w:basedOn w:val="DefaultParagraphFont"/>
    <w:rsid w:val="001E35C7"/>
  </w:style>
  <w:style w:type="character" w:styleId="Strong">
    <w:name w:val="Strong"/>
    <w:qFormat/>
    <w:rsid w:val="00AD2BF6"/>
    <w:rPr>
      <w:b/>
      <w:bCs/>
    </w:rPr>
  </w:style>
  <w:style w:type="character" w:styleId="Hyperlink">
    <w:name w:val="Hyperlink"/>
    <w:uiPriority w:val="99"/>
    <w:unhideWhenUsed/>
    <w:rsid w:val="00AD2BF6"/>
    <w:rPr>
      <w:color w:val="0000FF"/>
      <w:u w:val="single"/>
    </w:rPr>
  </w:style>
  <w:style w:type="paragraph" w:styleId="BodyText">
    <w:name w:val="Body Text"/>
    <w:basedOn w:val="Normal"/>
    <w:link w:val="BodyTextChar"/>
    <w:rsid w:val="006D1813"/>
    <w:pPr>
      <w:spacing w:after="120"/>
    </w:pPr>
  </w:style>
  <w:style w:type="character" w:customStyle="1" w:styleId="BodyTextChar">
    <w:name w:val="Body Text Char"/>
    <w:link w:val="BodyText"/>
    <w:rsid w:val="006D1813"/>
    <w:rPr>
      <w:sz w:val="24"/>
      <w:szCs w:val="24"/>
    </w:rPr>
  </w:style>
  <w:style w:type="paragraph" w:styleId="ListParagraph">
    <w:name w:val="List Paragraph"/>
    <w:basedOn w:val="Normal"/>
    <w:uiPriority w:val="34"/>
    <w:qFormat/>
    <w:rsid w:val="00114567"/>
    <w:pPr>
      <w:spacing w:after="200" w:line="276" w:lineRule="auto"/>
      <w:ind w:left="720"/>
      <w:contextualSpacing/>
    </w:pPr>
    <w:rPr>
      <w:rFonts w:ascii="Calibri" w:eastAsia="Calibri" w:hAnsi="Calibri"/>
      <w:sz w:val="22"/>
      <w:szCs w:val="22"/>
    </w:rPr>
  </w:style>
  <w:style w:type="character" w:styleId="FootnoteReference">
    <w:name w:val="footnote reference"/>
    <w:rsid w:val="006429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3709-10DE-4CE6-9CA4-8E2D1F15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4607</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BẢN TỔNG HỢP Ý KIẾN GÓP Ý CỦA CÁC CƠ QUAN, TỔ CHỨC, CÁ NHÂN VỀ DỰ THẢO NGHỊ ĐỊNH QUY ĐỊNH CHI TIẾT MỘT SỐ ĐIỀU VÀ BIỆN PHÁP THI HÀNH LUẬT BAN HÀNH VĂN BẢN QUY PHẠM PHÁP LUẬT</vt:lpstr>
    </vt:vector>
  </TitlesOfParts>
  <Company>HOME</Company>
  <LinksUpToDate>false</LinksUpToDate>
  <CharactersWithSpaces>30812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TỔNG HỢP Ý KIẾN GÓP Ý CỦA CÁC CƠ QUAN, TỔ CHỨC, CÁ NHÂN VỀ DỰ THẢO NGHỊ ĐỊNH QUY ĐỊNH CHI TIẾT MỘT SỐ ĐIỀU VÀ BIỆN PHÁP THI HÀNH LUẬT BAN HÀNH VĂN BẢN QUY PHẠM PHÁP LUẬT</dc:title>
  <dc:subject/>
  <dc:creator>user</dc:creator>
  <cp:keywords/>
  <cp:lastModifiedBy>Admin</cp:lastModifiedBy>
  <cp:revision>3</cp:revision>
  <cp:lastPrinted>2017-11-23T08:59:00Z</cp:lastPrinted>
  <dcterms:created xsi:type="dcterms:W3CDTF">2017-11-23T09:43:00Z</dcterms:created>
  <dcterms:modified xsi:type="dcterms:W3CDTF">2017-11-23T09:56:00Z</dcterms:modified>
</cp:coreProperties>
</file>