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2" w:type="dxa"/>
        <w:tblCellMar>
          <w:top w:w="15" w:type="dxa"/>
          <w:left w:w="15" w:type="dxa"/>
          <w:bottom w:w="15" w:type="dxa"/>
          <w:right w:w="15" w:type="dxa"/>
        </w:tblCellMar>
        <w:tblLook w:val="04A0" w:firstRow="1" w:lastRow="0" w:firstColumn="1" w:lastColumn="0" w:noHBand="0" w:noVBand="1"/>
      </w:tblPr>
      <w:tblGrid>
        <w:gridCol w:w="2380"/>
        <w:gridCol w:w="6872"/>
      </w:tblGrid>
      <w:tr w:rsidR="004E4A44" w:rsidRPr="004E4A44" w:rsidTr="004E4A44">
        <w:trPr>
          <w:trHeight w:val="284"/>
        </w:trPr>
        <w:tc>
          <w:tcPr>
            <w:tcW w:w="0" w:type="auto"/>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t>CHÍNH PHỦ</w:t>
            </w:r>
            <w:r w:rsidRPr="004E4A44">
              <w:rPr>
                <w:rFonts w:ascii="Times New Roman" w:eastAsia="Times New Roman" w:hAnsi="Times New Roman" w:cs="Times New Roman"/>
                <w:b/>
                <w:bCs/>
                <w:sz w:val="24"/>
                <w:szCs w:val="20"/>
              </w:rPr>
              <w:br w:type="textWrapping" w:clear="all"/>
            </w:r>
          </w:p>
        </w:tc>
        <w:tc>
          <w:tcPr>
            <w:tcW w:w="0" w:type="auto"/>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t>CỘNG HÒA XÃ HỘI CHỦ NGHĨA VIỆT NAM</w:t>
            </w:r>
            <w:r w:rsidRPr="004E4A44">
              <w:rPr>
                <w:rFonts w:ascii="Times New Roman" w:eastAsia="Times New Roman" w:hAnsi="Times New Roman" w:cs="Times New Roman"/>
                <w:b/>
                <w:bCs/>
                <w:sz w:val="24"/>
                <w:szCs w:val="20"/>
              </w:rPr>
              <w:br w:type="textWrapping" w:clear="all"/>
              <w:t>Độc lập - Tự do - Hạnh phúc</w:t>
            </w:r>
          </w:p>
        </w:tc>
      </w:tr>
      <w:tr w:rsidR="004E4A44" w:rsidRPr="004E4A44" w:rsidTr="004E4A44">
        <w:trPr>
          <w:trHeight w:val="284"/>
        </w:trPr>
        <w:tc>
          <w:tcPr>
            <w:tcW w:w="0" w:type="auto"/>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sz w:val="24"/>
                <w:szCs w:val="20"/>
              </w:rPr>
              <w:t>Số: /2017/NĐ-CP</w:t>
            </w:r>
          </w:p>
        </w:tc>
        <w:tc>
          <w:tcPr>
            <w:tcW w:w="0" w:type="auto"/>
            <w:hideMark/>
          </w:tcPr>
          <w:p w:rsidR="004E4A44" w:rsidRPr="004E4A44" w:rsidRDefault="004E4A44" w:rsidP="004E4A44">
            <w:pPr>
              <w:spacing w:before="120" w:after="120" w:line="312" w:lineRule="auto"/>
              <w:jc w:val="right"/>
              <w:rPr>
                <w:rFonts w:ascii="Times New Roman" w:eastAsia="Times New Roman" w:hAnsi="Times New Roman" w:cs="Times New Roman"/>
                <w:sz w:val="32"/>
                <w:szCs w:val="24"/>
              </w:rPr>
            </w:pPr>
            <w:r w:rsidRPr="004E4A44">
              <w:rPr>
                <w:rFonts w:ascii="Times New Roman" w:eastAsia="Times New Roman" w:hAnsi="Times New Roman" w:cs="Times New Roman"/>
                <w:i/>
                <w:iCs/>
                <w:sz w:val="24"/>
                <w:szCs w:val="20"/>
              </w:rPr>
              <w:t>Hà Nội, ngày tháng năm 2017</w:t>
            </w:r>
          </w:p>
        </w:tc>
      </w:tr>
    </w:tbl>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w:t>
      </w:r>
    </w:p>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NGHỊ ĐỊNH</w:t>
      </w:r>
    </w:p>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 xml:space="preserve">Sửa đổi, bổ sung một số điều của Nghị định số 98/2013/NĐ-CP ngày 28/8/2013 của Chính phủ quy định về xử phạt </w:t>
      </w:r>
      <w:proofErr w:type="gramStart"/>
      <w:r w:rsidRPr="004E4A44">
        <w:rPr>
          <w:rFonts w:ascii="Times New Roman" w:eastAsia="Times New Roman" w:hAnsi="Times New Roman" w:cs="Times New Roman"/>
          <w:b/>
          <w:bCs/>
          <w:color w:val="333333"/>
          <w:sz w:val="24"/>
          <w:szCs w:val="20"/>
        </w:rPr>
        <w:t>vi</w:t>
      </w:r>
      <w:proofErr w:type="gramEnd"/>
      <w:r w:rsidRPr="004E4A44">
        <w:rPr>
          <w:rFonts w:ascii="Times New Roman" w:eastAsia="Times New Roman" w:hAnsi="Times New Roman" w:cs="Times New Roman"/>
          <w:b/>
          <w:bCs/>
          <w:color w:val="333333"/>
          <w:sz w:val="24"/>
          <w:szCs w:val="20"/>
        </w:rPr>
        <w:t xml:space="preserve"> phạm hành chính trong lĩnh vực kinh doanh bảo hiểm, kinh doanh xổ số</w:t>
      </w:r>
    </w:p>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Cs w:val="18"/>
        </w:rPr>
        <w:t> </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Căn cứ Luật Tổ chức Chính phủ ngày 19 tháng 6 năm 2015;</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Căn cứ Luật Xử lý </w:t>
      </w:r>
      <w:proofErr w:type="gramStart"/>
      <w:r w:rsidRPr="004E4A44">
        <w:rPr>
          <w:rFonts w:ascii="Times New Roman" w:eastAsia="Times New Roman" w:hAnsi="Times New Roman" w:cs="Times New Roman"/>
          <w:i/>
          <w:iCs/>
          <w:color w:val="333333"/>
          <w:sz w:val="24"/>
          <w:szCs w:val="20"/>
        </w:rPr>
        <w:t>vi</w:t>
      </w:r>
      <w:proofErr w:type="gramEnd"/>
      <w:r w:rsidRPr="004E4A44">
        <w:rPr>
          <w:rFonts w:ascii="Times New Roman" w:eastAsia="Times New Roman" w:hAnsi="Times New Roman" w:cs="Times New Roman"/>
          <w:i/>
          <w:iCs/>
          <w:color w:val="333333"/>
          <w:sz w:val="24"/>
          <w:szCs w:val="20"/>
        </w:rPr>
        <w:t xml:space="preserve"> phạm hành chính ngày 20 tháng 6 năm 2012;</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Căn cứ Luật Kinh doanh bảo hiểm ngày 09 tháng 12 năm 2000, Luật sửa đổi, bổ sung một số điều của Luật Kinh doanh bảo hiểm ngày 24 tháng 11 năm 2010;</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Theo đề nghị của Bộ trưởng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Chính phủ ban hành Nghị định sửa đổi, bổ sung một số điều của Nghị định số 98/2013/NĐ-CP ngày 28/8/2013 của Chính phủ quy định về xử phạt </w:t>
      </w:r>
      <w:proofErr w:type="gramStart"/>
      <w:r w:rsidRPr="004E4A44">
        <w:rPr>
          <w:rFonts w:ascii="Times New Roman" w:eastAsia="Times New Roman" w:hAnsi="Times New Roman" w:cs="Times New Roman"/>
          <w:i/>
          <w:iCs/>
          <w:color w:val="333333"/>
          <w:sz w:val="24"/>
          <w:szCs w:val="20"/>
        </w:rPr>
        <w:t>vi</w:t>
      </w:r>
      <w:proofErr w:type="gramEnd"/>
      <w:r w:rsidRPr="004E4A44">
        <w:rPr>
          <w:rFonts w:ascii="Times New Roman" w:eastAsia="Times New Roman" w:hAnsi="Times New Roman" w:cs="Times New Roman"/>
          <w:i/>
          <w:iCs/>
          <w:color w:val="333333"/>
          <w:sz w:val="24"/>
          <w:szCs w:val="20"/>
        </w:rPr>
        <w:t xml:space="preserve"> phạm hành chính trong lĩnh vực kinh doanh bảo hiểm, kinh doanh xổ số,</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bookmarkStart w:id="0" w:name="chuong_1"/>
      <w:bookmarkEnd w:id="0"/>
      <w:r w:rsidRPr="004E4A44">
        <w:rPr>
          <w:rFonts w:ascii="Times New Roman" w:eastAsia="Times New Roman" w:hAnsi="Times New Roman" w:cs="Times New Roman"/>
          <w:b/>
          <w:bCs/>
          <w:color w:val="333333"/>
          <w:sz w:val="24"/>
          <w:szCs w:val="20"/>
          <w:u w:val="single"/>
        </w:rPr>
        <w:t>Điều 1. Sửa đổi, bổ sung một số điều của </w:t>
      </w:r>
      <w:r w:rsidRPr="004E4A44">
        <w:rPr>
          <w:rFonts w:ascii="Times New Roman" w:eastAsia="Times New Roman" w:hAnsi="Times New Roman" w:cs="Times New Roman"/>
          <w:b/>
          <w:bCs/>
          <w:color w:val="333333"/>
          <w:sz w:val="24"/>
          <w:szCs w:val="20"/>
        </w:rPr>
        <w:t>Nghị định số 98/2013/NĐ-CP</w:t>
      </w:r>
      <w:r w:rsidRPr="004E4A44">
        <w:rPr>
          <w:rFonts w:ascii="Times New Roman" w:eastAsia="Times New Roman" w:hAnsi="Times New Roman" w:cs="Times New Roman"/>
          <w:b/>
          <w:bCs/>
          <w:color w:val="333333"/>
          <w:sz w:val="24"/>
          <w:szCs w:val="20"/>
          <w:u w:val="single"/>
        </w:rPr>
        <w:t xml:space="preserve"> ngày 28/8/2013 của Chính phủ quy định về xử phạt </w:t>
      </w:r>
      <w:proofErr w:type="gramStart"/>
      <w:r w:rsidRPr="004E4A44">
        <w:rPr>
          <w:rFonts w:ascii="Times New Roman" w:eastAsia="Times New Roman" w:hAnsi="Times New Roman" w:cs="Times New Roman"/>
          <w:b/>
          <w:bCs/>
          <w:color w:val="333333"/>
          <w:sz w:val="24"/>
          <w:szCs w:val="20"/>
          <w:u w:val="single"/>
        </w:rPr>
        <w:t>vi</w:t>
      </w:r>
      <w:proofErr w:type="gramEnd"/>
      <w:r w:rsidRPr="004E4A44">
        <w:rPr>
          <w:rFonts w:ascii="Times New Roman" w:eastAsia="Times New Roman" w:hAnsi="Times New Roman" w:cs="Times New Roman"/>
          <w:b/>
          <w:bCs/>
          <w:color w:val="333333"/>
          <w:sz w:val="24"/>
          <w:szCs w:val="20"/>
          <w:u w:val="single"/>
        </w:rPr>
        <w:t xml:space="preserve"> phạm hành chính trong lĩnh vực kinh doanh bảo hiểm, kinh doanh xổ số:</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1. Khoản 1 Điều 7 được sửa đổi, bổ sung</w:t>
      </w:r>
      <w:r w:rsidRPr="004E4A44">
        <w:rPr>
          <w:rFonts w:ascii="Times New Roman" w:eastAsia="Times New Roman" w:hAnsi="Times New Roman" w:cs="Times New Roman"/>
          <w:b/>
          <w:bCs/>
          <w:color w:val="333333"/>
          <w:sz w:val="24"/>
          <w:szCs w:val="20"/>
        </w:rPr>
        <w:t> như sau:</w:t>
      </w:r>
    </w:p>
    <w:p w:rsidR="004E4A44" w:rsidRPr="004E4A44" w:rsidRDefault="004E4A44" w:rsidP="004E4A44">
      <w:pPr>
        <w:shd w:val="clear" w:color="auto" w:fill="FFFFFF"/>
        <w:spacing w:before="120" w:after="120" w:line="312" w:lineRule="auto"/>
        <w:ind w:firstLine="567"/>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“1. Phạt cảnh cáo đối với một trong các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Không thực hiện </w:t>
      </w:r>
      <w:r w:rsidRPr="004E4A44">
        <w:rPr>
          <w:rFonts w:ascii="Times New Roman" w:eastAsia="Times New Roman" w:hAnsi="Times New Roman" w:cs="Times New Roman"/>
          <w:i/>
          <w:iCs/>
          <w:color w:val="333333"/>
          <w:sz w:val="24"/>
          <w:szCs w:val="20"/>
        </w:rPr>
        <w:t>đăng báo hàng ngày trong 05 số báo liên tiếp</w:t>
      </w:r>
      <w:r w:rsidRPr="004E4A44">
        <w:rPr>
          <w:rFonts w:ascii="Times New Roman" w:eastAsia="Times New Roman" w:hAnsi="Times New Roman" w:cs="Times New Roman"/>
          <w:color w:val="333333"/>
          <w:sz w:val="24"/>
          <w:szCs w:val="20"/>
        </w:rPr>
        <w:t> nơi doanh nghiệp bảo hiểm, doanh nghiệp tái bảo hiểm, doanh nghiệp môi giới bảo hiểm, chi nhánh doanh nghiệp bảo hiểm phi nhân thọ nước ngoài</w:t>
      </w:r>
      <w:r w:rsidRPr="004E4A44">
        <w:rPr>
          <w:rFonts w:ascii="Times New Roman" w:eastAsia="Times New Roman" w:hAnsi="Times New Roman" w:cs="Times New Roman"/>
          <w:i/>
          <w:iCs/>
          <w:color w:val="333333"/>
          <w:sz w:val="24"/>
          <w:szCs w:val="20"/>
        </w:rPr>
        <w:t>, Văn phòng đại diện </w:t>
      </w:r>
      <w:r w:rsidRPr="004E4A44">
        <w:rPr>
          <w:rFonts w:ascii="Times New Roman" w:eastAsia="Times New Roman" w:hAnsi="Times New Roman" w:cs="Times New Roman"/>
          <w:color w:val="333333"/>
          <w:sz w:val="24"/>
          <w:szCs w:val="20"/>
        </w:rPr>
        <w:t>đặt trụ sở chính về những nội dung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Công bố không đúng thời hạn một trong những nội dung trong Giấy phép thành lập và hoạt động </w:t>
      </w:r>
      <w:r w:rsidRPr="004E4A44">
        <w:rPr>
          <w:rFonts w:ascii="Times New Roman" w:eastAsia="Times New Roman" w:hAnsi="Times New Roman" w:cs="Times New Roman"/>
          <w:i/>
          <w:iCs/>
          <w:color w:val="333333"/>
          <w:sz w:val="24"/>
          <w:szCs w:val="20"/>
        </w:rPr>
        <w:t>hoặc Giấy phép đặt Văn phòng đại diện</w:t>
      </w:r>
      <w:r w:rsidRPr="004E4A44">
        <w:rPr>
          <w:rFonts w:ascii="Times New Roman" w:eastAsia="Times New Roman" w:hAnsi="Times New Roman" w:cs="Times New Roman"/>
          <w:color w:val="333333"/>
          <w:sz w:val="24"/>
          <w:szCs w:val="20"/>
        </w:rPr>
        <w:t>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c) Không công bố các nội dung</w:t>
      </w:r>
      <w:r w:rsidRPr="004E4A44">
        <w:rPr>
          <w:rFonts w:ascii="Times New Roman" w:eastAsia="Times New Roman" w:hAnsi="Times New Roman" w:cs="Times New Roman"/>
          <w:i/>
          <w:iCs/>
          <w:color w:val="333333"/>
          <w:sz w:val="24"/>
          <w:szCs w:val="20"/>
        </w:rPr>
        <w:t> hoặc nội dung</w:t>
      </w:r>
      <w:r w:rsidRPr="004E4A44">
        <w:rPr>
          <w:rFonts w:ascii="Times New Roman" w:eastAsia="Times New Roman" w:hAnsi="Times New Roman" w:cs="Times New Roman"/>
          <w:color w:val="333333"/>
          <w:sz w:val="24"/>
          <w:szCs w:val="20"/>
        </w:rPr>
        <w:t> </w:t>
      </w:r>
      <w:r w:rsidRPr="004E4A44">
        <w:rPr>
          <w:rFonts w:ascii="Times New Roman" w:eastAsia="Times New Roman" w:hAnsi="Times New Roman" w:cs="Times New Roman"/>
          <w:i/>
          <w:iCs/>
          <w:color w:val="333333"/>
          <w:sz w:val="24"/>
          <w:szCs w:val="20"/>
        </w:rPr>
        <w:t>sửa đổi, bổ sung</w:t>
      </w:r>
      <w:r w:rsidRPr="004E4A44">
        <w:rPr>
          <w:rFonts w:ascii="Times New Roman" w:eastAsia="Times New Roman" w:hAnsi="Times New Roman" w:cs="Times New Roman"/>
          <w:color w:val="333333"/>
          <w:sz w:val="24"/>
          <w:szCs w:val="20"/>
        </w:rPr>
        <w:t> tại Giấy phép đặt Văn phòng đại diện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lastRenderedPageBreak/>
        <w:t>2. Khoản 2, Khoản 3, Khoản 4 </w:t>
      </w:r>
      <w:r w:rsidRPr="004E4A44">
        <w:rPr>
          <w:rFonts w:ascii="Times New Roman" w:eastAsia="Times New Roman" w:hAnsi="Times New Roman" w:cs="Times New Roman"/>
          <w:b/>
          <w:bCs/>
          <w:color w:val="333333"/>
          <w:sz w:val="24"/>
          <w:szCs w:val="20"/>
          <w:u w:val="single"/>
        </w:rPr>
        <w:t>Đ</w:t>
      </w:r>
      <w:r w:rsidRPr="004E4A44">
        <w:rPr>
          <w:rFonts w:ascii="Times New Roman" w:eastAsia="Times New Roman" w:hAnsi="Times New Roman" w:cs="Times New Roman"/>
          <w:b/>
          <w:bCs/>
          <w:color w:val="333333"/>
          <w:sz w:val="24"/>
          <w:szCs w:val="20"/>
        </w:rPr>
        <w:t>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a)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d Khoản 2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“d) Bổ nhiệm Tổng Giám đốc (Giám đốc), Phó Tổng Giám đốc (Phó Giám đốc), </w:t>
      </w:r>
      <w:r w:rsidRPr="004E4A44">
        <w:rPr>
          <w:rFonts w:ascii="Times New Roman" w:eastAsia="Times New Roman" w:hAnsi="Times New Roman" w:cs="Times New Roman"/>
          <w:i/>
          <w:iCs/>
          <w:color w:val="333333"/>
          <w:sz w:val="24"/>
          <w:szCs w:val="20"/>
        </w:rPr>
        <w:t>Giám đốc chi nhánh, Trưởng Văn phòng đại diện</w:t>
      </w:r>
      <w:r w:rsidRPr="004E4A44">
        <w:rPr>
          <w:rFonts w:ascii="Times New Roman" w:eastAsia="Times New Roman" w:hAnsi="Times New Roman" w:cs="Times New Roman"/>
          <w:color w:val="333333"/>
          <w:sz w:val="24"/>
          <w:szCs w:val="20"/>
        </w:rPr>
        <w:t> doanh nghiệp bảo hiểm, doanh nghiệp tái bảo hiểm, doanh nghiệp môi giới bảo hiểm kiêm nhiệm chức danh người đứng đầu của quá một (01) chi nhánh hoặc văn phòng đại diện của doanh nghiệp bảo hiểm, doanh nghiệp tái bảo hiểm, doanh nghiệp môi giới bảo hiểm hoặc các bộ phận nghiệp vụ. </w:t>
      </w:r>
      <w:r w:rsidRPr="004E4A44">
        <w:rPr>
          <w:rFonts w:ascii="Times New Roman" w:eastAsia="Times New Roman" w:hAnsi="Times New Roman" w:cs="Times New Roman"/>
          <w:i/>
          <w:iCs/>
          <w:color w:val="333333"/>
          <w:sz w:val="24"/>
          <w:szCs w:val="20"/>
        </w:rPr>
        <w:t>Bổ nhiệm Giám đốc, Phó Giám đốc của chi nhánh nước ngoài kiêm nhiệm chức danh người đứng đầu của quá một (01) bộ phận nghiệp vụ của chi nhánh đó.</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b)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e Khoản 2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“e) Bổ nhiệm chuyên gia tính toán của doanh nghiệp bảo hiểm nhân thọ, doanh nghiệp bảo hiểm sức khỏe, chuyên gia tính toán dự phòng và khả năng thanh toán của doanh nghiệp bảo hiểm phi nhân thọ, doanh nghiệp tái bảo hiểm, chi nhánh nước ngoài đồng thời kiêm nhiệm các chức danh Tổng Giám đốc (Giám đốc), kế toán trưởng”.</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c)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a Khoản 3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Bổ nhiệm các Phó Tổng giám đốc (Phó Giám đốc), chuyên gia tính toán, Giám đốc Chi nhánh, Trưởng Văn phòng đại diện, Trưởng Ban Kiểm soát, </w:t>
      </w:r>
      <w:r w:rsidRPr="004E4A44">
        <w:rPr>
          <w:rFonts w:ascii="Times New Roman" w:eastAsia="Times New Roman" w:hAnsi="Times New Roman" w:cs="Times New Roman"/>
          <w:i/>
          <w:iCs/>
          <w:color w:val="333333"/>
          <w:sz w:val="24"/>
          <w:szCs w:val="20"/>
        </w:rPr>
        <w:t>Kiểm soát viên, Trưởng Ban kiểm toán nội bộ, </w:t>
      </w:r>
      <w:r w:rsidRPr="004E4A44">
        <w:rPr>
          <w:rFonts w:ascii="Times New Roman" w:eastAsia="Times New Roman" w:hAnsi="Times New Roman" w:cs="Times New Roman"/>
          <w:color w:val="333333"/>
          <w:sz w:val="24"/>
          <w:szCs w:val="20"/>
        </w:rPr>
        <w:t>người đứng đầu các bộ phận nghiệp vụ, tái bảo hiểm, đầu tư, thành viên Hội đồng quản trị, Hội đồng thành viên không đáp ứng được các tiêu chuẩn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d)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b khoản 4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Không bổ nhiệm Chủ tịch Hội đồng quản trị (Chủ tịch Hội đồng thành viên, Chủ tịch công ty), Tổng Giám đốc (Giám đốc), </w:t>
      </w:r>
      <w:r w:rsidRPr="004E4A44">
        <w:rPr>
          <w:rFonts w:ascii="Times New Roman" w:eastAsia="Times New Roman" w:hAnsi="Times New Roman" w:cs="Times New Roman"/>
          <w:i/>
          <w:iCs/>
          <w:color w:val="333333"/>
          <w:sz w:val="24"/>
          <w:szCs w:val="20"/>
        </w:rPr>
        <w:t>Chuyên gia tính toán, Chuyên gia tính toán dự phòng và biên khả năng thanh toán</w:t>
      </w:r>
      <w:r w:rsidRPr="004E4A44">
        <w:rPr>
          <w:rFonts w:ascii="Times New Roman" w:eastAsia="Times New Roman" w:hAnsi="Times New Roman" w:cs="Times New Roman"/>
          <w:color w:val="333333"/>
          <w:sz w:val="24"/>
          <w:szCs w:val="20"/>
        </w:rPr>
        <w:t>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3. Điều 10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 xml:space="preserve">“Điều 10. Xử phạt đối với hành </w:t>
      </w:r>
      <w:proofErr w:type="gramStart"/>
      <w:r w:rsidRPr="004E4A44">
        <w:rPr>
          <w:rFonts w:ascii="Times New Roman" w:eastAsia="Times New Roman" w:hAnsi="Times New Roman" w:cs="Times New Roman"/>
          <w:b/>
          <w:bCs/>
          <w:color w:val="333333"/>
          <w:sz w:val="24"/>
          <w:szCs w:val="20"/>
        </w:rPr>
        <w:t>vi</w:t>
      </w:r>
      <w:proofErr w:type="gramEnd"/>
      <w:r w:rsidRPr="004E4A44">
        <w:rPr>
          <w:rFonts w:ascii="Times New Roman" w:eastAsia="Times New Roman" w:hAnsi="Times New Roman" w:cs="Times New Roman"/>
          <w:b/>
          <w:bCs/>
          <w:color w:val="333333"/>
          <w:sz w:val="24"/>
          <w:szCs w:val="20"/>
        </w:rPr>
        <w:t xml:space="preserve"> vi phạm quy định về chuyên gia tính toán (Appointed Actuary), chuyên gia tính toán dự phòng nghiệp vụ và khả năng thanh toán</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1. Phạt cảnh cáo đối với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thay đổi chuyên gia tính toán, chuyên gia tính toán dự phòng và khả năng thanh toán không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2. Phạt tiền từ 30.000.000 đồng đến 40.000.000 đồng đối với chuyên gia tính toán của doanh nghiệp bảo hiểm nhân thọ, </w:t>
      </w:r>
      <w:r w:rsidRPr="004E4A44">
        <w:rPr>
          <w:rFonts w:ascii="Times New Roman" w:eastAsia="Times New Roman" w:hAnsi="Times New Roman" w:cs="Times New Roman"/>
          <w:i/>
          <w:iCs/>
          <w:color w:val="333333"/>
          <w:sz w:val="24"/>
          <w:szCs w:val="20"/>
        </w:rPr>
        <w:t>doanh nghiệp bảo hiểm sức khỏe</w:t>
      </w:r>
      <w:r w:rsidRPr="004E4A44">
        <w:rPr>
          <w:rFonts w:ascii="Times New Roman" w:eastAsia="Times New Roman" w:hAnsi="Times New Roman" w:cs="Times New Roman"/>
          <w:color w:val="333333"/>
          <w:sz w:val="24"/>
          <w:szCs w:val="20"/>
        </w:rPr>
        <w:t xml:space="preserve"> không thực hiện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a) Tính toán phí bảo hiểm và tham gia xây dựng quy tắc, điều khoản của các sản phẩm bảo hiểm; xác nhận phí bảo hiểm;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lastRenderedPageBreak/>
        <w:t>b) Hàng năm đánh giá chênh lệch giữa các giả định tính phí với thực tế triển khai của từng sản phẩm;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c) Đánh giá chương trình tái bảo hiểm, hợp đồng tái bảo hiểm và các nhiệm vụ khác để bảo đảm </w:t>
      </w:r>
      <w:proofErr w:type="gramStart"/>
      <w:r w:rsidRPr="004E4A44">
        <w:rPr>
          <w:rFonts w:ascii="Times New Roman" w:eastAsia="Times New Roman" w:hAnsi="Times New Roman" w:cs="Times New Roman"/>
          <w:color w:val="333333"/>
          <w:sz w:val="24"/>
          <w:szCs w:val="20"/>
        </w:rPr>
        <w:t>an</w:t>
      </w:r>
      <w:proofErr w:type="gramEnd"/>
      <w:r w:rsidRPr="004E4A44">
        <w:rPr>
          <w:rFonts w:ascii="Times New Roman" w:eastAsia="Times New Roman" w:hAnsi="Times New Roman" w:cs="Times New Roman"/>
          <w:color w:val="333333"/>
          <w:sz w:val="24"/>
          <w:szCs w:val="20"/>
        </w:rPr>
        <w:t xml:space="preserve"> toàn tài chính cho doanh nghiệp bảo hiểm.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3. Phạt tiền từ 30.000.000 đồng đến 40.000.000 đồng đối với chuyên gia tính toán dự phòng nghiệp vụ và khả năng thanh toán của doanh nghiệp bảo hiểm phi nhân thọ, </w:t>
      </w:r>
      <w:r w:rsidRPr="004E4A44">
        <w:rPr>
          <w:rFonts w:ascii="Times New Roman" w:eastAsia="Times New Roman" w:hAnsi="Times New Roman" w:cs="Times New Roman"/>
          <w:i/>
          <w:iCs/>
          <w:color w:val="333333"/>
          <w:sz w:val="24"/>
          <w:szCs w:val="20"/>
        </w:rPr>
        <w:t>doanh nghiệp tái bảo hiểm, chi nhánh nước ngoài</w:t>
      </w:r>
      <w:r w:rsidRPr="004E4A44">
        <w:rPr>
          <w:rFonts w:ascii="Times New Roman" w:eastAsia="Times New Roman" w:hAnsi="Times New Roman" w:cs="Times New Roman"/>
          <w:color w:val="333333"/>
          <w:sz w:val="24"/>
          <w:szCs w:val="20"/>
        </w:rPr>
        <w:t>không thực hiện theo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w:t>
      </w:r>
      <w:r w:rsidRPr="004E4A44">
        <w:rPr>
          <w:rFonts w:ascii="Times New Roman" w:eastAsia="Times New Roman" w:hAnsi="Times New Roman" w:cs="Times New Roman"/>
          <w:i/>
          <w:iCs/>
          <w:color w:val="333333"/>
          <w:sz w:val="24"/>
          <w:szCs w:val="20"/>
        </w:rPr>
        <w:t>Tính toán phí bảo hiểm và tham gia xây dựng quy tắc, điều khoản của các sản phẩm bảo hiểm, tái bảo hiểm; xác nhận phí bảo hiểm</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Đánh giá tình hình chi bồi thường;</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c) Đánh giá chương trình tái bảo hiểm và các hợp đồng tái bảo hiểm trước khi trình Ban Giám đốc, Hội đồng quản trị (Hội đồng thành viên, Chủ tịch công ty) phê duyệt.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4. Phạt tiền từ 90.000.000 đồng đến 100.000.000 đồng đối với chuyên gia tính toán của doanh nghiệp bảo hiểm nhân thọ không thực hiện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w:t>
      </w:r>
      <w:r w:rsidRPr="004E4A44">
        <w:rPr>
          <w:rFonts w:ascii="Times New Roman" w:eastAsia="Times New Roman" w:hAnsi="Times New Roman" w:cs="Times New Roman"/>
          <w:i/>
          <w:iCs/>
          <w:color w:val="333333"/>
          <w:sz w:val="24"/>
          <w:szCs w:val="20"/>
        </w:rPr>
        <w:t>Tính toán việc trích lập dự phòng nghiệp vụ bảo hiểm</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w:t>
      </w:r>
      <w:r w:rsidRPr="004E4A44">
        <w:rPr>
          <w:rFonts w:ascii="Times New Roman" w:eastAsia="Times New Roman" w:hAnsi="Times New Roman" w:cs="Times New Roman"/>
          <w:i/>
          <w:iCs/>
          <w:color w:val="333333"/>
          <w:sz w:val="24"/>
          <w:szCs w:val="20"/>
        </w:rPr>
        <w:t>Tham gia thực hiện việc tách quỹ và tính toán phân chia thặng dư hàng năm của quỹ chủ hợp đồng bảo hiểm</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 Định kỳ hàng tháng, đánh giá khả năng thanh toán của doanh nghiệp bảo hiểm nhân thọ, doanh nghiệp bảo hiểm sức khỏe và xác nhận vào báo cáo khả năng thanh toán gửi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5. Phạt tiền từ 90.000.000 đồng đến 100.000.000 đồng đối với chuyên gia tính toán dự phòng nghiệp vụ và khả năng thanh toán của doanh nghiệp bảo hiểm phi nhân thọ, chi nhánh doanh nghiệp bảo hiểm phi nhân thọ nước ngoài không thực hiện theo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w:t>
      </w:r>
      <w:r w:rsidRPr="004E4A44">
        <w:rPr>
          <w:rFonts w:ascii="Times New Roman" w:eastAsia="Times New Roman" w:hAnsi="Times New Roman" w:cs="Times New Roman"/>
          <w:i/>
          <w:iCs/>
          <w:color w:val="333333"/>
          <w:sz w:val="24"/>
          <w:szCs w:val="20"/>
        </w:rPr>
        <w:t>Tính toán việc trích lập dự phòng nghiệp vụ bảo hiểm;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b) Tham gia thực hiện tách nguồn vốn chủ sở hữu và nguồn phí bảo hiểm phù hợp với quy định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 Định kỳ hàng quý tính toán khả năng thanh toán của doanh nghiệp bảo hiểm phi nhân thọ, doanh nghiệp tái bảo hiểm, chi nhánh nước ngoài và xác nhận vào báo cáo khả năng thanh toán gửi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4. </w:t>
      </w:r>
      <w:r w:rsidRPr="004E4A44">
        <w:rPr>
          <w:rFonts w:ascii="Times New Roman" w:eastAsia="Times New Roman" w:hAnsi="Times New Roman" w:cs="Times New Roman"/>
          <w:b/>
          <w:bCs/>
          <w:color w:val="333333"/>
          <w:sz w:val="24"/>
          <w:szCs w:val="20"/>
        </w:rPr>
        <w:t>Đ</w:t>
      </w:r>
      <w:r w:rsidRPr="004E4A44">
        <w:rPr>
          <w:rFonts w:ascii="Times New Roman" w:eastAsia="Times New Roman" w:hAnsi="Times New Roman" w:cs="Times New Roman"/>
          <w:b/>
          <w:bCs/>
          <w:color w:val="333333"/>
          <w:sz w:val="24"/>
          <w:szCs w:val="20"/>
          <w:u w:val="single"/>
        </w:rPr>
        <w:t>iểm b Khoản 2 Điều 12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u w:val="single"/>
        </w:rPr>
        <w:lastRenderedPageBreak/>
        <w:t>“b) Giữ lại mức trách nhiệm tối đa trên mỗi rủi ro hoặc trên mỗi tổn thất riêng lẻ quá</w:t>
      </w:r>
      <w:r w:rsidRPr="004E4A44">
        <w:rPr>
          <w:rFonts w:ascii="Times New Roman" w:eastAsia="Times New Roman" w:hAnsi="Times New Roman" w:cs="Times New Roman"/>
          <w:color w:val="333333"/>
          <w:sz w:val="24"/>
          <w:szCs w:val="20"/>
        </w:rPr>
        <w:t> </w:t>
      </w:r>
      <w:r w:rsidRPr="004E4A44">
        <w:rPr>
          <w:rFonts w:ascii="Times New Roman" w:eastAsia="Times New Roman" w:hAnsi="Times New Roman" w:cs="Times New Roman"/>
          <w:i/>
          <w:iCs/>
          <w:color w:val="333333"/>
          <w:sz w:val="24"/>
          <w:szCs w:val="20"/>
        </w:rPr>
        <w:t>10% vốn chủ sở hữu.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5. Khoản 3 Điều 14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3. Phạt tiền từ 90.000.000 đồng đến 100.000.000 đồng đối với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gian </w:t>
      </w:r>
      <w:r w:rsidRPr="004E4A44">
        <w:rPr>
          <w:rFonts w:ascii="Times New Roman" w:eastAsia="Times New Roman" w:hAnsi="Times New Roman" w:cs="Times New Roman"/>
          <w:i/>
          <w:iCs/>
          <w:color w:val="333333"/>
          <w:sz w:val="24"/>
          <w:szCs w:val="20"/>
        </w:rPr>
        <w:t>lận trong kinh doanh bảo hiểm mà không bị truy cứu trách nhiệm hình sự.</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6. Điều 17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bookmarkStart w:id="1" w:name="dieu_17"/>
      <w:bookmarkEnd w:id="1"/>
      <w:r w:rsidRPr="004E4A44">
        <w:rPr>
          <w:rFonts w:ascii="Times New Roman" w:eastAsia="Times New Roman" w:hAnsi="Times New Roman" w:cs="Times New Roman"/>
          <w:b/>
          <w:bCs/>
          <w:i/>
          <w:iCs/>
          <w:color w:val="333333"/>
          <w:sz w:val="24"/>
          <w:szCs w:val="20"/>
        </w:rPr>
        <w:t>a) Sửa đổi tên Điều 17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 xml:space="preserve">Điều 17. Xử phạt đối với hành </w:t>
      </w:r>
      <w:proofErr w:type="gramStart"/>
      <w:r w:rsidRPr="004E4A44">
        <w:rPr>
          <w:rFonts w:ascii="Times New Roman" w:eastAsia="Times New Roman" w:hAnsi="Times New Roman" w:cs="Times New Roman"/>
          <w:b/>
          <w:bCs/>
          <w:color w:val="333333"/>
          <w:sz w:val="24"/>
          <w:szCs w:val="20"/>
        </w:rPr>
        <w:t>vi</w:t>
      </w:r>
      <w:proofErr w:type="gramEnd"/>
      <w:r w:rsidRPr="004E4A44">
        <w:rPr>
          <w:rFonts w:ascii="Times New Roman" w:eastAsia="Times New Roman" w:hAnsi="Times New Roman" w:cs="Times New Roman"/>
          <w:b/>
          <w:bCs/>
          <w:color w:val="333333"/>
          <w:sz w:val="24"/>
          <w:szCs w:val="20"/>
        </w:rPr>
        <w:t xml:space="preserve"> vi phạm quy định về triển khai bảo hiểm nhân thọ, bảo hiểm sức khỏe </w:t>
      </w:r>
      <w:r w:rsidRPr="004E4A44">
        <w:rPr>
          <w:rFonts w:ascii="Times New Roman" w:eastAsia="Times New Roman" w:hAnsi="Times New Roman" w:cs="Times New Roman"/>
          <w:b/>
          <w:bCs/>
          <w:i/>
          <w:iCs/>
          <w:color w:val="333333"/>
          <w:sz w:val="24"/>
          <w:szCs w:val="20"/>
        </w:rPr>
        <w:t>của doanh nghiệp bảo hiểm, chi nhánh doanh nghiệp bảo hiểm nước ngoài.</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 xml:space="preserve">b) Bổ sung điểm đ khoản </w:t>
      </w:r>
      <w:proofErr w:type="gramStart"/>
      <w:r w:rsidRPr="004E4A44">
        <w:rPr>
          <w:rFonts w:ascii="Times New Roman" w:eastAsia="Times New Roman" w:hAnsi="Times New Roman" w:cs="Times New Roman"/>
          <w:b/>
          <w:bCs/>
          <w:i/>
          <w:iCs/>
          <w:color w:val="333333"/>
          <w:sz w:val="24"/>
          <w:szCs w:val="20"/>
        </w:rPr>
        <w:t>2 Điều</w:t>
      </w:r>
      <w:proofErr w:type="gramEnd"/>
      <w:r w:rsidRPr="004E4A44">
        <w:rPr>
          <w:rFonts w:ascii="Times New Roman" w:eastAsia="Times New Roman" w:hAnsi="Times New Roman" w:cs="Times New Roman"/>
          <w:b/>
          <w:bCs/>
          <w:i/>
          <w:iCs/>
          <w:color w:val="333333"/>
          <w:sz w:val="24"/>
          <w:szCs w:val="20"/>
        </w:rPr>
        <w:t xml:space="preserve"> 17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“đ) Ép buộc các tổ chức, cá nhân mua bảo hiểm dưới mọi hình thức”.</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7.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u w:val="single"/>
        </w:rPr>
        <w:t>a) Khoản 1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“1. Phạt cảnh cáo đối với một trong các hành </w:t>
      </w:r>
      <w:proofErr w:type="gramStart"/>
      <w:r w:rsidRPr="004E4A44">
        <w:rPr>
          <w:rFonts w:ascii="Times New Roman" w:eastAsia="Times New Roman" w:hAnsi="Times New Roman" w:cs="Times New Roman"/>
          <w:i/>
          <w:iCs/>
          <w:color w:val="333333"/>
          <w:sz w:val="24"/>
          <w:szCs w:val="20"/>
        </w:rPr>
        <w:t>vi</w:t>
      </w:r>
      <w:proofErr w:type="gramEnd"/>
      <w:r w:rsidRPr="004E4A44">
        <w:rPr>
          <w:rFonts w:ascii="Times New Roman" w:eastAsia="Times New Roman" w:hAnsi="Times New Roman" w:cs="Times New Roman"/>
          <w:i/>
          <w:iCs/>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a) Báo cáo danh sách các sản phẩm mới được triển khai trong tháng trước liền kề không đúng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u w:val="single"/>
        </w:rPr>
        <w:t xml:space="preserve">b) Công bố không đúng thời hạn các sản phẩm bảo hiểm được phép triển khai </w:t>
      </w:r>
      <w:proofErr w:type="gramStart"/>
      <w:r w:rsidRPr="004E4A44">
        <w:rPr>
          <w:rFonts w:ascii="Times New Roman" w:eastAsia="Times New Roman" w:hAnsi="Times New Roman" w:cs="Times New Roman"/>
          <w:i/>
          <w:iCs/>
          <w:color w:val="333333"/>
          <w:sz w:val="24"/>
          <w:szCs w:val="20"/>
          <w:u w:val="single"/>
        </w:rPr>
        <w:t>theo</w:t>
      </w:r>
      <w:proofErr w:type="gramEnd"/>
      <w:r w:rsidRPr="004E4A44">
        <w:rPr>
          <w:rFonts w:ascii="Times New Roman" w:eastAsia="Times New Roman" w:hAnsi="Times New Roman" w:cs="Times New Roman"/>
          <w:i/>
          <w:iCs/>
          <w:color w:val="333333"/>
          <w:sz w:val="24"/>
          <w:szCs w:val="20"/>
          <w:u w:val="single"/>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u w:val="single"/>
        </w:rPr>
        <w:t>b) Điểm c Khoản 2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 Không đăng ký quy tắc, điều khoản, biểu phí với Bộ Tài chính đối với các sản phẩm bảo hiểm thuộc nghiệp vụ bảo hiểm xe cơ giới trước khi triển khai</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u w:val="single"/>
        </w:rPr>
        <w:t>c) Khoản 3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“3. Phạt tiền từ 60.000.000 đồng đến 70.000.000 đồng đối với một trong các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Không tuân thủ quy tắc, điều khoản, biểu phí đã được Bộ Tài chính phê chuẩn;</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b) Không tuân thủ quy tắc, điều khoản, biểu phí đã đăng ký với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c) Sửa đổi, bổ sung quy tắc, điều khoản, biểu phí khi chưa được sự đồng ý bằng văn bản của Bộ Tài chính;</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8. Điểm a khoản 1 Điều 26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lastRenderedPageBreak/>
        <w:t>“a) Vốn chủ sở hữu </w:t>
      </w:r>
      <w:r w:rsidRPr="004E4A44">
        <w:rPr>
          <w:rFonts w:ascii="Times New Roman" w:eastAsia="Times New Roman" w:hAnsi="Times New Roman" w:cs="Times New Roman"/>
          <w:i/>
          <w:iCs/>
          <w:color w:val="333333"/>
          <w:sz w:val="24"/>
          <w:szCs w:val="20"/>
        </w:rPr>
        <w:t>thấp hơn vốn pháp định</w:t>
      </w:r>
      <w:r w:rsidRPr="004E4A44">
        <w:rPr>
          <w:rFonts w:ascii="Times New Roman" w:eastAsia="Times New Roman" w:hAnsi="Times New Roman" w:cs="Times New Roman"/>
          <w:color w:val="333333"/>
          <w:sz w:val="24"/>
          <w:szCs w:val="20"/>
        </w:rPr>
        <w:t>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pháp luật;”</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9. Khoản 2 Điều 29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“2. Phạt tiền từ 60.000.000 đồng đến 70.000.000 đồng đối với một trong các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a) Đầu tư ngoài các nguồn vốn được phép đầu tư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b) Đầu tư vốn nhàn rỗi từ dự phòng nghiệp vụ vượt quá tỷ lệ được phép đầu tư vào các lĩnh vực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 Đầu tư quá 30% nguồn vốn đầu tư vào các công ty trong cùng một tập đoàn hay một nhóm công ty có quan hệ sở hữu lẫn nhau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d) Doanh nghiệp tái bảo hiểm thực hiện đầu tư nguồn vốn nhàn rỗi từ dự phòng nghiệp vụ bảo hiểm không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đ) Đầu tư từ nguồn vốn chủ sở hữu không </w:t>
      </w:r>
      <w:proofErr w:type="gramStart"/>
      <w:r w:rsidRPr="004E4A44">
        <w:rPr>
          <w:rFonts w:ascii="Times New Roman" w:eastAsia="Times New Roman" w:hAnsi="Times New Roman" w:cs="Times New Roman"/>
          <w:i/>
          <w:iCs/>
          <w:color w:val="333333"/>
          <w:sz w:val="24"/>
          <w:szCs w:val="20"/>
        </w:rPr>
        <w:t>theo</w:t>
      </w:r>
      <w:proofErr w:type="gramEnd"/>
      <w:r w:rsidRPr="004E4A44">
        <w:rPr>
          <w:rFonts w:ascii="Times New Roman" w:eastAsia="Times New Roman" w:hAnsi="Times New Roman" w:cs="Times New Roman"/>
          <w:i/>
          <w:iCs/>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Điều 2. Bãi bỏ quy định tại một số điều của </w:t>
      </w:r>
      <w:r w:rsidRPr="004E4A44">
        <w:rPr>
          <w:rFonts w:ascii="Times New Roman" w:eastAsia="Times New Roman" w:hAnsi="Times New Roman" w:cs="Times New Roman"/>
          <w:b/>
          <w:bCs/>
          <w:color w:val="333333"/>
          <w:sz w:val="24"/>
          <w:szCs w:val="20"/>
        </w:rPr>
        <w:t>Nghị định số 98/2013/NĐ-CP</w:t>
      </w:r>
      <w:r w:rsidRPr="004E4A44">
        <w:rPr>
          <w:rFonts w:ascii="Times New Roman" w:eastAsia="Times New Roman" w:hAnsi="Times New Roman" w:cs="Times New Roman"/>
          <w:b/>
          <w:bCs/>
          <w:color w:val="333333"/>
          <w:sz w:val="24"/>
          <w:szCs w:val="20"/>
          <w:u w:val="single"/>
        </w:rPr>
        <w:t> ngày 28/8/2013 của Chính phủ quy định về xử phạt vi phạm hành chính trong lĩnh vực kinh doanh bảo hiểm, kinh doanh xổ số như sau:</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1. Bãi bỏ quy định tại Khoản 1 Điều 9.</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2. Bãi bỏ quy định tại điểm b Khoản 2 Điều 14.</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bookmarkStart w:id="2" w:name="dc_54"/>
      <w:bookmarkEnd w:id="2"/>
      <w:r w:rsidRPr="004E4A44">
        <w:rPr>
          <w:rFonts w:ascii="Times New Roman" w:eastAsia="Times New Roman" w:hAnsi="Times New Roman" w:cs="Times New Roman"/>
          <w:color w:val="333333"/>
          <w:sz w:val="24"/>
          <w:szCs w:val="20"/>
        </w:rPr>
        <w:t>3. Bãi bỏ quy định tại điểm b, điểm c, điểm d và điểm đ Khoản 1 Điều 26.</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Điều 3. Hiệu lực thi hành và tổ chức thực hiện:</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u w:val="single"/>
        </w:rPr>
        <w:t>1. Nghị định này có hiệu lực thi hành kể từ ngày … tháng … năm ….</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u w:val="single"/>
        </w:rPr>
        <w:t>2. Các Bộ trưởng, Thủ trưởng cơ quan ngang bộ, Thủ trưởng cơ quan thuộc Chính phủ, Chủ tịch Ủy ban nhân dân các tỉnh, thành phố trực thuộc trung ương và các đối tượng áp dụng của Nghị định chịu trách nhiệm thi hành Nghị định này./.</w:t>
      </w:r>
    </w:p>
    <w:tbl>
      <w:tblPr>
        <w:tblW w:w="9252" w:type="dxa"/>
        <w:tblInd w:w="115" w:type="dxa"/>
        <w:tblCellMar>
          <w:top w:w="15" w:type="dxa"/>
          <w:left w:w="15" w:type="dxa"/>
          <w:bottom w:w="15" w:type="dxa"/>
          <w:right w:w="15" w:type="dxa"/>
        </w:tblCellMar>
        <w:tblLook w:val="04A0" w:firstRow="1" w:lastRow="0" w:firstColumn="1" w:lastColumn="0" w:noHBand="0" w:noVBand="1"/>
      </w:tblPr>
      <w:tblGrid>
        <w:gridCol w:w="7515"/>
        <w:gridCol w:w="1737"/>
      </w:tblGrid>
      <w:tr w:rsidR="004E4A44" w:rsidRPr="004E4A44" w:rsidTr="004E4A44">
        <w:trPr>
          <w:trHeight w:val="284"/>
        </w:trPr>
        <w:tc>
          <w:tcPr>
            <w:tcW w:w="0" w:type="auto"/>
            <w:tcBorders>
              <w:top w:val="nil"/>
              <w:left w:val="nil"/>
              <w:bottom w:val="nil"/>
              <w:right w:val="nil"/>
            </w:tcBorders>
            <w:hideMark/>
          </w:tcPr>
          <w:p w:rsidR="004E4A44" w:rsidRPr="004E4A44" w:rsidRDefault="004E4A44" w:rsidP="004E4A44">
            <w:pPr>
              <w:spacing w:before="120" w:after="120" w:line="312" w:lineRule="auto"/>
              <w:rPr>
                <w:rFonts w:ascii="Times New Roman" w:eastAsia="Times New Roman" w:hAnsi="Times New Roman" w:cs="Times New Roman"/>
                <w:sz w:val="32"/>
                <w:szCs w:val="24"/>
              </w:rPr>
            </w:pPr>
            <w:r w:rsidRPr="004E4A44">
              <w:rPr>
                <w:rFonts w:ascii="Times New Roman" w:eastAsia="Times New Roman" w:hAnsi="Times New Roman" w:cs="Times New Roman"/>
                <w:sz w:val="24"/>
                <w:szCs w:val="20"/>
              </w:rPr>
              <w:t> </w:t>
            </w:r>
            <w:r w:rsidRPr="004E4A44">
              <w:rPr>
                <w:rFonts w:ascii="Times New Roman" w:eastAsia="Times New Roman" w:hAnsi="Times New Roman" w:cs="Times New Roman"/>
                <w:b/>
                <w:bCs/>
                <w:i/>
                <w:iCs/>
                <w:sz w:val="24"/>
                <w:szCs w:val="20"/>
              </w:rPr>
              <w:t>Nơi nhận:</w:t>
            </w:r>
            <w:r w:rsidRPr="004E4A44">
              <w:rPr>
                <w:rFonts w:ascii="Times New Roman" w:eastAsia="Times New Roman" w:hAnsi="Times New Roman" w:cs="Times New Roman"/>
                <w:b/>
                <w:bCs/>
                <w:i/>
                <w:iCs/>
                <w:sz w:val="24"/>
                <w:szCs w:val="20"/>
              </w:rPr>
              <w:br w:type="textWrapping" w:clear="all"/>
            </w:r>
            <w:r w:rsidRPr="004E4A44">
              <w:rPr>
                <w:rFonts w:ascii="Times New Roman" w:eastAsia="Times New Roman" w:hAnsi="Times New Roman" w:cs="Times New Roman"/>
                <w:sz w:val="24"/>
                <w:szCs w:val="20"/>
              </w:rPr>
              <w:t>- Ban Bí thư Trung ương Đảng;</w:t>
            </w:r>
            <w:r w:rsidRPr="004E4A44">
              <w:rPr>
                <w:rFonts w:ascii="Times New Roman" w:eastAsia="Times New Roman" w:hAnsi="Times New Roman" w:cs="Times New Roman"/>
                <w:sz w:val="24"/>
                <w:szCs w:val="20"/>
              </w:rPr>
              <w:br w:type="textWrapping" w:clear="all"/>
              <w:t>- Thủ tướng, các Phó Thủ tướng Chính phủ;</w:t>
            </w:r>
            <w:r w:rsidRPr="004E4A44">
              <w:rPr>
                <w:rFonts w:ascii="Times New Roman" w:eastAsia="Times New Roman" w:hAnsi="Times New Roman" w:cs="Times New Roman"/>
                <w:sz w:val="24"/>
                <w:szCs w:val="20"/>
              </w:rPr>
              <w:br w:type="textWrapping" w:clear="all"/>
              <w:t>- Các bộ, cơ quan ngang bộ, cơ quan thuộc Chính phủ;</w:t>
            </w:r>
            <w:r w:rsidRPr="004E4A44">
              <w:rPr>
                <w:rFonts w:ascii="Times New Roman" w:eastAsia="Times New Roman" w:hAnsi="Times New Roman" w:cs="Times New Roman"/>
                <w:sz w:val="24"/>
                <w:szCs w:val="20"/>
              </w:rPr>
              <w:br w:type="textWrapping" w:clear="all"/>
              <w:t>- HĐND, UBND các tỉnh, thành phố trực thuộc trung ương;</w:t>
            </w:r>
            <w:r w:rsidRPr="004E4A44">
              <w:rPr>
                <w:rFonts w:ascii="Times New Roman" w:eastAsia="Times New Roman" w:hAnsi="Times New Roman" w:cs="Times New Roman"/>
                <w:sz w:val="24"/>
                <w:szCs w:val="20"/>
              </w:rPr>
              <w:br w:type="textWrapping" w:clear="all"/>
              <w:t>- Văn phòng Trung ương và các Ban của Đảng;</w:t>
            </w:r>
            <w:r w:rsidRPr="004E4A44">
              <w:rPr>
                <w:rFonts w:ascii="Times New Roman" w:eastAsia="Times New Roman" w:hAnsi="Times New Roman" w:cs="Times New Roman"/>
                <w:sz w:val="24"/>
                <w:szCs w:val="20"/>
              </w:rPr>
              <w:br w:type="textWrapping" w:clear="all"/>
              <w:t>- Văn phòng Tổng Bí thư;</w:t>
            </w:r>
            <w:r w:rsidRPr="004E4A44">
              <w:rPr>
                <w:rFonts w:ascii="Times New Roman" w:eastAsia="Times New Roman" w:hAnsi="Times New Roman" w:cs="Times New Roman"/>
                <w:sz w:val="24"/>
                <w:szCs w:val="20"/>
              </w:rPr>
              <w:br w:type="textWrapping" w:clear="all"/>
              <w:t>- Văn phòng Chủ tịch nước;</w:t>
            </w:r>
            <w:r w:rsidRPr="004E4A44">
              <w:rPr>
                <w:rFonts w:ascii="Times New Roman" w:eastAsia="Times New Roman" w:hAnsi="Times New Roman" w:cs="Times New Roman"/>
                <w:sz w:val="24"/>
                <w:szCs w:val="20"/>
              </w:rPr>
              <w:br w:type="textWrapping" w:clear="all"/>
            </w:r>
            <w:r w:rsidRPr="004E4A44">
              <w:rPr>
                <w:rFonts w:ascii="Times New Roman" w:eastAsia="Times New Roman" w:hAnsi="Times New Roman" w:cs="Times New Roman"/>
                <w:sz w:val="24"/>
                <w:szCs w:val="20"/>
              </w:rPr>
              <w:lastRenderedPageBreak/>
              <w:t>- Hội đồng dân tộc và các Ủy ban của Quốc hội;</w:t>
            </w:r>
            <w:r w:rsidRPr="004E4A44">
              <w:rPr>
                <w:rFonts w:ascii="Times New Roman" w:eastAsia="Times New Roman" w:hAnsi="Times New Roman" w:cs="Times New Roman"/>
                <w:sz w:val="24"/>
                <w:szCs w:val="20"/>
              </w:rPr>
              <w:br w:type="textWrapping" w:clear="all"/>
              <w:t>- Văn phòng Quốc hội;</w:t>
            </w:r>
            <w:r w:rsidRPr="004E4A44">
              <w:rPr>
                <w:rFonts w:ascii="Times New Roman" w:eastAsia="Times New Roman" w:hAnsi="Times New Roman" w:cs="Times New Roman"/>
                <w:sz w:val="24"/>
                <w:szCs w:val="20"/>
              </w:rPr>
              <w:br w:type="textWrapping" w:clear="all"/>
              <w:t>- Tòa án nhân dân tối cao;</w:t>
            </w:r>
            <w:r w:rsidRPr="004E4A44">
              <w:rPr>
                <w:rFonts w:ascii="Times New Roman" w:eastAsia="Times New Roman" w:hAnsi="Times New Roman" w:cs="Times New Roman"/>
                <w:sz w:val="24"/>
                <w:szCs w:val="20"/>
              </w:rPr>
              <w:br w:type="textWrapping" w:clear="all"/>
              <w:t>- Viện kiểm sát nhân dân tối cao;</w:t>
            </w:r>
            <w:r w:rsidRPr="004E4A44">
              <w:rPr>
                <w:rFonts w:ascii="Times New Roman" w:eastAsia="Times New Roman" w:hAnsi="Times New Roman" w:cs="Times New Roman"/>
                <w:sz w:val="24"/>
                <w:szCs w:val="20"/>
              </w:rPr>
              <w:br w:type="textWrapping" w:clear="all"/>
              <w:t>- Kiểm toán nhà nước;</w:t>
            </w:r>
            <w:r w:rsidRPr="004E4A44">
              <w:rPr>
                <w:rFonts w:ascii="Times New Roman" w:eastAsia="Times New Roman" w:hAnsi="Times New Roman" w:cs="Times New Roman"/>
                <w:sz w:val="24"/>
                <w:szCs w:val="20"/>
              </w:rPr>
              <w:br w:type="textWrapping" w:clear="all"/>
              <w:t>- Ủy ban Giám sát tài chính Quốc gia;</w:t>
            </w:r>
            <w:r w:rsidRPr="004E4A44">
              <w:rPr>
                <w:rFonts w:ascii="Times New Roman" w:eastAsia="Times New Roman" w:hAnsi="Times New Roman" w:cs="Times New Roman"/>
                <w:sz w:val="24"/>
                <w:szCs w:val="20"/>
              </w:rPr>
              <w:br w:type="textWrapping" w:clear="all"/>
              <w:t>- Ngân hàng Chính sách xã hội;</w:t>
            </w:r>
            <w:r w:rsidRPr="004E4A44">
              <w:rPr>
                <w:rFonts w:ascii="Times New Roman" w:eastAsia="Times New Roman" w:hAnsi="Times New Roman" w:cs="Times New Roman"/>
                <w:sz w:val="24"/>
                <w:szCs w:val="20"/>
              </w:rPr>
              <w:br w:type="textWrapping" w:clear="all"/>
              <w:t>- Ngân hàng Phát triển Việt Nam;</w:t>
            </w:r>
            <w:r w:rsidRPr="004E4A44">
              <w:rPr>
                <w:rFonts w:ascii="Times New Roman" w:eastAsia="Times New Roman" w:hAnsi="Times New Roman" w:cs="Times New Roman"/>
                <w:sz w:val="24"/>
                <w:szCs w:val="20"/>
              </w:rPr>
              <w:br w:type="textWrapping" w:clear="all"/>
              <w:t>- Ủy ban trung ương Mặt trận Tổ quốc Việt Nam;</w:t>
            </w:r>
            <w:r w:rsidRPr="004E4A44">
              <w:rPr>
                <w:rFonts w:ascii="Times New Roman" w:eastAsia="Times New Roman" w:hAnsi="Times New Roman" w:cs="Times New Roman"/>
                <w:sz w:val="24"/>
                <w:szCs w:val="20"/>
              </w:rPr>
              <w:br w:type="textWrapping" w:clear="all"/>
              <w:t>- Cơ quan trung ương của các đoàn thể;</w:t>
            </w:r>
            <w:r w:rsidRPr="004E4A44">
              <w:rPr>
                <w:rFonts w:ascii="Times New Roman" w:eastAsia="Times New Roman" w:hAnsi="Times New Roman" w:cs="Times New Roman"/>
                <w:sz w:val="24"/>
                <w:szCs w:val="20"/>
              </w:rPr>
              <w:br w:type="textWrapping" w:clear="all"/>
              <w:t>- VPCP: BTCN, các PCN, Trợ lý TTg, TGĐ Cổng TTĐT, các Vụ, Cục, đơn vị trực thuộc, Công báo;</w:t>
            </w:r>
            <w:r w:rsidRPr="004E4A44">
              <w:rPr>
                <w:rFonts w:ascii="Times New Roman" w:eastAsia="Times New Roman" w:hAnsi="Times New Roman" w:cs="Times New Roman"/>
                <w:sz w:val="24"/>
                <w:szCs w:val="20"/>
              </w:rPr>
              <w:br w:type="textWrapping" w:clear="all"/>
              <w:t>- Lưu: VT, KTTH (3).KN 225</w:t>
            </w:r>
          </w:p>
        </w:tc>
        <w:tc>
          <w:tcPr>
            <w:tcW w:w="0" w:type="auto"/>
            <w:tcBorders>
              <w:top w:val="nil"/>
              <w:left w:val="nil"/>
              <w:bottom w:val="nil"/>
              <w:right w:val="nil"/>
            </w:tcBorders>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lastRenderedPageBreak/>
              <w:t>TM. CHÍNH PHỦ</w:t>
            </w:r>
            <w:r w:rsidRPr="004E4A44">
              <w:rPr>
                <w:rFonts w:ascii="Times New Roman" w:eastAsia="Times New Roman" w:hAnsi="Times New Roman" w:cs="Times New Roman"/>
                <w:b/>
                <w:bCs/>
                <w:sz w:val="24"/>
                <w:szCs w:val="20"/>
              </w:rPr>
              <w:br w:type="textWrapping" w:clear="all"/>
              <w:t>THỦ TƯỚNG</w:t>
            </w:r>
            <w:r w:rsidRPr="004E4A44">
              <w:rPr>
                <w:rFonts w:ascii="Times New Roman" w:eastAsia="Times New Roman" w:hAnsi="Times New Roman" w:cs="Times New Roman"/>
                <w:b/>
                <w:bCs/>
                <w:sz w:val="24"/>
                <w:szCs w:val="20"/>
              </w:rPr>
              <w:br w:type="textWrapping" w:clear="all"/>
            </w:r>
            <w:r w:rsidRPr="004E4A44">
              <w:rPr>
                <w:rFonts w:ascii="Times New Roman" w:eastAsia="Times New Roman" w:hAnsi="Times New Roman" w:cs="Times New Roman"/>
                <w:b/>
                <w:bCs/>
                <w:sz w:val="24"/>
                <w:szCs w:val="20"/>
              </w:rPr>
              <w:br w:type="textWrapping" w:clear="all"/>
            </w:r>
            <w:r w:rsidRPr="004E4A44">
              <w:rPr>
                <w:rFonts w:ascii="Times New Roman" w:eastAsia="Times New Roman" w:hAnsi="Times New Roman" w:cs="Times New Roman"/>
                <w:b/>
                <w:bCs/>
                <w:sz w:val="24"/>
                <w:szCs w:val="20"/>
              </w:rPr>
              <w:br w:type="textWrapping" w:clear="all"/>
            </w:r>
            <w:r w:rsidRPr="004E4A44">
              <w:rPr>
                <w:rFonts w:ascii="Times New Roman" w:eastAsia="Times New Roman" w:hAnsi="Times New Roman" w:cs="Times New Roman"/>
                <w:b/>
                <w:bCs/>
                <w:sz w:val="24"/>
                <w:szCs w:val="20"/>
              </w:rPr>
              <w:br w:type="textWrapping" w:clear="all"/>
            </w:r>
          </w:p>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br w:type="textWrapping" w:clear="all"/>
            </w:r>
            <w:r w:rsidRPr="004E4A44">
              <w:rPr>
                <w:rFonts w:ascii="Times New Roman" w:eastAsia="Times New Roman" w:hAnsi="Times New Roman" w:cs="Times New Roman"/>
                <w:b/>
                <w:bCs/>
                <w:sz w:val="24"/>
                <w:szCs w:val="20"/>
              </w:rPr>
              <w:lastRenderedPageBreak/>
              <w:t>Nguyễn Xuân Phúc</w:t>
            </w:r>
          </w:p>
        </w:tc>
      </w:tr>
    </w:tbl>
    <w:p w:rsidR="002506C7" w:rsidRPr="004E4A44" w:rsidRDefault="00D14B90" w:rsidP="004E4A44">
      <w:pPr>
        <w:spacing w:before="120" w:after="120" w:line="312" w:lineRule="auto"/>
        <w:rPr>
          <w:rFonts w:ascii="Times New Roman" w:hAnsi="Times New Roman" w:cs="Times New Roman"/>
          <w:sz w:val="28"/>
        </w:rPr>
      </w:pPr>
      <w:bookmarkStart w:id="3" w:name="_GoBack"/>
      <w:bookmarkEnd w:id="3"/>
    </w:p>
    <w:sectPr w:rsidR="002506C7" w:rsidRPr="004E4A44" w:rsidSect="004E4A44">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44"/>
    <w:rsid w:val="003D7030"/>
    <w:rsid w:val="004E4A44"/>
    <w:rsid w:val="00804E0D"/>
    <w:rsid w:val="00D14B90"/>
    <w:rsid w:val="00D82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
    <w:name w:val="normalweb"/>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inhtrang">
    <w:name w:val="1chinhtrang"/>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
    <w:name w:val="normalweb"/>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inhtrang">
    <w:name w:val="1chinhtrang"/>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1526</Words>
  <Characters>8701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ThanhHoa</dc:creator>
  <cp:keywords/>
  <dc:description/>
  <cp:lastModifiedBy>admin a</cp:lastModifiedBy>
  <cp:revision>1</cp:revision>
  <dcterms:created xsi:type="dcterms:W3CDTF">2017-08-31T09:06:00Z</dcterms:created>
  <dcterms:modified xsi:type="dcterms:W3CDTF">2017-09-19T03:57:00Z</dcterms:modified>
</cp:coreProperties>
</file>