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87"/>
      </w:tblGrid>
      <w:tr w:rsidR="00F20B82" w14:paraId="4A919135" w14:textId="77777777" w:rsidTr="00647854">
        <w:tc>
          <w:tcPr>
            <w:tcW w:w="4077" w:type="dxa"/>
          </w:tcPr>
          <w:p w14:paraId="112FD08E" w14:textId="77777777" w:rsidR="00F20B82" w:rsidRPr="009C7BB0" w:rsidRDefault="00F20B82" w:rsidP="00647854">
            <w:pPr>
              <w:jc w:val="center"/>
              <w:rPr>
                <w:b/>
              </w:rPr>
            </w:pPr>
            <w:r w:rsidRPr="009C7BB0">
              <w:rPr>
                <w:b/>
              </w:rPr>
              <w:t>PHÒNG THƯƠNG MẠI</w:t>
            </w:r>
          </w:p>
          <w:p w14:paraId="72609540" w14:textId="77777777" w:rsidR="00F20B82" w:rsidRPr="009C7BB0" w:rsidRDefault="00F20B82" w:rsidP="00647854">
            <w:pPr>
              <w:jc w:val="center"/>
              <w:rPr>
                <w:b/>
              </w:rPr>
            </w:pPr>
            <w:r w:rsidRPr="009C7BB0">
              <w:rPr>
                <w:b/>
              </w:rPr>
              <w:t>VÀ CÔNG NGHIỆP VIỆT NAM</w:t>
            </w:r>
          </w:p>
          <w:p w14:paraId="7E4AA4E4" w14:textId="77777777" w:rsidR="00F20B82" w:rsidRPr="009C7BB0" w:rsidRDefault="00F20B82" w:rsidP="00647854">
            <w:pPr>
              <w:tabs>
                <w:tab w:val="left" w:pos="2670"/>
              </w:tabs>
              <w:jc w:val="center"/>
              <w:rPr>
                <w:b/>
              </w:rPr>
            </w:pPr>
            <w:r>
              <w:rPr>
                <w:b/>
                <w:noProof/>
              </w:rPr>
              <mc:AlternateContent>
                <mc:Choice Requires="wps">
                  <w:drawing>
                    <wp:anchor distT="0" distB="0" distL="114300" distR="114300" simplePos="0" relativeHeight="251659264" behindDoc="0" locked="0" layoutInCell="1" allowOverlap="1" wp14:anchorId="4D7C7625" wp14:editId="73487EA4">
                      <wp:simplePos x="0" y="0"/>
                      <wp:positionH relativeFrom="column">
                        <wp:posOffset>481964</wp:posOffset>
                      </wp:positionH>
                      <wp:positionV relativeFrom="paragraph">
                        <wp:posOffset>110490</wp:posOffset>
                      </wp:positionV>
                      <wp:extent cx="1362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10334F92" id="Straight_x0020_Connector_x0020_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95pt,8.7pt" to="145.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" strokecolor="#5b9bd5 [3204]" strokeweight=".5pt">
                      <v:stroke joinstyle="miter"/>
                    </v:line>
                  </w:pict>
                </mc:Fallback>
              </mc:AlternateContent>
            </w:r>
          </w:p>
          <w:p w14:paraId="10A4CDB8" w14:textId="0E69137E" w:rsidR="00F20B82" w:rsidRPr="009C7BB0" w:rsidRDefault="00F20B82" w:rsidP="00647854">
            <w:pPr>
              <w:jc w:val="center"/>
              <w:rPr>
                <w:b/>
              </w:rPr>
            </w:pPr>
            <w:r w:rsidRPr="009C7BB0">
              <w:rPr>
                <w:b/>
              </w:rPr>
              <w:t xml:space="preserve">Số:               </w:t>
            </w:r>
            <w:r w:rsidR="001A2261">
              <w:rPr>
                <w:b/>
              </w:rPr>
              <w:t>2069</w:t>
            </w:r>
            <w:r w:rsidRPr="009C7BB0">
              <w:rPr>
                <w:b/>
              </w:rPr>
              <w:t xml:space="preserve">            /PTM-PC</w:t>
            </w:r>
          </w:p>
          <w:p w14:paraId="1D74CE4F" w14:textId="2D9EAC26" w:rsidR="00F20B82" w:rsidRDefault="00F20B82" w:rsidP="00647854">
            <w:pPr>
              <w:jc w:val="center"/>
            </w:pPr>
            <w:r w:rsidRPr="009C7BB0">
              <w:rPr>
                <w:sz w:val="22"/>
              </w:rPr>
              <w:t xml:space="preserve">Vv: Góp ý Dự thảo </w:t>
            </w:r>
            <w:r>
              <w:rPr>
                <w:sz w:val="22"/>
              </w:rPr>
              <w:t xml:space="preserve">Nghị định </w:t>
            </w:r>
            <w:r>
              <w:rPr>
                <w:sz w:val="22"/>
              </w:rPr>
              <w:br/>
              <w:t xml:space="preserve">sửa đổi Nghị định 100/2016/NĐ-CP </w:t>
            </w:r>
            <w:r>
              <w:rPr>
                <w:sz w:val="22"/>
              </w:rPr>
              <w:br/>
              <w:t>và Nghị định 12/2015/NĐ-CP</w:t>
            </w:r>
          </w:p>
        </w:tc>
        <w:tc>
          <w:tcPr>
            <w:tcW w:w="5387" w:type="dxa"/>
          </w:tcPr>
          <w:p w14:paraId="251B6499" w14:textId="77777777" w:rsidR="00F20B82" w:rsidRPr="009C7BB0" w:rsidRDefault="00F20B82" w:rsidP="00647854">
            <w:pPr>
              <w:jc w:val="center"/>
              <w:rPr>
                <w:b/>
              </w:rPr>
            </w:pPr>
            <w:r w:rsidRPr="009C7BB0">
              <w:rPr>
                <w:b/>
              </w:rPr>
              <w:t>CỘNG HÒA XÃ HỘI CHỦ NGHĨA VIỆT NAM</w:t>
            </w:r>
          </w:p>
          <w:p w14:paraId="26EF0864" w14:textId="77777777" w:rsidR="00F20B82" w:rsidRPr="009C7BB0" w:rsidRDefault="00F20B82" w:rsidP="00647854">
            <w:pPr>
              <w:jc w:val="center"/>
              <w:rPr>
                <w:b/>
              </w:rPr>
            </w:pPr>
            <w:r w:rsidRPr="009C7BB0">
              <w:rPr>
                <w:b/>
              </w:rPr>
              <w:t>Độc lập – Tự do – Hạnh phúc</w:t>
            </w:r>
          </w:p>
          <w:p w14:paraId="3B21B0C1" w14:textId="77777777" w:rsidR="00F20B82" w:rsidRPr="009C7BB0" w:rsidRDefault="00F20B82" w:rsidP="00647854">
            <w:pPr>
              <w:jc w:val="center"/>
              <w:rPr>
                <w:b/>
              </w:rPr>
            </w:pPr>
            <w:r>
              <w:rPr>
                <w:b/>
                <w:noProof/>
              </w:rPr>
              <mc:AlternateContent>
                <mc:Choice Requires="wps">
                  <w:drawing>
                    <wp:anchor distT="0" distB="0" distL="114300" distR="114300" simplePos="0" relativeHeight="251660288" behindDoc="0" locked="0" layoutInCell="1" allowOverlap="1" wp14:anchorId="6FF9CE8F" wp14:editId="5D762ECC">
                      <wp:simplePos x="0" y="0"/>
                      <wp:positionH relativeFrom="column">
                        <wp:posOffset>741045</wp:posOffset>
                      </wp:positionH>
                      <wp:positionV relativeFrom="paragraph">
                        <wp:posOffset>110490</wp:posOffset>
                      </wp:positionV>
                      <wp:extent cx="1752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40F35244" id="Straight_x0020_Connector_x0020_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35pt,8.7pt" to="196.35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" strokecolor="#5b9bd5 [3204]" strokeweight=".5pt">
                      <v:stroke joinstyle="miter"/>
                    </v:line>
                  </w:pict>
                </mc:Fallback>
              </mc:AlternateContent>
            </w:r>
          </w:p>
          <w:p w14:paraId="1686C072" w14:textId="0E49967F" w:rsidR="00F20B82" w:rsidRPr="009C7BB0" w:rsidRDefault="00F20B82" w:rsidP="00F20B82">
            <w:pPr>
              <w:jc w:val="right"/>
              <w:rPr>
                <w:i/>
              </w:rPr>
            </w:pPr>
            <w:r w:rsidRPr="009C7BB0">
              <w:rPr>
                <w:i/>
              </w:rPr>
              <w:t xml:space="preserve">Hà Nội, ngày  </w:t>
            </w:r>
            <w:r>
              <w:rPr>
                <w:i/>
              </w:rPr>
              <w:t>21</w:t>
            </w:r>
            <w:r w:rsidRPr="009C7BB0">
              <w:rPr>
                <w:i/>
              </w:rPr>
              <w:t xml:space="preserve">  tháng </w:t>
            </w:r>
            <w:r>
              <w:rPr>
                <w:i/>
              </w:rPr>
              <w:t>8</w:t>
            </w:r>
            <w:r w:rsidRPr="009C7BB0">
              <w:rPr>
                <w:i/>
              </w:rPr>
              <w:t xml:space="preserve"> năm 2017</w:t>
            </w:r>
          </w:p>
        </w:tc>
      </w:tr>
    </w:tbl>
    <w:p w14:paraId="3B3EEC12" w14:textId="587E4888" w:rsidR="00F20B82" w:rsidRPr="00F20B82" w:rsidRDefault="00F20B82" w:rsidP="00F20B82">
      <w:pPr>
        <w:spacing w:before="120" w:after="120" w:line="312" w:lineRule="auto"/>
        <w:jc w:val="center"/>
        <w:rPr>
          <w:rFonts w:ascii="Times New Roman" w:hAnsi="Times New Roman"/>
          <w:b/>
          <w:lang w:val="vi-VN"/>
        </w:rPr>
      </w:pPr>
      <w:r w:rsidRPr="00F20B82">
        <w:rPr>
          <w:rFonts w:ascii="Times New Roman" w:hAnsi="Times New Roman"/>
          <w:b/>
          <w:lang w:val="vi-VN"/>
        </w:rPr>
        <w:t>Kính gửi: Vụ Chính sách Thuế - Bộ Tài chính</w:t>
      </w:r>
    </w:p>
    <w:p w14:paraId="51D30929" w14:textId="7FB170F5" w:rsidR="008B1122" w:rsidRDefault="008B1122" w:rsidP="00F20B82">
      <w:pPr>
        <w:spacing w:before="120" w:after="120" w:line="312" w:lineRule="auto"/>
        <w:ind w:firstLine="720"/>
        <w:jc w:val="both"/>
        <w:rPr>
          <w:rFonts w:ascii="Times New Roman" w:hAnsi="Times New Roman"/>
          <w:lang w:val="vi-VN"/>
        </w:rPr>
      </w:pPr>
      <w:r w:rsidRPr="008B1122">
        <w:rPr>
          <w:rFonts w:ascii="Times New Roman" w:hAnsi="Times New Roman"/>
          <w:lang w:val="vi-VN"/>
        </w:rPr>
        <w:t>Trả lời công văn số</w:t>
      </w:r>
      <w:r w:rsidR="00DA7D73">
        <w:rPr>
          <w:rFonts w:ascii="Times New Roman" w:hAnsi="Times New Roman"/>
          <w:lang w:val="vi-VN"/>
        </w:rPr>
        <w:t xml:space="preserve"> 9648</w:t>
      </w:r>
      <w:r w:rsidR="00FA0B18">
        <w:rPr>
          <w:rFonts w:ascii="Times New Roman" w:hAnsi="Times New Roman"/>
          <w:lang w:val="vi-VN"/>
        </w:rPr>
        <w:t>/BTC-CST ngày 20/07/2017</w:t>
      </w:r>
      <w:r w:rsidR="000E2CCB">
        <w:rPr>
          <w:rFonts w:ascii="Times New Roman" w:hAnsi="Times New Roman"/>
          <w:lang w:val="vi-VN"/>
        </w:rPr>
        <w:t xml:space="preserve"> của Bộ Tài chính về việc lấy ý kiến tham gia về dự thảo Nghị định sửa đổi, bổ sung Nghị định số 100/2016/NĐ-CP và Nghị định số 12/2015/NĐ-CP, Phòng Thương mại và Công nghiệp Việt Nam có một số ý kiến góp ý như sau:</w:t>
      </w:r>
    </w:p>
    <w:p w14:paraId="1D0131C6" w14:textId="77777777" w:rsidR="00C83337" w:rsidRDefault="008B1122" w:rsidP="00C83337">
      <w:pPr>
        <w:pStyle w:val="ListParagraph"/>
        <w:numPr>
          <w:ilvl w:val="0"/>
          <w:numId w:val="1"/>
        </w:numPr>
        <w:spacing w:before="120" w:after="120" w:line="312" w:lineRule="auto"/>
        <w:jc w:val="both"/>
        <w:rPr>
          <w:rFonts w:ascii="Times New Roman" w:hAnsi="Times New Roman"/>
          <w:b/>
          <w:lang w:val="vi-VN"/>
        </w:rPr>
      </w:pPr>
      <w:r w:rsidRPr="009D3C5D">
        <w:rPr>
          <w:rFonts w:ascii="Times New Roman" w:hAnsi="Times New Roman"/>
          <w:b/>
          <w:lang w:val="vi-VN"/>
        </w:rPr>
        <w:t>Quy định sản phẩm xuất khẩu được chế biến từ tài nguyên, khoáng sản thuộc đối tượng không chịu thuế GTGT</w:t>
      </w:r>
    </w:p>
    <w:p w14:paraId="1CEF5508" w14:textId="58D1AA6F" w:rsidR="00C83337" w:rsidRDefault="00C83337" w:rsidP="00C83337">
      <w:pPr>
        <w:spacing w:before="120" w:after="120" w:line="312" w:lineRule="auto"/>
        <w:ind w:firstLine="720"/>
        <w:jc w:val="both"/>
        <w:rPr>
          <w:rFonts w:ascii="Times New Roman" w:hAnsi="Times New Roman"/>
          <w:lang w:val="vi-VN"/>
        </w:rPr>
      </w:pPr>
      <w:r w:rsidRPr="00C83337">
        <w:rPr>
          <w:rFonts w:ascii="Times New Roman" w:hAnsi="Times New Roman"/>
          <w:lang w:val="vi-VN"/>
        </w:rPr>
        <w:t xml:space="preserve">Việc xác định hàng hoá đáp ứng tiêu chí trị giá tài nguyên khoáng sản </w:t>
      </w:r>
      <w:r>
        <w:rPr>
          <w:rFonts w:ascii="Times New Roman" w:hAnsi="Times New Roman"/>
          <w:lang w:val="vi-VN"/>
        </w:rPr>
        <w:t xml:space="preserve">(TNKS) </w:t>
      </w:r>
      <w:r w:rsidRPr="00C83337">
        <w:rPr>
          <w:rFonts w:ascii="Times New Roman" w:hAnsi="Times New Roman"/>
          <w:lang w:val="vi-VN"/>
        </w:rPr>
        <w:t xml:space="preserve">và năng lượng </w:t>
      </w:r>
      <w:r>
        <w:rPr>
          <w:rFonts w:ascii="Times New Roman" w:hAnsi="Times New Roman"/>
          <w:lang w:val="vi-VN"/>
        </w:rPr>
        <w:t xml:space="preserve">chiếm từ 51% trở lên gặp nhiều khó khăn trong thực tiễn áp dụng. Sự khác biệt về vị trí khai thác, chất lượng TNKS </w:t>
      </w:r>
      <w:r w:rsidR="00160CA0">
        <w:rPr>
          <w:rFonts w:ascii="Times New Roman" w:hAnsi="Times New Roman"/>
          <w:lang w:val="vi-VN"/>
        </w:rPr>
        <w:t xml:space="preserve">ảnh hưởng đến việc tính toán trị giá TNKS và năng lượng. Ví dụ, một đơn vị thu mua TNKS của nhiều đơn vị khác nhau về để chế biến và xuất khẩu gặp rất nhiều khó khăn trong việc tính toán trị giá TNKS và năng lượng. Do đó, đề nghị cơ quan soạn thảo hướng dẫn chi tiết hơn trường hợp sản phẩm được chế biến từ TNKS lấy từ nhiều đơn vị khác nhau. </w:t>
      </w:r>
    </w:p>
    <w:p w14:paraId="76D4FE0A" w14:textId="554758E5" w:rsidR="008C5BFD" w:rsidRPr="00F03ECA" w:rsidRDefault="00F03ECA" w:rsidP="00F03ECA">
      <w:pPr>
        <w:pStyle w:val="ListParagraph"/>
        <w:numPr>
          <w:ilvl w:val="0"/>
          <w:numId w:val="1"/>
        </w:numPr>
        <w:spacing w:before="120" w:after="120" w:line="312" w:lineRule="auto"/>
        <w:jc w:val="both"/>
        <w:rPr>
          <w:rFonts w:ascii="Times New Roman" w:hAnsi="Times New Roman"/>
          <w:b/>
          <w:lang w:val="vi-VN"/>
        </w:rPr>
      </w:pPr>
      <w:r w:rsidRPr="00F03ECA">
        <w:rPr>
          <w:rFonts w:ascii="Times New Roman" w:hAnsi="Times New Roman"/>
          <w:b/>
          <w:lang w:val="vi-VN"/>
        </w:rPr>
        <w:t>Khống chế chi phí được trừ khi xác định thu nhập chịu thuế TND</w:t>
      </w:r>
      <w:r w:rsidR="00F20B82">
        <w:rPr>
          <w:rFonts w:ascii="Times New Roman" w:hAnsi="Times New Roman"/>
          <w:b/>
          <w:lang w:val="vi-VN"/>
        </w:rPr>
        <w:t>N</w:t>
      </w:r>
      <w:r w:rsidRPr="00F03ECA">
        <w:rPr>
          <w:rFonts w:ascii="Times New Roman" w:hAnsi="Times New Roman"/>
          <w:b/>
          <w:lang w:val="vi-VN"/>
        </w:rPr>
        <w:t xml:space="preserve"> đối với khoản chi mua bảo hiểm nhân thọ cho người lao động</w:t>
      </w:r>
    </w:p>
    <w:p w14:paraId="6CB3A493" w14:textId="1A9DF51A" w:rsidR="00F538E8" w:rsidRDefault="00F03ECA" w:rsidP="00F03ECA">
      <w:pPr>
        <w:spacing w:before="120" w:after="120" w:line="312" w:lineRule="auto"/>
        <w:ind w:firstLine="720"/>
        <w:jc w:val="both"/>
        <w:rPr>
          <w:rFonts w:ascii="Times New Roman" w:hAnsi="Times New Roman"/>
          <w:lang w:val="vi-VN"/>
        </w:rPr>
      </w:pPr>
      <w:r>
        <w:rPr>
          <w:rFonts w:ascii="Times New Roman" w:hAnsi="Times New Roman"/>
          <w:lang w:val="vi-VN"/>
        </w:rPr>
        <w:t xml:space="preserve">Chi mua bảo hiểm nhân thọ cho người lao động là một trong những </w:t>
      </w:r>
      <w:r w:rsidR="00F538E8">
        <w:rPr>
          <w:rFonts w:ascii="Times New Roman" w:hAnsi="Times New Roman"/>
          <w:lang w:val="vi-VN"/>
        </w:rPr>
        <w:t>chính sách đãi ngộ của các doanh nghiệp đối với người lao động. Khoản chi này là hoàn toàn chính đáng, thậm chí nên được khuyến khích vì nó là chi cho người lao động, đặc biệt là lao động có trình độ cao. Trong bối cảnh nguồn nhân lực trình độ cao của Việt Nam thường trong tình trạng thiếu hụt thì đây là biện pháp được nhiều doanh nghiệp sử dụng.</w:t>
      </w:r>
    </w:p>
    <w:p w14:paraId="7AC8E51A" w14:textId="162E1F3B" w:rsidR="00F03ECA" w:rsidRDefault="00F538E8" w:rsidP="00F03ECA">
      <w:pPr>
        <w:spacing w:before="120" w:after="120" w:line="312" w:lineRule="auto"/>
        <w:ind w:firstLine="720"/>
        <w:jc w:val="both"/>
        <w:rPr>
          <w:rFonts w:ascii="Times New Roman" w:hAnsi="Times New Roman"/>
          <w:lang w:val="vi-VN"/>
        </w:rPr>
      </w:pPr>
      <w:r>
        <w:rPr>
          <w:rFonts w:ascii="Times New Roman" w:hAnsi="Times New Roman"/>
          <w:lang w:val="vi-VN"/>
        </w:rPr>
        <w:t xml:space="preserve">Đối với các doanh nghiệp ngoài quốc doanh, việc mua bảo hiểm giá trị cao cho người lao động có thể giúp họ tiết kiệm 20% thuế thu nhập doanh nghiệp, nhưng </w:t>
      </w:r>
      <w:r>
        <w:rPr>
          <w:rFonts w:ascii="Times New Roman" w:hAnsi="Times New Roman"/>
          <w:lang w:val="vi-VN"/>
        </w:rPr>
        <w:lastRenderedPageBreak/>
        <w:t>lại mất đến 80% số tiền bảo hiểm cho người lao động. Do đó, các doanh nghiệp ngoài quốc doanh sẽ phải tính toán rất kỹ lưỡng khi chi tiền mua bảo hiểm cho người lao động.</w:t>
      </w:r>
    </w:p>
    <w:p w14:paraId="19BAE495" w14:textId="5CC9E453" w:rsidR="00B93FD2" w:rsidRDefault="00F538E8" w:rsidP="00B93FD2">
      <w:pPr>
        <w:spacing w:before="120" w:after="120" w:line="312" w:lineRule="auto"/>
        <w:ind w:firstLine="720"/>
        <w:jc w:val="both"/>
        <w:rPr>
          <w:rFonts w:ascii="Times New Roman" w:hAnsi="Times New Roman"/>
          <w:lang w:val="vi-VN"/>
        </w:rPr>
      </w:pPr>
      <w:r>
        <w:rPr>
          <w:rFonts w:ascii="Times New Roman" w:hAnsi="Times New Roman"/>
          <w:lang w:val="vi-VN"/>
        </w:rPr>
        <w:t xml:space="preserve">Bất cập chỉ xảy ra đối với một số doanh nghiệp nhà nước mua bảo hiểm ở mức quá cao cho người lao động, như thể hiện trong tờ trình. Điều này xuất phát từ kẽ hở quản lý tiền lương, thù lao và các khoản thu nhập khác của người lao động tại doanh nghiệp nhà nước, chứ bản chất không phải là vấn đề </w:t>
      </w:r>
      <w:r w:rsidR="00B93FD2">
        <w:rPr>
          <w:rFonts w:ascii="Times New Roman" w:hAnsi="Times New Roman"/>
          <w:lang w:val="vi-VN"/>
        </w:rPr>
        <w:t>thuế. Do đó, việc đưa ra giới hạn chi phí được trừ đối với khoản mua bảo hiểm nhân thọ như Dự thảo là chưa thực sự hợp lý.</w:t>
      </w:r>
    </w:p>
    <w:p w14:paraId="4849293B" w14:textId="296C7994" w:rsidR="00B93FD2" w:rsidRDefault="00B93FD2" w:rsidP="00B93FD2">
      <w:pPr>
        <w:spacing w:before="120" w:after="120" w:line="312" w:lineRule="auto"/>
        <w:ind w:firstLine="720"/>
        <w:jc w:val="both"/>
        <w:rPr>
          <w:rFonts w:ascii="Times New Roman" w:hAnsi="Times New Roman"/>
          <w:lang w:val="vi-VN"/>
        </w:rPr>
      </w:pPr>
      <w:r>
        <w:rPr>
          <w:rFonts w:ascii="Times New Roman" w:hAnsi="Times New Roman"/>
          <w:lang w:val="vi-VN"/>
        </w:rPr>
        <w:t>VCCI đề nghị cơ quan soạn thảo bỏ quy định khống chế chi phí được trừ khi xác định thuế TNDN đối với khoản chi mua bảo hiểm nhân thọ cho người lao động như trong Dự thảo. Vấn đề này cần được giải quyết bằng pháp luật về quản lý doanh nghiệp nhà nước. Trong trường hợp, cơ quan soạn thảo chứng minh được sự cần thiết phải giới hạn chi phí được trừ khi xác định thu nhập chịu thuế thì cũng chỉ áp dụng đối với các doanh nghiệp nhà nước, không áp dụng đối với doanh nghiệp ngoài nhà nước.</w:t>
      </w:r>
    </w:p>
    <w:p w14:paraId="2AA72882" w14:textId="76E9256C" w:rsidR="008B1122" w:rsidRDefault="00EA2FC6" w:rsidP="00EA2FC6">
      <w:pPr>
        <w:spacing w:before="120" w:after="120" w:line="312" w:lineRule="auto"/>
        <w:jc w:val="both"/>
        <w:rPr>
          <w:rFonts w:ascii="Times New Roman" w:hAnsi="Times New Roman"/>
          <w:lang w:val="vi-VN"/>
        </w:rPr>
      </w:pPr>
      <w:r>
        <w:rPr>
          <w:rFonts w:ascii="Times New Roman" w:hAnsi="Times New Roman"/>
          <w:lang w:val="vi-VN"/>
        </w:rPr>
        <w:tab/>
        <w:t>Trên đây là một số ý kiến của</w:t>
      </w:r>
      <w:r w:rsidR="00F20B82">
        <w:rPr>
          <w:rFonts w:ascii="Times New Roman" w:hAnsi="Times New Roman"/>
          <w:lang w:val="vi-VN"/>
        </w:rPr>
        <w:t xml:space="preserve"> Phòng Thương mại và Công nghiệp Việt Nam góp ý Nghị định sửa đổi, bổ sung Nghị định 100/2016/NĐ-CP và Nghị định 12/2015/NĐ-CP. Kèm theo Công văn này là một số ý kiến góp ý của các doanh nghiệp gửi về cho VCCI.</w:t>
      </w:r>
    </w:p>
    <w:p w14:paraId="694DA4A1" w14:textId="6B2A52A9" w:rsidR="00F20B82" w:rsidRDefault="00F20B82" w:rsidP="00EA2FC6">
      <w:pPr>
        <w:spacing w:before="120" w:after="120" w:line="312" w:lineRule="auto"/>
        <w:jc w:val="both"/>
        <w:rPr>
          <w:rFonts w:ascii="Times New Roman" w:hAnsi="Times New Roman"/>
          <w:lang w:val="vi-VN"/>
        </w:rPr>
      </w:pPr>
      <w:r>
        <w:rPr>
          <w:rFonts w:ascii="Times New Roman" w:hAnsi="Times New Roman"/>
          <w:lang w:val="vi-VN"/>
        </w:rPr>
        <w:tab/>
        <w:t>Trân trọng cảm ơn sự hợp tác của Quý Cơ quan./.</w:t>
      </w:r>
    </w:p>
    <w:tbl>
      <w:tblPr>
        <w:tblW w:w="10188" w:type="dxa"/>
        <w:tblLook w:val="01E0" w:firstRow="1" w:lastRow="1" w:firstColumn="1" w:lastColumn="1" w:noHBand="0" w:noVBand="0"/>
      </w:tblPr>
      <w:tblGrid>
        <w:gridCol w:w="3978"/>
        <w:gridCol w:w="6210"/>
      </w:tblGrid>
      <w:tr w:rsidR="00F20B82" w:rsidRPr="00F20B82" w14:paraId="0A6FF111" w14:textId="77777777" w:rsidTr="00647854">
        <w:trPr>
          <w:trHeight w:val="2419"/>
        </w:trPr>
        <w:tc>
          <w:tcPr>
            <w:tcW w:w="3978" w:type="dxa"/>
          </w:tcPr>
          <w:p w14:paraId="40139769" w14:textId="77777777" w:rsidR="00F20B82" w:rsidRPr="00F20B82" w:rsidRDefault="00F20B82" w:rsidP="00F20B82">
            <w:pPr>
              <w:jc w:val="both"/>
              <w:rPr>
                <w:rFonts w:ascii="Times New Roman" w:eastAsia="Calibri" w:hAnsi="Times New Roman" w:cs="Times New Roman"/>
                <w:i/>
                <w:sz w:val="24"/>
                <w:szCs w:val="24"/>
                <w:u w:val="single"/>
                <w:lang w:val="sv-SE"/>
              </w:rPr>
            </w:pPr>
          </w:p>
          <w:p w14:paraId="4AA471CF" w14:textId="77777777" w:rsidR="00F20B82" w:rsidRPr="00F20B82" w:rsidRDefault="00F20B82" w:rsidP="00F20B82">
            <w:pPr>
              <w:jc w:val="both"/>
              <w:rPr>
                <w:rFonts w:ascii="Times New Roman" w:eastAsia="Calibri" w:hAnsi="Times New Roman" w:cs="Times New Roman"/>
                <w:i/>
                <w:sz w:val="24"/>
                <w:szCs w:val="24"/>
                <w:u w:val="single"/>
                <w:lang w:val="sv-SE"/>
              </w:rPr>
            </w:pPr>
          </w:p>
          <w:p w14:paraId="21AEE3CC" w14:textId="77777777" w:rsidR="00F20B82" w:rsidRPr="00F20B82" w:rsidRDefault="00F20B82" w:rsidP="00F20B82">
            <w:pPr>
              <w:jc w:val="both"/>
              <w:rPr>
                <w:rFonts w:ascii="Times New Roman" w:eastAsia="Calibri" w:hAnsi="Times New Roman" w:cs="Times New Roman"/>
                <w:b/>
                <w:sz w:val="20"/>
                <w:szCs w:val="20"/>
              </w:rPr>
            </w:pPr>
            <w:r w:rsidRPr="00F20B82">
              <w:rPr>
                <w:rFonts w:ascii="Times New Roman" w:eastAsia="Calibri" w:hAnsi="Times New Roman" w:cs="Times New Roman"/>
                <w:b/>
                <w:sz w:val="20"/>
                <w:szCs w:val="20"/>
              </w:rPr>
              <w:t>Nơi nhận:</w:t>
            </w:r>
          </w:p>
          <w:p w14:paraId="2AE03284" w14:textId="77777777" w:rsidR="00F20B82" w:rsidRDefault="00F20B82" w:rsidP="00F20B82">
            <w:pPr>
              <w:numPr>
                <w:ilvl w:val="0"/>
                <w:numId w:val="5"/>
              </w:numPr>
              <w:spacing w:line="276" w:lineRule="auto"/>
              <w:jc w:val="both"/>
              <w:rPr>
                <w:rFonts w:ascii="Times New Roman" w:eastAsia="Calibri" w:hAnsi="Times New Roman" w:cs="Times New Roman"/>
                <w:sz w:val="20"/>
                <w:szCs w:val="20"/>
              </w:rPr>
            </w:pPr>
            <w:r w:rsidRPr="00F20B82">
              <w:rPr>
                <w:rFonts w:ascii="Times New Roman" w:eastAsia="Calibri" w:hAnsi="Times New Roman" w:cs="Times New Roman"/>
                <w:sz w:val="20"/>
                <w:szCs w:val="20"/>
              </w:rPr>
              <w:t>Như trên;</w:t>
            </w:r>
          </w:p>
          <w:p w14:paraId="4073317E" w14:textId="46762F1D" w:rsidR="00F20B82" w:rsidRPr="00F20B82" w:rsidRDefault="00F20B82" w:rsidP="00F20B82">
            <w:pPr>
              <w:numPr>
                <w:ilvl w:val="0"/>
                <w:numId w:val="5"/>
              </w:numPr>
              <w:spacing w:line="276" w:lineRule="auto"/>
              <w:jc w:val="both"/>
              <w:rPr>
                <w:rFonts w:ascii="Times New Roman" w:eastAsia="Calibri" w:hAnsi="Times New Roman" w:cs="Times New Roman"/>
                <w:sz w:val="20"/>
                <w:szCs w:val="20"/>
              </w:rPr>
            </w:pPr>
            <w:r w:rsidRPr="00F20B82">
              <w:rPr>
                <w:rFonts w:ascii="Times New Roman" w:eastAsia="Calibri" w:hAnsi="Times New Roman" w:cs="Times New Roman"/>
                <w:sz w:val="20"/>
                <w:szCs w:val="20"/>
              </w:rPr>
              <w:t>Chủ tịch Vũ Tiến Lộc</w:t>
            </w:r>
            <w:r>
              <w:rPr>
                <w:rFonts w:ascii="Times New Roman" w:eastAsia="Calibri" w:hAnsi="Times New Roman" w:cs="Times New Roman"/>
                <w:sz w:val="20"/>
                <w:szCs w:val="20"/>
              </w:rPr>
              <w:t xml:space="preserve"> </w:t>
            </w:r>
            <w:r w:rsidRPr="00F20B82">
              <w:rPr>
                <w:rFonts w:ascii="Times New Roman" w:eastAsia="Calibri" w:hAnsi="Times New Roman" w:cs="Times New Roman"/>
                <w:sz w:val="20"/>
                <w:szCs w:val="20"/>
              </w:rPr>
              <w:t>(để báo cáo);</w:t>
            </w:r>
          </w:p>
          <w:p w14:paraId="1E3E7E46" w14:textId="77777777" w:rsidR="00F20B82" w:rsidRPr="00F20B82" w:rsidRDefault="00F20B82" w:rsidP="00F20B82">
            <w:pPr>
              <w:numPr>
                <w:ilvl w:val="0"/>
                <w:numId w:val="5"/>
              </w:numPr>
              <w:spacing w:line="276" w:lineRule="auto"/>
              <w:jc w:val="both"/>
              <w:rPr>
                <w:rFonts w:ascii="Times New Roman" w:eastAsia="Calibri" w:hAnsi="Times New Roman" w:cs="Times New Roman"/>
                <w:sz w:val="20"/>
                <w:szCs w:val="20"/>
              </w:rPr>
            </w:pPr>
            <w:r w:rsidRPr="00F20B82">
              <w:rPr>
                <w:rFonts w:ascii="Times New Roman" w:eastAsia="Calibri" w:hAnsi="Times New Roman" w:cs="Times New Roman"/>
                <w:sz w:val="20"/>
                <w:szCs w:val="20"/>
              </w:rPr>
              <w:t>Lưu VT, PC</w:t>
            </w:r>
          </w:p>
          <w:p w14:paraId="5E7F128D" w14:textId="77777777" w:rsidR="00F20B82" w:rsidRPr="00F20B82" w:rsidRDefault="00F20B82" w:rsidP="00F20B82">
            <w:pPr>
              <w:tabs>
                <w:tab w:val="center" w:pos="6240"/>
              </w:tabs>
              <w:jc w:val="both"/>
              <w:rPr>
                <w:rFonts w:ascii="Times New Roman" w:eastAsia="Calibri" w:hAnsi="Times New Roman" w:cs="Times New Roman"/>
                <w:b/>
                <w:sz w:val="24"/>
                <w:szCs w:val="24"/>
              </w:rPr>
            </w:pPr>
          </w:p>
        </w:tc>
        <w:tc>
          <w:tcPr>
            <w:tcW w:w="6210" w:type="dxa"/>
          </w:tcPr>
          <w:p w14:paraId="4BF7A43B" w14:textId="77777777" w:rsidR="00F20B82" w:rsidRPr="00F20B82" w:rsidRDefault="00F20B82" w:rsidP="00F20B82">
            <w:pPr>
              <w:tabs>
                <w:tab w:val="center" w:pos="6240"/>
              </w:tabs>
              <w:jc w:val="center"/>
              <w:rPr>
                <w:rFonts w:ascii="Times New Roman" w:eastAsia="Calibri" w:hAnsi="Times New Roman" w:cs="Times New Roman"/>
                <w:b/>
                <w:sz w:val="24"/>
                <w:szCs w:val="22"/>
              </w:rPr>
            </w:pPr>
            <w:r w:rsidRPr="00F20B82">
              <w:rPr>
                <w:rFonts w:ascii="Times New Roman" w:eastAsia="Calibri" w:hAnsi="Times New Roman" w:cs="Times New Roman"/>
                <w:b/>
                <w:sz w:val="24"/>
                <w:szCs w:val="22"/>
              </w:rPr>
              <w:t>TL. CHỦ TỊCH</w:t>
            </w:r>
          </w:p>
          <w:p w14:paraId="01C4E8F5" w14:textId="3EFA4945" w:rsidR="00F20B82" w:rsidRPr="00F20B82" w:rsidRDefault="00F20B82" w:rsidP="00F20B82">
            <w:pPr>
              <w:tabs>
                <w:tab w:val="center" w:pos="6240"/>
              </w:tabs>
              <w:jc w:val="center"/>
              <w:rPr>
                <w:rFonts w:ascii="Times New Roman" w:eastAsia="Calibri" w:hAnsi="Times New Roman" w:cs="Times New Roman"/>
                <w:b/>
                <w:sz w:val="24"/>
                <w:szCs w:val="22"/>
              </w:rPr>
            </w:pPr>
            <w:r w:rsidRPr="00F20B82">
              <w:rPr>
                <w:rFonts w:ascii="Times New Roman" w:eastAsia="Calibri" w:hAnsi="Times New Roman" w:cs="Times New Roman"/>
                <w:b/>
                <w:sz w:val="24"/>
                <w:szCs w:val="22"/>
              </w:rPr>
              <w:t>TRƯỞNG BAN PHÁP CHẾ</w:t>
            </w:r>
          </w:p>
          <w:p w14:paraId="7A29A956" w14:textId="77777777" w:rsidR="00F20B82" w:rsidRPr="00F20B82" w:rsidRDefault="00F20B82" w:rsidP="00F20B82">
            <w:pPr>
              <w:tabs>
                <w:tab w:val="center" w:pos="6240"/>
              </w:tabs>
              <w:jc w:val="center"/>
              <w:rPr>
                <w:rFonts w:ascii="Times New Roman" w:eastAsia="Calibri" w:hAnsi="Times New Roman" w:cs="Times New Roman"/>
                <w:b/>
                <w:sz w:val="24"/>
                <w:szCs w:val="22"/>
              </w:rPr>
            </w:pPr>
          </w:p>
          <w:p w14:paraId="2B523A23" w14:textId="77777777" w:rsidR="00F20B82" w:rsidRPr="00F20B82" w:rsidRDefault="00F20B82" w:rsidP="00F20B82">
            <w:pPr>
              <w:tabs>
                <w:tab w:val="center" w:pos="6240"/>
              </w:tabs>
              <w:jc w:val="center"/>
              <w:rPr>
                <w:rFonts w:ascii="Times New Roman" w:eastAsia="Calibri" w:hAnsi="Times New Roman" w:cs="Times New Roman"/>
                <w:b/>
                <w:sz w:val="24"/>
                <w:szCs w:val="22"/>
              </w:rPr>
            </w:pPr>
          </w:p>
          <w:p w14:paraId="0C8D1EDE" w14:textId="701D9439" w:rsidR="00F20B82" w:rsidRPr="00F20B82" w:rsidRDefault="001A2261" w:rsidP="001A2261">
            <w:pPr>
              <w:tabs>
                <w:tab w:val="center" w:pos="6240"/>
              </w:tabs>
              <w:jc w:val="center"/>
              <w:rPr>
                <w:rFonts w:ascii="Times New Roman" w:eastAsia="Calibri" w:hAnsi="Times New Roman" w:cs="Times New Roman"/>
                <w:i/>
                <w:sz w:val="24"/>
                <w:szCs w:val="24"/>
              </w:rPr>
            </w:pPr>
            <w:r>
              <w:rPr>
                <w:rFonts w:ascii="Times New Roman" w:eastAsia="Calibri" w:hAnsi="Times New Roman" w:cs="Times New Roman"/>
                <w:i/>
                <w:sz w:val="24"/>
                <w:szCs w:val="24"/>
              </w:rPr>
              <w:t>(đã ký)</w:t>
            </w:r>
            <w:bookmarkStart w:id="0" w:name="_GoBack"/>
            <w:bookmarkEnd w:id="0"/>
          </w:p>
          <w:p w14:paraId="3C1F456C" w14:textId="77777777" w:rsidR="00F20B82" w:rsidRPr="00F20B82" w:rsidRDefault="00F20B82" w:rsidP="00F20B82">
            <w:pPr>
              <w:tabs>
                <w:tab w:val="center" w:pos="6240"/>
              </w:tabs>
              <w:rPr>
                <w:rFonts w:ascii="Times New Roman" w:eastAsia="Calibri" w:hAnsi="Times New Roman" w:cs="Times New Roman"/>
                <w:b/>
                <w:sz w:val="24"/>
                <w:szCs w:val="24"/>
              </w:rPr>
            </w:pPr>
          </w:p>
          <w:p w14:paraId="22D9BED3" w14:textId="77777777" w:rsidR="00F20B82" w:rsidRDefault="00F20B82" w:rsidP="00F20B82">
            <w:pPr>
              <w:tabs>
                <w:tab w:val="center" w:pos="6240"/>
              </w:tabs>
              <w:jc w:val="center"/>
              <w:rPr>
                <w:rFonts w:ascii="Times New Roman" w:eastAsia="Calibri" w:hAnsi="Times New Roman" w:cs="Times New Roman"/>
                <w:b/>
                <w:sz w:val="26"/>
                <w:szCs w:val="26"/>
              </w:rPr>
            </w:pPr>
          </w:p>
          <w:p w14:paraId="16B720BF" w14:textId="32064617" w:rsidR="00F20B82" w:rsidRPr="00F20B82" w:rsidRDefault="00F20B82" w:rsidP="00F20B82">
            <w:pPr>
              <w:tabs>
                <w:tab w:val="center" w:pos="6240"/>
              </w:tabs>
              <w:jc w:val="center"/>
              <w:rPr>
                <w:rFonts w:ascii="Times New Roman" w:eastAsia="Calibri" w:hAnsi="Times New Roman" w:cs="Times New Roman"/>
                <w:b/>
                <w:sz w:val="26"/>
                <w:szCs w:val="26"/>
              </w:rPr>
            </w:pPr>
            <w:r>
              <w:rPr>
                <w:rFonts w:ascii="Times New Roman" w:eastAsia="Calibri" w:hAnsi="Times New Roman" w:cs="Times New Roman"/>
                <w:b/>
                <w:sz w:val="26"/>
                <w:szCs w:val="26"/>
              </w:rPr>
              <w:t>Đậu Anh Tuấn</w:t>
            </w:r>
          </w:p>
        </w:tc>
      </w:tr>
    </w:tbl>
    <w:p w14:paraId="20014114" w14:textId="77777777" w:rsidR="00F20B82" w:rsidRDefault="00F20B82" w:rsidP="00EA2FC6">
      <w:pPr>
        <w:spacing w:before="120" w:after="120" w:line="312" w:lineRule="auto"/>
        <w:jc w:val="both"/>
        <w:rPr>
          <w:rFonts w:ascii="Times New Roman" w:hAnsi="Times New Roman"/>
          <w:lang w:val="vi-VN"/>
        </w:rPr>
      </w:pPr>
    </w:p>
    <w:p w14:paraId="0A029F0A" w14:textId="74CABE09" w:rsidR="00F20B82" w:rsidRPr="00EA2FC6" w:rsidRDefault="00F20B82" w:rsidP="00EA2FC6">
      <w:pPr>
        <w:spacing w:before="120" w:after="120" w:line="312" w:lineRule="auto"/>
        <w:jc w:val="both"/>
        <w:rPr>
          <w:rFonts w:ascii="Times New Roman" w:hAnsi="Times New Roman"/>
          <w:lang w:val="vi-VN"/>
        </w:rPr>
      </w:pPr>
      <w:r>
        <w:rPr>
          <w:rFonts w:ascii="Times New Roman" w:hAnsi="Times New Roman"/>
          <w:lang w:val="vi-VN"/>
        </w:rPr>
        <w:tab/>
      </w:r>
    </w:p>
    <w:sectPr w:rsidR="00F20B82" w:rsidRPr="00EA2FC6" w:rsidSect="00691BF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58AD0" w14:textId="77777777" w:rsidR="00D864A6" w:rsidRDefault="00D864A6" w:rsidP="00F20B82">
      <w:r>
        <w:separator/>
      </w:r>
    </w:p>
  </w:endnote>
  <w:endnote w:type="continuationSeparator" w:id="0">
    <w:p w14:paraId="0665C57B" w14:textId="77777777" w:rsidR="00D864A6" w:rsidRDefault="00D864A6" w:rsidP="00F2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45234" w14:textId="77777777" w:rsidR="00F20B82" w:rsidRDefault="00F20B82" w:rsidP="007A617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7A4209" w14:textId="77777777" w:rsidR="00F20B82" w:rsidRDefault="00F20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FE54D" w14:textId="77777777" w:rsidR="00F20B82" w:rsidRDefault="00F20B82" w:rsidP="007A617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2261">
      <w:rPr>
        <w:rStyle w:val="PageNumber"/>
        <w:noProof/>
      </w:rPr>
      <w:t>2</w:t>
    </w:r>
    <w:r>
      <w:rPr>
        <w:rStyle w:val="PageNumber"/>
      </w:rPr>
      <w:fldChar w:fldCharType="end"/>
    </w:r>
  </w:p>
  <w:p w14:paraId="5EBA237A" w14:textId="77777777" w:rsidR="00F20B82" w:rsidRDefault="00F20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06C44" w14:textId="77777777" w:rsidR="00D864A6" w:rsidRDefault="00D864A6" w:rsidP="00F20B82">
      <w:r>
        <w:separator/>
      </w:r>
    </w:p>
  </w:footnote>
  <w:footnote w:type="continuationSeparator" w:id="0">
    <w:p w14:paraId="2EB577CB" w14:textId="77777777" w:rsidR="00D864A6" w:rsidRDefault="00D864A6" w:rsidP="00F20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A400F"/>
    <w:multiLevelType w:val="hybridMultilevel"/>
    <w:tmpl w:val="558C462A"/>
    <w:lvl w:ilvl="0" w:tplc="0952D3A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B9E1FE0"/>
    <w:multiLevelType w:val="hybridMultilevel"/>
    <w:tmpl w:val="EC623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0D0FA2"/>
    <w:multiLevelType w:val="hybridMultilevel"/>
    <w:tmpl w:val="E72C3426"/>
    <w:lvl w:ilvl="0" w:tplc="9648E4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5872DB"/>
    <w:multiLevelType w:val="hybridMultilevel"/>
    <w:tmpl w:val="1E62156C"/>
    <w:lvl w:ilvl="0" w:tplc="477823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32773C7"/>
    <w:multiLevelType w:val="hybridMultilevel"/>
    <w:tmpl w:val="006EF13E"/>
    <w:lvl w:ilvl="0" w:tplc="FFDA0D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22"/>
    <w:rsid w:val="0005670B"/>
    <w:rsid w:val="000E2CCB"/>
    <w:rsid w:val="00160CA0"/>
    <w:rsid w:val="001A2261"/>
    <w:rsid w:val="00326B9B"/>
    <w:rsid w:val="004955FD"/>
    <w:rsid w:val="00674152"/>
    <w:rsid w:val="00691BFB"/>
    <w:rsid w:val="008B1122"/>
    <w:rsid w:val="008C5BFD"/>
    <w:rsid w:val="009D3C5D"/>
    <w:rsid w:val="00A068A9"/>
    <w:rsid w:val="00B009DE"/>
    <w:rsid w:val="00B44E17"/>
    <w:rsid w:val="00B93FD2"/>
    <w:rsid w:val="00BC2570"/>
    <w:rsid w:val="00C83337"/>
    <w:rsid w:val="00D864A6"/>
    <w:rsid w:val="00DA7D73"/>
    <w:rsid w:val="00EA2FC6"/>
    <w:rsid w:val="00F03ECA"/>
    <w:rsid w:val="00F20B82"/>
    <w:rsid w:val="00F538E8"/>
    <w:rsid w:val="00FA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12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122"/>
    <w:pPr>
      <w:ind w:left="720"/>
      <w:contextualSpacing/>
    </w:pPr>
  </w:style>
  <w:style w:type="table" w:styleId="TableGrid">
    <w:name w:val="Table Grid"/>
    <w:basedOn w:val="TableNormal"/>
    <w:uiPriority w:val="59"/>
    <w:rsid w:val="00F20B82"/>
    <w:rPr>
      <w:rFonts w:ascii="Times New Roman" w:hAnsi="Times New Roman" w:cs="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20B82"/>
    <w:pPr>
      <w:tabs>
        <w:tab w:val="center" w:pos="4680"/>
        <w:tab w:val="right" w:pos="9360"/>
      </w:tabs>
    </w:pPr>
  </w:style>
  <w:style w:type="character" w:customStyle="1" w:styleId="FooterChar">
    <w:name w:val="Footer Char"/>
    <w:basedOn w:val="DefaultParagraphFont"/>
    <w:link w:val="Footer"/>
    <w:uiPriority w:val="99"/>
    <w:rsid w:val="00F20B82"/>
  </w:style>
  <w:style w:type="character" w:styleId="PageNumber">
    <w:name w:val="page number"/>
    <w:basedOn w:val="DefaultParagraphFont"/>
    <w:uiPriority w:val="99"/>
    <w:semiHidden/>
    <w:unhideWhenUsed/>
    <w:rsid w:val="00F2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511402">
      <w:bodyDiv w:val="1"/>
      <w:marLeft w:val="0"/>
      <w:marRight w:val="0"/>
      <w:marTop w:val="0"/>
      <w:marBottom w:val="0"/>
      <w:divBdr>
        <w:top w:val="none" w:sz="0" w:space="0" w:color="auto"/>
        <w:left w:val="none" w:sz="0" w:space="0" w:color="auto"/>
        <w:bottom w:val="none" w:sz="0" w:space="0" w:color="auto"/>
        <w:right w:val="none" w:sz="0" w:space="0" w:color="auto"/>
      </w:divBdr>
      <w:divsChild>
        <w:div w:id="1126704491">
          <w:marLeft w:val="0"/>
          <w:marRight w:val="0"/>
          <w:marTop w:val="0"/>
          <w:marBottom w:val="0"/>
          <w:divBdr>
            <w:top w:val="none" w:sz="0" w:space="0" w:color="auto"/>
            <w:left w:val="none" w:sz="0" w:space="0" w:color="auto"/>
            <w:bottom w:val="none" w:sz="0" w:space="0" w:color="auto"/>
            <w:right w:val="none" w:sz="0" w:space="0" w:color="auto"/>
          </w:divBdr>
        </w:div>
        <w:div w:id="521358775">
          <w:marLeft w:val="0"/>
          <w:marRight w:val="0"/>
          <w:marTop w:val="0"/>
          <w:marBottom w:val="0"/>
          <w:divBdr>
            <w:top w:val="none" w:sz="0" w:space="0" w:color="auto"/>
            <w:left w:val="none" w:sz="0" w:space="0" w:color="auto"/>
            <w:bottom w:val="none" w:sz="0" w:space="0" w:color="auto"/>
            <w:right w:val="none" w:sz="0" w:space="0" w:color="auto"/>
          </w:divBdr>
        </w:div>
        <w:div w:id="396317045">
          <w:marLeft w:val="0"/>
          <w:marRight w:val="0"/>
          <w:marTop w:val="0"/>
          <w:marBottom w:val="0"/>
          <w:divBdr>
            <w:top w:val="none" w:sz="0" w:space="0" w:color="auto"/>
            <w:left w:val="none" w:sz="0" w:space="0" w:color="auto"/>
            <w:bottom w:val="none" w:sz="0" w:space="0" w:color="auto"/>
            <w:right w:val="none" w:sz="0" w:space="0" w:color="auto"/>
          </w:divBdr>
        </w:div>
        <w:div w:id="622421164">
          <w:marLeft w:val="0"/>
          <w:marRight w:val="0"/>
          <w:marTop w:val="0"/>
          <w:marBottom w:val="0"/>
          <w:divBdr>
            <w:top w:val="none" w:sz="0" w:space="0" w:color="auto"/>
            <w:left w:val="none" w:sz="0" w:space="0" w:color="auto"/>
            <w:bottom w:val="none" w:sz="0" w:space="0" w:color="auto"/>
            <w:right w:val="none" w:sz="0" w:space="0" w:color="auto"/>
          </w:divBdr>
        </w:div>
        <w:div w:id="788398573">
          <w:marLeft w:val="0"/>
          <w:marRight w:val="0"/>
          <w:marTop w:val="0"/>
          <w:marBottom w:val="0"/>
          <w:divBdr>
            <w:top w:val="none" w:sz="0" w:space="0" w:color="auto"/>
            <w:left w:val="none" w:sz="0" w:space="0" w:color="auto"/>
            <w:bottom w:val="none" w:sz="0" w:space="0" w:color="auto"/>
            <w:right w:val="none" w:sz="0" w:space="0" w:color="auto"/>
          </w:divBdr>
        </w:div>
        <w:div w:id="1640913170">
          <w:marLeft w:val="0"/>
          <w:marRight w:val="0"/>
          <w:marTop w:val="0"/>
          <w:marBottom w:val="0"/>
          <w:divBdr>
            <w:top w:val="none" w:sz="0" w:space="0" w:color="auto"/>
            <w:left w:val="none" w:sz="0" w:space="0" w:color="auto"/>
            <w:bottom w:val="none" w:sz="0" w:space="0" w:color="auto"/>
            <w:right w:val="none" w:sz="0" w:space="0" w:color="auto"/>
          </w:divBdr>
        </w:div>
        <w:div w:id="620452856">
          <w:marLeft w:val="0"/>
          <w:marRight w:val="0"/>
          <w:marTop w:val="0"/>
          <w:marBottom w:val="0"/>
          <w:divBdr>
            <w:top w:val="none" w:sz="0" w:space="0" w:color="auto"/>
            <w:left w:val="none" w:sz="0" w:space="0" w:color="auto"/>
            <w:bottom w:val="none" w:sz="0" w:space="0" w:color="auto"/>
            <w:right w:val="none" w:sz="0" w:space="0" w:color="auto"/>
          </w:divBdr>
        </w:div>
        <w:div w:id="1312446860">
          <w:marLeft w:val="0"/>
          <w:marRight w:val="0"/>
          <w:marTop w:val="0"/>
          <w:marBottom w:val="0"/>
          <w:divBdr>
            <w:top w:val="none" w:sz="0" w:space="0" w:color="auto"/>
            <w:left w:val="none" w:sz="0" w:space="0" w:color="auto"/>
            <w:bottom w:val="none" w:sz="0" w:space="0" w:color="auto"/>
            <w:right w:val="none" w:sz="0" w:space="0" w:color="auto"/>
          </w:divBdr>
        </w:div>
        <w:div w:id="1794977958">
          <w:marLeft w:val="0"/>
          <w:marRight w:val="0"/>
          <w:marTop w:val="0"/>
          <w:marBottom w:val="0"/>
          <w:divBdr>
            <w:top w:val="none" w:sz="0" w:space="0" w:color="auto"/>
            <w:left w:val="none" w:sz="0" w:space="0" w:color="auto"/>
            <w:bottom w:val="none" w:sz="0" w:space="0" w:color="auto"/>
            <w:right w:val="none" w:sz="0" w:space="0" w:color="auto"/>
          </w:divBdr>
        </w:div>
        <w:div w:id="1780101473">
          <w:marLeft w:val="0"/>
          <w:marRight w:val="0"/>
          <w:marTop w:val="0"/>
          <w:marBottom w:val="0"/>
          <w:divBdr>
            <w:top w:val="none" w:sz="0" w:space="0" w:color="auto"/>
            <w:left w:val="none" w:sz="0" w:space="0" w:color="auto"/>
            <w:bottom w:val="none" w:sz="0" w:space="0" w:color="auto"/>
            <w:right w:val="none" w:sz="0" w:space="0" w:color="auto"/>
          </w:divBdr>
        </w:div>
        <w:div w:id="1931543640">
          <w:marLeft w:val="0"/>
          <w:marRight w:val="0"/>
          <w:marTop w:val="0"/>
          <w:marBottom w:val="0"/>
          <w:divBdr>
            <w:top w:val="none" w:sz="0" w:space="0" w:color="auto"/>
            <w:left w:val="none" w:sz="0" w:space="0" w:color="auto"/>
            <w:bottom w:val="none" w:sz="0" w:space="0" w:color="auto"/>
            <w:right w:val="none" w:sz="0" w:space="0" w:color="auto"/>
          </w:divBdr>
        </w:div>
        <w:div w:id="893664618">
          <w:marLeft w:val="0"/>
          <w:marRight w:val="0"/>
          <w:marTop w:val="0"/>
          <w:marBottom w:val="0"/>
          <w:divBdr>
            <w:top w:val="none" w:sz="0" w:space="0" w:color="auto"/>
            <w:left w:val="none" w:sz="0" w:space="0" w:color="auto"/>
            <w:bottom w:val="none" w:sz="0" w:space="0" w:color="auto"/>
            <w:right w:val="none" w:sz="0" w:space="0" w:color="auto"/>
          </w:divBdr>
        </w:div>
        <w:div w:id="797381555">
          <w:marLeft w:val="0"/>
          <w:marRight w:val="0"/>
          <w:marTop w:val="0"/>
          <w:marBottom w:val="0"/>
          <w:divBdr>
            <w:top w:val="none" w:sz="0" w:space="0" w:color="auto"/>
            <w:left w:val="none" w:sz="0" w:space="0" w:color="auto"/>
            <w:bottom w:val="none" w:sz="0" w:space="0" w:color="auto"/>
            <w:right w:val="none" w:sz="0" w:space="0" w:color="auto"/>
          </w:divBdr>
        </w:div>
        <w:div w:id="1144664721">
          <w:marLeft w:val="0"/>
          <w:marRight w:val="0"/>
          <w:marTop w:val="0"/>
          <w:marBottom w:val="0"/>
          <w:divBdr>
            <w:top w:val="none" w:sz="0" w:space="0" w:color="auto"/>
            <w:left w:val="none" w:sz="0" w:space="0" w:color="auto"/>
            <w:bottom w:val="none" w:sz="0" w:space="0" w:color="auto"/>
            <w:right w:val="none" w:sz="0" w:space="0" w:color="auto"/>
          </w:divBdr>
        </w:div>
        <w:div w:id="2005818134">
          <w:marLeft w:val="0"/>
          <w:marRight w:val="0"/>
          <w:marTop w:val="0"/>
          <w:marBottom w:val="0"/>
          <w:divBdr>
            <w:top w:val="none" w:sz="0" w:space="0" w:color="auto"/>
            <w:left w:val="none" w:sz="0" w:space="0" w:color="auto"/>
            <w:bottom w:val="none" w:sz="0" w:space="0" w:color="auto"/>
            <w:right w:val="none" w:sz="0" w:space="0" w:color="auto"/>
          </w:divBdr>
        </w:div>
        <w:div w:id="1903440622">
          <w:marLeft w:val="0"/>
          <w:marRight w:val="0"/>
          <w:marTop w:val="0"/>
          <w:marBottom w:val="0"/>
          <w:divBdr>
            <w:top w:val="none" w:sz="0" w:space="0" w:color="auto"/>
            <w:left w:val="none" w:sz="0" w:space="0" w:color="auto"/>
            <w:bottom w:val="none" w:sz="0" w:space="0" w:color="auto"/>
            <w:right w:val="none" w:sz="0" w:space="0" w:color="auto"/>
          </w:divBdr>
        </w:div>
        <w:div w:id="1757896942">
          <w:marLeft w:val="0"/>
          <w:marRight w:val="0"/>
          <w:marTop w:val="0"/>
          <w:marBottom w:val="0"/>
          <w:divBdr>
            <w:top w:val="none" w:sz="0" w:space="0" w:color="auto"/>
            <w:left w:val="none" w:sz="0" w:space="0" w:color="auto"/>
            <w:bottom w:val="none" w:sz="0" w:space="0" w:color="auto"/>
            <w:right w:val="none" w:sz="0" w:space="0" w:color="auto"/>
          </w:divBdr>
        </w:div>
        <w:div w:id="479925218">
          <w:marLeft w:val="0"/>
          <w:marRight w:val="0"/>
          <w:marTop w:val="0"/>
          <w:marBottom w:val="0"/>
          <w:divBdr>
            <w:top w:val="none" w:sz="0" w:space="0" w:color="auto"/>
            <w:left w:val="none" w:sz="0" w:space="0" w:color="auto"/>
            <w:bottom w:val="none" w:sz="0" w:space="0" w:color="auto"/>
            <w:right w:val="none" w:sz="0" w:space="0" w:color="auto"/>
          </w:divBdr>
        </w:div>
        <w:div w:id="1161892123">
          <w:marLeft w:val="0"/>
          <w:marRight w:val="0"/>
          <w:marTop w:val="0"/>
          <w:marBottom w:val="0"/>
          <w:divBdr>
            <w:top w:val="none" w:sz="0" w:space="0" w:color="auto"/>
            <w:left w:val="none" w:sz="0" w:space="0" w:color="auto"/>
            <w:bottom w:val="none" w:sz="0" w:space="0" w:color="auto"/>
            <w:right w:val="none" w:sz="0" w:space="0" w:color="auto"/>
          </w:divBdr>
        </w:div>
        <w:div w:id="1434008661">
          <w:marLeft w:val="0"/>
          <w:marRight w:val="0"/>
          <w:marTop w:val="0"/>
          <w:marBottom w:val="0"/>
          <w:divBdr>
            <w:top w:val="none" w:sz="0" w:space="0" w:color="auto"/>
            <w:left w:val="none" w:sz="0" w:space="0" w:color="auto"/>
            <w:bottom w:val="none" w:sz="0" w:space="0" w:color="auto"/>
            <w:right w:val="none" w:sz="0" w:space="0" w:color="auto"/>
          </w:divBdr>
        </w:div>
        <w:div w:id="707338460">
          <w:marLeft w:val="0"/>
          <w:marRight w:val="0"/>
          <w:marTop w:val="0"/>
          <w:marBottom w:val="0"/>
          <w:divBdr>
            <w:top w:val="none" w:sz="0" w:space="0" w:color="auto"/>
            <w:left w:val="none" w:sz="0" w:space="0" w:color="auto"/>
            <w:bottom w:val="none" w:sz="0" w:space="0" w:color="auto"/>
            <w:right w:val="none" w:sz="0" w:space="0" w:color="auto"/>
          </w:divBdr>
        </w:div>
        <w:div w:id="700397428">
          <w:marLeft w:val="0"/>
          <w:marRight w:val="0"/>
          <w:marTop w:val="0"/>
          <w:marBottom w:val="0"/>
          <w:divBdr>
            <w:top w:val="none" w:sz="0" w:space="0" w:color="auto"/>
            <w:left w:val="none" w:sz="0" w:space="0" w:color="auto"/>
            <w:bottom w:val="none" w:sz="0" w:space="0" w:color="auto"/>
            <w:right w:val="none" w:sz="0" w:space="0" w:color="auto"/>
          </w:divBdr>
        </w:div>
        <w:div w:id="1748267654">
          <w:marLeft w:val="0"/>
          <w:marRight w:val="0"/>
          <w:marTop w:val="0"/>
          <w:marBottom w:val="0"/>
          <w:divBdr>
            <w:top w:val="none" w:sz="0" w:space="0" w:color="auto"/>
            <w:left w:val="none" w:sz="0" w:space="0" w:color="auto"/>
            <w:bottom w:val="none" w:sz="0" w:space="0" w:color="auto"/>
            <w:right w:val="none" w:sz="0" w:space="0" w:color="auto"/>
          </w:divBdr>
        </w:div>
        <w:div w:id="448476478">
          <w:marLeft w:val="0"/>
          <w:marRight w:val="0"/>
          <w:marTop w:val="0"/>
          <w:marBottom w:val="0"/>
          <w:divBdr>
            <w:top w:val="none" w:sz="0" w:space="0" w:color="auto"/>
            <w:left w:val="none" w:sz="0" w:space="0" w:color="auto"/>
            <w:bottom w:val="none" w:sz="0" w:space="0" w:color="auto"/>
            <w:right w:val="none" w:sz="0" w:space="0" w:color="auto"/>
          </w:divBdr>
        </w:div>
        <w:div w:id="625936088">
          <w:marLeft w:val="0"/>
          <w:marRight w:val="0"/>
          <w:marTop w:val="0"/>
          <w:marBottom w:val="0"/>
          <w:divBdr>
            <w:top w:val="none" w:sz="0" w:space="0" w:color="auto"/>
            <w:left w:val="none" w:sz="0" w:space="0" w:color="auto"/>
            <w:bottom w:val="none" w:sz="0" w:space="0" w:color="auto"/>
            <w:right w:val="none" w:sz="0" w:space="0" w:color="auto"/>
          </w:divBdr>
        </w:div>
        <w:div w:id="75136371">
          <w:marLeft w:val="0"/>
          <w:marRight w:val="0"/>
          <w:marTop w:val="0"/>
          <w:marBottom w:val="0"/>
          <w:divBdr>
            <w:top w:val="none" w:sz="0" w:space="0" w:color="auto"/>
            <w:left w:val="none" w:sz="0" w:space="0" w:color="auto"/>
            <w:bottom w:val="none" w:sz="0" w:space="0" w:color="auto"/>
            <w:right w:val="none" w:sz="0" w:space="0" w:color="auto"/>
          </w:divBdr>
        </w:div>
        <w:div w:id="1346640366">
          <w:marLeft w:val="0"/>
          <w:marRight w:val="0"/>
          <w:marTop w:val="0"/>
          <w:marBottom w:val="0"/>
          <w:divBdr>
            <w:top w:val="none" w:sz="0" w:space="0" w:color="auto"/>
            <w:left w:val="none" w:sz="0" w:space="0" w:color="auto"/>
            <w:bottom w:val="none" w:sz="0" w:space="0" w:color="auto"/>
            <w:right w:val="none" w:sz="0" w:space="0" w:color="auto"/>
          </w:divBdr>
        </w:div>
        <w:div w:id="1648627665">
          <w:marLeft w:val="0"/>
          <w:marRight w:val="0"/>
          <w:marTop w:val="0"/>
          <w:marBottom w:val="0"/>
          <w:divBdr>
            <w:top w:val="none" w:sz="0" w:space="0" w:color="auto"/>
            <w:left w:val="none" w:sz="0" w:space="0" w:color="auto"/>
            <w:bottom w:val="none" w:sz="0" w:space="0" w:color="auto"/>
            <w:right w:val="none" w:sz="0" w:space="0" w:color="auto"/>
          </w:divBdr>
        </w:div>
        <w:div w:id="1445921350">
          <w:marLeft w:val="0"/>
          <w:marRight w:val="0"/>
          <w:marTop w:val="0"/>
          <w:marBottom w:val="0"/>
          <w:divBdr>
            <w:top w:val="none" w:sz="0" w:space="0" w:color="auto"/>
            <w:left w:val="none" w:sz="0" w:space="0" w:color="auto"/>
            <w:bottom w:val="none" w:sz="0" w:space="0" w:color="auto"/>
            <w:right w:val="none" w:sz="0" w:space="0" w:color="auto"/>
          </w:divBdr>
        </w:div>
        <w:div w:id="870070035">
          <w:marLeft w:val="0"/>
          <w:marRight w:val="0"/>
          <w:marTop w:val="0"/>
          <w:marBottom w:val="0"/>
          <w:divBdr>
            <w:top w:val="none" w:sz="0" w:space="0" w:color="auto"/>
            <w:left w:val="none" w:sz="0" w:space="0" w:color="auto"/>
            <w:bottom w:val="none" w:sz="0" w:space="0" w:color="auto"/>
            <w:right w:val="none" w:sz="0" w:space="0" w:color="auto"/>
          </w:divBdr>
        </w:div>
        <w:div w:id="1865173562">
          <w:marLeft w:val="0"/>
          <w:marRight w:val="0"/>
          <w:marTop w:val="0"/>
          <w:marBottom w:val="0"/>
          <w:divBdr>
            <w:top w:val="none" w:sz="0" w:space="0" w:color="auto"/>
            <w:left w:val="none" w:sz="0" w:space="0" w:color="auto"/>
            <w:bottom w:val="none" w:sz="0" w:space="0" w:color="auto"/>
            <w:right w:val="none" w:sz="0" w:space="0" w:color="auto"/>
          </w:divBdr>
        </w:div>
        <w:div w:id="702439599">
          <w:marLeft w:val="0"/>
          <w:marRight w:val="0"/>
          <w:marTop w:val="0"/>
          <w:marBottom w:val="0"/>
          <w:divBdr>
            <w:top w:val="none" w:sz="0" w:space="0" w:color="auto"/>
            <w:left w:val="none" w:sz="0" w:space="0" w:color="auto"/>
            <w:bottom w:val="none" w:sz="0" w:space="0" w:color="auto"/>
            <w:right w:val="none" w:sz="0" w:space="0" w:color="auto"/>
          </w:divBdr>
        </w:div>
        <w:div w:id="1180657774">
          <w:marLeft w:val="0"/>
          <w:marRight w:val="0"/>
          <w:marTop w:val="0"/>
          <w:marBottom w:val="0"/>
          <w:divBdr>
            <w:top w:val="none" w:sz="0" w:space="0" w:color="auto"/>
            <w:left w:val="none" w:sz="0" w:space="0" w:color="auto"/>
            <w:bottom w:val="none" w:sz="0" w:space="0" w:color="auto"/>
            <w:right w:val="none" w:sz="0" w:space="0" w:color="auto"/>
          </w:divBdr>
        </w:div>
        <w:div w:id="16567168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Đức</dc:creator>
  <cp:keywords/>
  <dc:description/>
  <cp:lastModifiedBy>PCI09</cp:lastModifiedBy>
  <cp:revision>4</cp:revision>
  <dcterms:created xsi:type="dcterms:W3CDTF">2017-08-21T00:50:00Z</dcterms:created>
  <dcterms:modified xsi:type="dcterms:W3CDTF">2017-08-28T03:36:00Z</dcterms:modified>
</cp:coreProperties>
</file>