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A95F0E" w:rsidTr="009C7BB0">
        <w:tc>
          <w:tcPr>
            <w:tcW w:w="4077" w:type="dxa"/>
          </w:tcPr>
          <w:p w:rsidR="00A95F0E" w:rsidRPr="009C7BB0" w:rsidRDefault="00A95F0E" w:rsidP="009C7BB0">
            <w:pPr>
              <w:jc w:val="center"/>
              <w:rPr>
                <w:b/>
              </w:rPr>
            </w:pPr>
            <w:r w:rsidRPr="009C7BB0">
              <w:rPr>
                <w:b/>
              </w:rPr>
              <w:t>PHÒNG THƯƠNG MẠI</w:t>
            </w:r>
          </w:p>
          <w:p w:rsidR="00A95F0E" w:rsidRPr="009C7BB0" w:rsidRDefault="00A95F0E" w:rsidP="009C7BB0">
            <w:pPr>
              <w:jc w:val="center"/>
              <w:rPr>
                <w:b/>
              </w:rPr>
            </w:pPr>
            <w:r w:rsidRPr="009C7BB0">
              <w:rPr>
                <w:b/>
              </w:rPr>
              <w:t>VÀ CÔNG NGHIỆP VIỆT NAM</w:t>
            </w:r>
          </w:p>
          <w:p w:rsidR="00A95F0E" w:rsidRPr="009C7BB0" w:rsidRDefault="009C7BB0" w:rsidP="009C7BB0">
            <w:pPr>
              <w:tabs>
                <w:tab w:val="left" w:pos="2670"/>
              </w:tabs>
              <w:jc w:val="center"/>
              <w:rPr>
                <w:b/>
              </w:rPr>
            </w:pPr>
            <w:r>
              <w:rPr>
                <w:b/>
                <w:noProof/>
              </w:rPr>
              <mc:AlternateContent>
                <mc:Choice Requires="wps">
                  <w:drawing>
                    <wp:anchor distT="0" distB="0" distL="114300" distR="114300" simplePos="0" relativeHeight="251659264" behindDoc="0" locked="0" layoutInCell="1" allowOverlap="1" wp14:anchorId="1EACE509" wp14:editId="69DB3D85">
                      <wp:simplePos x="0" y="0"/>
                      <wp:positionH relativeFrom="column">
                        <wp:posOffset>481964</wp:posOffset>
                      </wp:positionH>
                      <wp:positionV relativeFrom="paragraph">
                        <wp:posOffset>110490</wp:posOffset>
                      </wp:positionV>
                      <wp:extent cx="1362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3247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95pt,8.7pt" to="145.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M3tgEAAMMDAAAOAAAAZHJzL2Uyb0RvYy54bWysU8GOEzEMvSPxD1HudKZFLG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" strokecolor="#4579b8 [3044]"/>
                  </w:pict>
                </mc:Fallback>
              </mc:AlternateContent>
            </w:r>
          </w:p>
          <w:p w:rsidR="00A95F0E" w:rsidRPr="009C7BB0" w:rsidRDefault="00A95F0E" w:rsidP="009C7BB0">
            <w:pPr>
              <w:jc w:val="center"/>
              <w:rPr>
                <w:b/>
              </w:rPr>
            </w:pPr>
            <w:r w:rsidRPr="009C7BB0">
              <w:rPr>
                <w:b/>
              </w:rPr>
              <w:t xml:space="preserve">Số:            </w:t>
            </w:r>
            <w:r w:rsidR="00DF243B">
              <w:rPr>
                <w:b/>
              </w:rPr>
              <w:t>1347</w:t>
            </w:r>
            <w:r w:rsidRPr="009C7BB0">
              <w:rPr>
                <w:b/>
              </w:rPr>
              <w:t xml:space="preserve">                 /PTM-PC</w:t>
            </w:r>
          </w:p>
          <w:p w:rsidR="00A95F0E" w:rsidRDefault="00A95F0E" w:rsidP="009C7BB0">
            <w:pPr>
              <w:jc w:val="center"/>
            </w:pPr>
            <w:r w:rsidRPr="009C7BB0">
              <w:rPr>
                <w:sz w:val="22"/>
              </w:rPr>
              <w:t>Vv: Góp ý Dự thảo Luật sửa đổi, bổ sung một số điều của Luật thể dục, thể thao</w:t>
            </w:r>
          </w:p>
        </w:tc>
        <w:tc>
          <w:tcPr>
            <w:tcW w:w="5387" w:type="dxa"/>
          </w:tcPr>
          <w:p w:rsidR="00A95F0E" w:rsidRPr="009C7BB0" w:rsidRDefault="00A95F0E" w:rsidP="009C7BB0">
            <w:pPr>
              <w:jc w:val="center"/>
              <w:rPr>
                <w:b/>
              </w:rPr>
            </w:pPr>
            <w:r w:rsidRPr="009C7BB0">
              <w:rPr>
                <w:b/>
              </w:rPr>
              <w:t>CỘNG HÒA XÃ HỘI CHỦ NGHĨA VIỆT NAM</w:t>
            </w:r>
          </w:p>
          <w:p w:rsidR="00A95F0E" w:rsidRPr="009C7BB0" w:rsidRDefault="00A95F0E" w:rsidP="009C7BB0">
            <w:pPr>
              <w:jc w:val="center"/>
              <w:rPr>
                <w:b/>
              </w:rPr>
            </w:pPr>
            <w:r w:rsidRPr="009C7BB0">
              <w:rPr>
                <w:b/>
              </w:rPr>
              <w:t>Độc lập – Tự do – Hạnh phúc</w:t>
            </w:r>
          </w:p>
          <w:p w:rsidR="00A95F0E" w:rsidRPr="009C7BB0" w:rsidRDefault="009C7BB0" w:rsidP="009C7BB0">
            <w:pPr>
              <w:jc w:val="center"/>
              <w:rPr>
                <w:b/>
              </w:rPr>
            </w:pPr>
            <w:r>
              <w:rPr>
                <w:b/>
                <w:noProof/>
              </w:rPr>
              <mc:AlternateContent>
                <mc:Choice Requires="wps">
                  <w:drawing>
                    <wp:anchor distT="0" distB="0" distL="114300" distR="114300" simplePos="0" relativeHeight="251660288" behindDoc="0" locked="0" layoutInCell="1" allowOverlap="1" wp14:anchorId="1AD3FA73" wp14:editId="513BCD2A">
                      <wp:simplePos x="0" y="0"/>
                      <wp:positionH relativeFrom="column">
                        <wp:posOffset>741045</wp:posOffset>
                      </wp:positionH>
                      <wp:positionV relativeFrom="paragraph">
                        <wp:posOffset>110490</wp:posOffset>
                      </wp:positionV>
                      <wp:extent cx="1752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D15D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35pt,8.7pt" to="196.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" strokecolor="#4579b8 [3044]"/>
                  </w:pict>
                </mc:Fallback>
              </mc:AlternateContent>
            </w:r>
          </w:p>
          <w:p w:rsidR="00A95F0E" w:rsidRPr="009C7BB0" w:rsidRDefault="00A95F0E" w:rsidP="005451A3">
            <w:pPr>
              <w:jc w:val="right"/>
              <w:rPr>
                <w:i/>
              </w:rPr>
            </w:pPr>
            <w:r w:rsidRPr="009C7BB0">
              <w:rPr>
                <w:i/>
              </w:rPr>
              <w:t xml:space="preserve">Hà Nội, ngày  </w:t>
            </w:r>
            <w:r w:rsidR="005451A3">
              <w:rPr>
                <w:i/>
              </w:rPr>
              <w:t>09</w:t>
            </w:r>
            <w:r w:rsidRPr="009C7BB0">
              <w:rPr>
                <w:i/>
              </w:rPr>
              <w:t xml:space="preserve">  tháng 6 năm 2017</w:t>
            </w:r>
          </w:p>
        </w:tc>
      </w:tr>
    </w:tbl>
    <w:p w:rsidR="00A95F0E" w:rsidRPr="00262CBD" w:rsidRDefault="00A95F0E" w:rsidP="009C7BB0">
      <w:pPr>
        <w:spacing w:before="360" w:after="0"/>
        <w:ind w:left="720" w:firstLine="720"/>
        <w:rPr>
          <w:b/>
          <w:sz w:val="26"/>
          <w:szCs w:val="30"/>
        </w:rPr>
      </w:pPr>
      <w:r w:rsidRPr="00262CBD">
        <w:rPr>
          <w:b/>
          <w:sz w:val="26"/>
          <w:szCs w:val="30"/>
        </w:rPr>
        <w:t>Kính gửi: Tổng cục Thể dục, thể thao</w:t>
      </w:r>
    </w:p>
    <w:p w:rsidR="00A95F0E" w:rsidRPr="00262CBD" w:rsidRDefault="009C7BB0" w:rsidP="009C7BB0">
      <w:pPr>
        <w:spacing w:after="360"/>
        <w:ind w:left="1440" w:firstLine="720"/>
        <w:rPr>
          <w:b/>
          <w:sz w:val="26"/>
          <w:szCs w:val="30"/>
        </w:rPr>
      </w:pPr>
      <w:r w:rsidRPr="00262CBD">
        <w:rPr>
          <w:b/>
          <w:sz w:val="26"/>
          <w:szCs w:val="30"/>
        </w:rPr>
        <w:t xml:space="preserve">       </w:t>
      </w:r>
      <w:r w:rsidR="00A95F0E" w:rsidRPr="00262CBD">
        <w:rPr>
          <w:b/>
          <w:sz w:val="26"/>
          <w:szCs w:val="30"/>
        </w:rPr>
        <w:t>Bộ Văn hóa, Thể thao và Du lịch</w:t>
      </w:r>
    </w:p>
    <w:p w:rsidR="00A95F0E" w:rsidRPr="009C7BB0" w:rsidRDefault="008D6259" w:rsidP="009C7BB0">
      <w:pPr>
        <w:spacing w:before="120" w:after="120" w:line="312" w:lineRule="auto"/>
        <w:ind w:firstLine="360"/>
        <w:jc w:val="both"/>
        <w:rPr>
          <w:sz w:val="26"/>
          <w:szCs w:val="26"/>
        </w:rPr>
      </w:pPr>
      <w:r w:rsidRPr="009C7BB0">
        <w:rPr>
          <w:sz w:val="26"/>
          <w:szCs w:val="26"/>
        </w:rPr>
        <w:t xml:space="preserve">Trả lời Công văn số 2136/BVHTTDL-TCDLTT của </w:t>
      </w:r>
      <w:r w:rsidR="002130C7">
        <w:rPr>
          <w:sz w:val="26"/>
          <w:szCs w:val="26"/>
        </w:rPr>
        <w:t>Quý Cơ quan</w:t>
      </w:r>
      <w:r w:rsidRPr="009C7BB0">
        <w:rPr>
          <w:sz w:val="26"/>
          <w:szCs w:val="26"/>
        </w:rPr>
        <w:t xml:space="preserve"> ngày 18/5/201</w:t>
      </w:r>
      <w:r w:rsidR="00DE6D4F" w:rsidRPr="009C7BB0">
        <w:rPr>
          <w:sz w:val="26"/>
          <w:szCs w:val="26"/>
        </w:rPr>
        <w:t>7</w:t>
      </w:r>
      <w:r w:rsidRPr="009C7BB0">
        <w:rPr>
          <w:sz w:val="26"/>
          <w:szCs w:val="26"/>
        </w:rPr>
        <w:t xml:space="preserve"> về việc đề nghị góp ý Dự thảo Luật sửa đổi, bổ sung một số điều của Luật thể dục, thể thao (sau đây gọi tắt là Dự thảo), Phòng Thương mại và Công nghiệp Việt Nam (VCCI) có một số ý kiến như sau</w:t>
      </w:r>
      <w:r w:rsidRPr="009C7BB0">
        <w:rPr>
          <w:rStyle w:val="FootnoteReference"/>
          <w:sz w:val="26"/>
          <w:szCs w:val="26"/>
        </w:rPr>
        <w:footnoteReference w:id="1"/>
      </w:r>
      <w:r w:rsidRPr="009C7BB0">
        <w:rPr>
          <w:sz w:val="26"/>
          <w:szCs w:val="26"/>
        </w:rPr>
        <w:t>:</w:t>
      </w:r>
    </w:p>
    <w:p w:rsidR="008D6259" w:rsidRPr="009C7BB0" w:rsidRDefault="00DE6D4F" w:rsidP="009C7BB0">
      <w:pPr>
        <w:pStyle w:val="ListParagraph"/>
        <w:numPr>
          <w:ilvl w:val="0"/>
          <w:numId w:val="1"/>
        </w:numPr>
        <w:spacing w:before="120" w:after="120" w:line="312" w:lineRule="auto"/>
        <w:jc w:val="both"/>
        <w:rPr>
          <w:b/>
          <w:sz w:val="26"/>
          <w:szCs w:val="26"/>
        </w:rPr>
      </w:pPr>
      <w:r w:rsidRPr="009C7BB0">
        <w:rPr>
          <w:b/>
          <w:sz w:val="26"/>
          <w:szCs w:val="26"/>
        </w:rPr>
        <w:t>Hành nghề đại diện trung gian (khoản 20 Điều 1 bổ sung khoản 3 Điều 48 Luật thể dục, thể thao 2006)</w:t>
      </w:r>
    </w:p>
    <w:p w:rsidR="00A3159E" w:rsidRPr="009C7BB0" w:rsidRDefault="00DE6D4F" w:rsidP="009C7BB0">
      <w:pPr>
        <w:spacing w:before="120" w:after="120" w:line="312" w:lineRule="auto"/>
        <w:ind w:firstLine="360"/>
        <w:jc w:val="both"/>
        <w:rPr>
          <w:sz w:val="26"/>
          <w:szCs w:val="26"/>
        </w:rPr>
      </w:pPr>
      <w:r w:rsidRPr="009C7BB0">
        <w:rPr>
          <w:sz w:val="26"/>
          <w:szCs w:val="26"/>
        </w:rPr>
        <w:t xml:space="preserve">Khoản 20 Điều 1 Dự thảo bổ sung quy định về đại diện trung gian trong hoạt động ký kết hợp đồng chuyển nhượng vận động viên chuyên nghiệp, theo đó “đại diện trung gian được hưởng hoa hồng theo quy định của pháp luật và được cấp phép hành nghề theo quy định của Liên đoàn thể thao quốc gia, Liên đoàn thể thao quốc tế của môn thể thao đó”. </w:t>
      </w:r>
    </w:p>
    <w:p w:rsidR="00DE6D4F" w:rsidRPr="009C7BB0" w:rsidRDefault="00F60D7C" w:rsidP="009C7BB0">
      <w:pPr>
        <w:spacing w:before="120" w:after="120" w:line="312" w:lineRule="auto"/>
        <w:ind w:firstLine="360"/>
        <w:jc w:val="both"/>
        <w:rPr>
          <w:sz w:val="26"/>
          <w:szCs w:val="26"/>
        </w:rPr>
      </w:pPr>
      <w:r w:rsidRPr="009C7BB0">
        <w:rPr>
          <w:sz w:val="26"/>
          <w:szCs w:val="26"/>
        </w:rPr>
        <w:t xml:space="preserve">Quy định tại Dự thảo có thể được hiểu để được làm đại diện trung gian phải có giấy phép hành nghề. Đây được xem là một hình thức của giấy phép kinh doanh (vì hoạt động đại diện trung gian có phát sinh lợi nhuận, được xem là hoạt động kinh doanh). </w:t>
      </w:r>
      <w:r w:rsidR="00FF0E54" w:rsidRPr="009C7BB0">
        <w:rPr>
          <w:sz w:val="26"/>
          <w:szCs w:val="26"/>
        </w:rPr>
        <w:t>Đề nghị Ban soạn thảo xem xét q</w:t>
      </w:r>
      <w:r w:rsidR="00DE6D4F" w:rsidRPr="009C7BB0">
        <w:rPr>
          <w:sz w:val="26"/>
          <w:szCs w:val="26"/>
        </w:rPr>
        <w:t xml:space="preserve">uy định </w:t>
      </w:r>
      <w:r w:rsidR="00483DE9">
        <w:rPr>
          <w:sz w:val="26"/>
          <w:szCs w:val="26"/>
        </w:rPr>
        <w:t>này</w:t>
      </w:r>
      <w:r w:rsidR="00FF0E54" w:rsidRPr="009C7BB0">
        <w:rPr>
          <w:sz w:val="26"/>
          <w:szCs w:val="26"/>
        </w:rPr>
        <w:t xml:space="preserve"> ở một số</w:t>
      </w:r>
      <w:r w:rsidR="00DE6D4F" w:rsidRPr="009C7BB0">
        <w:rPr>
          <w:sz w:val="26"/>
          <w:szCs w:val="26"/>
        </w:rPr>
        <w:t xml:space="preserve"> điểm</w:t>
      </w:r>
      <w:r w:rsidR="00FF0E54" w:rsidRPr="009C7BB0">
        <w:rPr>
          <w:sz w:val="26"/>
          <w:szCs w:val="26"/>
        </w:rPr>
        <w:t xml:space="preserve"> sau</w:t>
      </w:r>
      <w:r w:rsidR="00DE6D4F" w:rsidRPr="009C7BB0">
        <w:rPr>
          <w:sz w:val="26"/>
          <w:szCs w:val="26"/>
        </w:rPr>
        <w:t>:</w:t>
      </w:r>
    </w:p>
    <w:p w:rsidR="00DE6D4F" w:rsidRPr="009C7BB0" w:rsidRDefault="00483DE9" w:rsidP="009C7BB0">
      <w:pPr>
        <w:pStyle w:val="ListParagraph"/>
        <w:numPr>
          <w:ilvl w:val="0"/>
          <w:numId w:val="2"/>
        </w:numPr>
        <w:spacing w:before="120" w:after="120" w:line="312" w:lineRule="auto"/>
        <w:jc w:val="both"/>
        <w:rPr>
          <w:sz w:val="26"/>
          <w:szCs w:val="26"/>
        </w:rPr>
      </w:pPr>
      <w:r w:rsidRPr="00D312BD">
        <w:rPr>
          <w:i/>
          <w:sz w:val="26"/>
          <w:szCs w:val="26"/>
        </w:rPr>
        <w:t>Về quy trình, thủ tục cấp phé</w:t>
      </w:r>
      <w:r>
        <w:rPr>
          <w:sz w:val="26"/>
          <w:szCs w:val="26"/>
        </w:rPr>
        <w:t xml:space="preserve">p: Theo Dự thảo thì </w:t>
      </w:r>
      <w:r w:rsidR="003E3DD9">
        <w:rPr>
          <w:sz w:val="26"/>
          <w:szCs w:val="26"/>
        </w:rPr>
        <w:t>dường như c</w:t>
      </w:r>
      <w:r w:rsidR="00A3159E" w:rsidRPr="009C7BB0">
        <w:rPr>
          <w:sz w:val="26"/>
          <w:szCs w:val="26"/>
        </w:rPr>
        <w:t xml:space="preserve">ác điều kiện để được cấp loại giấy phép này </w:t>
      </w:r>
      <w:r w:rsidR="003E3DD9">
        <w:rPr>
          <w:sz w:val="26"/>
          <w:szCs w:val="26"/>
        </w:rPr>
        <w:t>sẽ</w:t>
      </w:r>
      <w:r w:rsidR="00A3159E" w:rsidRPr="009C7BB0">
        <w:rPr>
          <w:sz w:val="26"/>
          <w:szCs w:val="26"/>
        </w:rPr>
        <w:t xml:space="preserve"> theo quy định của Liên đoàn thể thao quốc gia</w:t>
      </w:r>
      <w:r w:rsidR="00FF0E54" w:rsidRPr="009C7BB0">
        <w:rPr>
          <w:sz w:val="26"/>
          <w:szCs w:val="26"/>
        </w:rPr>
        <w:t>, Liên đoàn thể thao quốc tế của môn thể thao đó</w:t>
      </w:r>
      <w:r w:rsidR="003E3DD9">
        <w:rPr>
          <w:sz w:val="26"/>
          <w:szCs w:val="26"/>
        </w:rPr>
        <w:t>. Chú ý là</w:t>
      </w:r>
      <w:r w:rsidR="00FF0E54" w:rsidRPr="009C7BB0">
        <w:rPr>
          <w:sz w:val="26"/>
          <w:szCs w:val="26"/>
        </w:rPr>
        <w:t xml:space="preserve"> </w:t>
      </w:r>
      <w:r w:rsidR="00D312BD">
        <w:rPr>
          <w:sz w:val="26"/>
          <w:szCs w:val="26"/>
        </w:rPr>
        <w:t>các</w:t>
      </w:r>
      <w:r w:rsidR="00FF0E54" w:rsidRPr="009C7BB0">
        <w:rPr>
          <w:sz w:val="26"/>
          <w:szCs w:val="26"/>
        </w:rPr>
        <w:t xml:space="preserve"> tổ chức </w:t>
      </w:r>
      <w:r w:rsidR="00D312BD">
        <w:rPr>
          <w:sz w:val="26"/>
          <w:szCs w:val="26"/>
        </w:rPr>
        <w:t xml:space="preserve">là các hội đoàn, </w:t>
      </w:r>
      <w:r w:rsidR="00FF0E54" w:rsidRPr="009C7BB0">
        <w:rPr>
          <w:sz w:val="26"/>
          <w:szCs w:val="26"/>
        </w:rPr>
        <w:t xml:space="preserve">không có thẩm quyền ban hành văn bản quy phạm pháp luật, nhất là các quy định liên quan đến điều kiện của chủ thể để được cấp giấy phép kinh doanh. </w:t>
      </w:r>
      <w:r w:rsidR="00D312BD">
        <w:rPr>
          <w:sz w:val="26"/>
          <w:szCs w:val="26"/>
        </w:rPr>
        <w:t>V</w:t>
      </w:r>
      <w:r w:rsidR="002C1E02">
        <w:rPr>
          <w:sz w:val="26"/>
          <w:szCs w:val="26"/>
        </w:rPr>
        <w:t xml:space="preserve">ề mặt nguyên tắc pháp lý, </w:t>
      </w:r>
      <w:r w:rsidR="00764DB3">
        <w:rPr>
          <w:sz w:val="26"/>
          <w:szCs w:val="26"/>
        </w:rPr>
        <w:t>n</w:t>
      </w:r>
      <w:r w:rsidR="002130C7">
        <w:rPr>
          <w:sz w:val="26"/>
          <w:szCs w:val="26"/>
        </w:rPr>
        <w:t xml:space="preserve">gay cả khi các tổ chức này được Nhà nước ủy quyền để cấp loại giấy phép liên quan (theo xu hướng xã hội hóa dịch vụ công) thì việc ủy quyền chỉ là chuyển giao thẩm quyền cấp, còn các điều kiện cấp phép, quy trình thủ tục cấp phép vẫn phải do cơ quan có thẩm quyền </w:t>
      </w:r>
      <w:r w:rsidR="00764DB3">
        <w:rPr>
          <w:sz w:val="26"/>
          <w:szCs w:val="26"/>
        </w:rPr>
        <w:t xml:space="preserve">quy định. </w:t>
      </w:r>
      <w:r w:rsidR="00D221D4">
        <w:rPr>
          <w:sz w:val="26"/>
          <w:szCs w:val="26"/>
        </w:rPr>
        <w:t xml:space="preserve">Và việc ủy quyền cũng phải theo các điều kiện, trình tự nhất định chứ </w:t>
      </w:r>
      <w:r w:rsidR="00D221D4">
        <w:rPr>
          <w:sz w:val="26"/>
          <w:szCs w:val="26"/>
        </w:rPr>
        <w:lastRenderedPageBreak/>
        <w:t xml:space="preserve">không thể là ủy quyền đương nhiên như trong quy định này. </w:t>
      </w:r>
      <w:r w:rsidR="00830E86">
        <w:rPr>
          <w:sz w:val="26"/>
          <w:szCs w:val="26"/>
        </w:rPr>
        <w:t>Ngoài ra, trường hợp ủy quyền cho một</w:t>
      </w:r>
      <w:r w:rsidR="00592AEB">
        <w:rPr>
          <w:sz w:val="26"/>
          <w:szCs w:val="26"/>
        </w:rPr>
        <w:t xml:space="preserve"> Liên đoàn thể thao quốc tế</w:t>
      </w:r>
      <w:r w:rsidR="00830E86">
        <w:rPr>
          <w:sz w:val="26"/>
          <w:szCs w:val="26"/>
        </w:rPr>
        <w:t>, cần chú ý rằng nếu các tổ chức này</w:t>
      </w:r>
      <w:r w:rsidR="00592AEB">
        <w:rPr>
          <w:sz w:val="26"/>
          <w:szCs w:val="26"/>
        </w:rPr>
        <w:t xml:space="preserve"> không được thành lập và hoạt động theo pháp luật Việ</w:t>
      </w:r>
      <w:r w:rsidR="00064157">
        <w:rPr>
          <w:sz w:val="26"/>
          <w:szCs w:val="26"/>
        </w:rPr>
        <w:t>t Nam thì việc ủy quyề</w:t>
      </w:r>
      <w:r w:rsidR="00D221D4">
        <w:rPr>
          <w:sz w:val="26"/>
          <w:szCs w:val="26"/>
        </w:rPr>
        <w:t xml:space="preserve">n </w:t>
      </w:r>
      <w:r w:rsidR="002E431D">
        <w:rPr>
          <w:sz w:val="26"/>
          <w:szCs w:val="26"/>
        </w:rPr>
        <w:t>càng phải được quy định rõ ràng.</w:t>
      </w:r>
    </w:p>
    <w:p w:rsidR="00FF0E54" w:rsidRPr="009C7BB0" w:rsidRDefault="00D312BD" w:rsidP="009C7BB0">
      <w:pPr>
        <w:pStyle w:val="ListParagraph"/>
        <w:numPr>
          <w:ilvl w:val="0"/>
          <w:numId w:val="2"/>
        </w:numPr>
        <w:spacing w:before="120" w:after="120" w:line="312" w:lineRule="auto"/>
        <w:jc w:val="both"/>
        <w:rPr>
          <w:sz w:val="26"/>
          <w:szCs w:val="26"/>
        </w:rPr>
      </w:pPr>
      <w:r w:rsidRPr="008A3804">
        <w:rPr>
          <w:i/>
          <w:sz w:val="26"/>
          <w:szCs w:val="26"/>
        </w:rPr>
        <w:t>Về sự cần thiết của việc cấp phép</w:t>
      </w:r>
      <w:r>
        <w:rPr>
          <w:sz w:val="26"/>
          <w:szCs w:val="26"/>
        </w:rPr>
        <w:t xml:space="preserve">: </w:t>
      </w:r>
      <w:r w:rsidR="00F447A5">
        <w:rPr>
          <w:sz w:val="26"/>
          <w:szCs w:val="26"/>
        </w:rPr>
        <w:t>Để xác định tính cần thiết của giấy phép này, Cơ quan soạn thảo c</w:t>
      </w:r>
      <w:r w:rsidR="00FF0E54" w:rsidRPr="009C7BB0">
        <w:rPr>
          <w:sz w:val="26"/>
          <w:szCs w:val="26"/>
        </w:rPr>
        <w:t xml:space="preserve">ần có giải trình </w:t>
      </w:r>
      <w:r w:rsidR="0071028C" w:rsidRPr="009C7BB0">
        <w:rPr>
          <w:sz w:val="26"/>
          <w:szCs w:val="26"/>
        </w:rPr>
        <w:t>về</w:t>
      </w:r>
      <w:r w:rsidR="00FF0E54" w:rsidRPr="009C7BB0">
        <w:rPr>
          <w:sz w:val="26"/>
          <w:szCs w:val="26"/>
        </w:rPr>
        <w:t xml:space="preserve"> tính c</w:t>
      </w:r>
      <w:r w:rsidR="0071028C" w:rsidRPr="009C7BB0">
        <w:rPr>
          <w:sz w:val="26"/>
          <w:szCs w:val="26"/>
        </w:rPr>
        <w:t>ần</w:t>
      </w:r>
      <w:r w:rsidR="00FF0E54" w:rsidRPr="009C7BB0">
        <w:rPr>
          <w:sz w:val="26"/>
          <w:szCs w:val="26"/>
        </w:rPr>
        <w:t xml:space="preserve"> thiết, hợp lý </w:t>
      </w:r>
      <w:r w:rsidR="00F447A5">
        <w:rPr>
          <w:sz w:val="26"/>
          <w:szCs w:val="26"/>
        </w:rPr>
        <w:t>của</w:t>
      </w:r>
      <w:r w:rsidR="00FF0E54" w:rsidRPr="009C7BB0">
        <w:rPr>
          <w:sz w:val="26"/>
          <w:szCs w:val="26"/>
        </w:rPr>
        <w:t xml:space="preserve"> giấy phép</w:t>
      </w:r>
      <w:r w:rsidR="0071028C" w:rsidRPr="009C7BB0">
        <w:rPr>
          <w:sz w:val="26"/>
          <w:szCs w:val="26"/>
        </w:rPr>
        <w:t xml:space="preserve"> (phải hướng tới các lợi ích công cộng được xác định tại khoản 1 Điều 7 Luật đầu tư khi quy định về điều kiện kinh doanh)</w:t>
      </w:r>
      <w:r w:rsidR="00FF0E54" w:rsidRPr="009C7BB0">
        <w:rPr>
          <w:sz w:val="26"/>
          <w:szCs w:val="26"/>
        </w:rPr>
        <w:t xml:space="preserve">. </w:t>
      </w:r>
      <w:r w:rsidR="0071028C" w:rsidRPr="009C7BB0">
        <w:rPr>
          <w:sz w:val="26"/>
          <w:szCs w:val="26"/>
        </w:rPr>
        <w:t xml:space="preserve">Theo nội dung Tờ trình thì việc bổ sung quy định về người trung gian là nhằm “bảo đảm quyền lợi cho các vận động viên và quản lý những cá nhân hành nghề môi giới chuyển nhượng” (trang 6). Giải trình này dường như là chưa </w:t>
      </w:r>
      <w:r w:rsidR="00C26BD0">
        <w:rPr>
          <w:sz w:val="26"/>
          <w:szCs w:val="26"/>
        </w:rPr>
        <w:t xml:space="preserve">đủ </w:t>
      </w:r>
      <w:r w:rsidR="0071028C" w:rsidRPr="009C7BB0">
        <w:rPr>
          <w:sz w:val="26"/>
          <w:szCs w:val="26"/>
        </w:rPr>
        <w:t>rõ ràng</w:t>
      </w:r>
      <w:r w:rsidR="00C26BD0">
        <w:rPr>
          <w:sz w:val="26"/>
          <w:szCs w:val="26"/>
        </w:rPr>
        <w:t xml:space="preserve"> và hoàn toàn không đủ thuyết phục để chứng mình rằng lợi ích của các vận động viên trong trường hợp này có thể bị rủi ro tới mức cần phải bảo vệ bằng giấy phép, rằng lợi ích này quan trọng tới mức cần coi là lợi ích công cộng cần bảo vệ và rằng không có biện pháp nào khác để kiểm soát chất lượng, hiệu quả hoạt động của cá nhân hành nghề trung gian ngoài giấy phép kinh doanh</w:t>
      </w:r>
      <w:r w:rsidR="00C02BCC" w:rsidRPr="009C7BB0">
        <w:rPr>
          <w:sz w:val="26"/>
          <w:szCs w:val="26"/>
        </w:rPr>
        <w:t xml:space="preserve">. </w:t>
      </w:r>
    </w:p>
    <w:p w:rsidR="00C02BCC" w:rsidRPr="009C7BB0" w:rsidRDefault="0078726D" w:rsidP="009C7BB0">
      <w:pPr>
        <w:pStyle w:val="ListParagraph"/>
        <w:spacing w:before="120" w:after="120" w:line="312" w:lineRule="auto"/>
        <w:jc w:val="both"/>
        <w:rPr>
          <w:sz w:val="26"/>
          <w:szCs w:val="26"/>
        </w:rPr>
      </w:pPr>
      <w:r>
        <w:rPr>
          <w:sz w:val="26"/>
          <w:szCs w:val="26"/>
        </w:rPr>
        <w:t>Về mặt logic, hợp đồng chuyển nhượng vận động viên là các hợp đồng dân sự thông thường, quyền và lợi ích của các bên được bảo đảm bằng</w:t>
      </w:r>
      <w:r w:rsidR="00C02BCC" w:rsidRPr="009C7BB0">
        <w:rPr>
          <w:sz w:val="26"/>
          <w:szCs w:val="26"/>
        </w:rPr>
        <w:t xml:space="preserve"> các thỏa thuận của hợp đồng và/hoặc pháp luật về thương mại, dân sự</w:t>
      </w:r>
      <w:r>
        <w:rPr>
          <w:sz w:val="26"/>
          <w:szCs w:val="26"/>
        </w:rPr>
        <w:t xml:space="preserve"> liên quan, hoàn toàn không cần thiết phải được bảo đảm bằng chuyên môn hay chất lượng của hoạt động môi giới hay chủ thể thực hiện hoạt động môi giới</w:t>
      </w:r>
      <w:r w:rsidR="00C02BCC" w:rsidRPr="009C7BB0">
        <w:rPr>
          <w:sz w:val="26"/>
          <w:szCs w:val="26"/>
        </w:rPr>
        <w:t>.</w:t>
      </w:r>
    </w:p>
    <w:p w:rsidR="00C02BCC" w:rsidRPr="009C7BB0" w:rsidRDefault="00C02BCC" w:rsidP="009C7BB0">
      <w:pPr>
        <w:spacing w:before="120" w:after="120" w:line="312" w:lineRule="auto"/>
        <w:ind w:firstLine="360"/>
        <w:jc w:val="both"/>
        <w:rPr>
          <w:sz w:val="26"/>
          <w:szCs w:val="26"/>
        </w:rPr>
      </w:pPr>
      <w:r w:rsidRPr="009C7BB0">
        <w:rPr>
          <w:sz w:val="26"/>
          <w:szCs w:val="26"/>
        </w:rPr>
        <w:t xml:space="preserve">Từ các phân tích trên, </w:t>
      </w:r>
      <w:r w:rsidRPr="009C7BB0">
        <w:rPr>
          <w:sz w:val="26"/>
          <w:szCs w:val="26"/>
          <w:u w:val="single"/>
        </w:rPr>
        <w:t>đề nghị Ban soạn thảo</w:t>
      </w:r>
      <w:r w:rsidRPr="009C7BB0">
        <w:rPr>
          <w:sz w:val="26"/>
          <w:szCs w:val="26"/>
        </w:rPr>
        <w:t>:</w:t>
      </w:r>
    </w:p>
    <w:p w:rsidR="00C02BCC" w:rsidRPr="009C7BB0" w:rsidRDefault="00C02BCC" w:rsidP="009C7BB0">
      <w:pPr>
        <w:pStyle w:val="ListParagraph"/>
        <w:numPr>
          <w:ilvl w:val="0"/>
          <w:numId w:val="2"/>
        </w:numPr>
        <w:spacing w:before="120" w:after="120" w:line="312" w:lineRule="auto"/>
        <w:jc w:val="both"/>
        <w:rPr>
          <w:sz w:val="26"/>
          <w:szCs w:val="26"/>
        </w:rPr>
      </w:pPr>
      <w:r w:rsidRPr="009C7BB0">
        <w:rPr>
          <w:sz w:val="26"/>
          <w:szCs w:val="26"/>
        </w:rPr>
        <w:t xml:space="preserve">Giải trình rõ </w:t>
      </w:r>
      <w:r w:rsidR="008A3804">
        <w:rPr>
          <w:sz w:val="26"/>
          <w:szCs w:val="26"/>
        </w:rPr>
        <w:t xml:space="preserve">và đầy đủ </w:t>
      </w:r>
      <w:r w:rsidRPr="009C7BB0">
        <w:rPr>
          <w:sz w:val="26"/>
          <w:szCs w:val="26"/>
        </w:rPr>
        <w:t xml:space="preserve">về </w:t>
      </w:r>
      <w:r w:rsidR="008A3804">
        <w:rPr>
          <w:sz w:val="26"/>
          <w:szCs w:val="26"/>
        </w:rPr>
        <w:t xml:space="preserve">sự cần thiết của </w:t>
      </w:r>
      <w:r w:rsidRPr="009C7BB0">
        <w:rPr>
          <w:sz w:val="26"/>
          <w:szCs w:val="26"/>
        </w:rPr>
        <w:t>việc cấp giấy phép hành nghề đối với đại diện trung gian</w:t>
      </w:r>
      <w:r w:rsidR="003E120F" w:rsidRPr="009C7BB0">
        <w:rPr>
          <w:sz w:val="26"/>
          <w:szCs w:val="26"/>
        </w:rPr>
        <w:t>, ít nhất là trả lời các vấn đề được nêu ở trên;</w:t>
      </w:r>
    </w:p>
    <w:p w:rsidR="003E120F" w:rsidRDefault="0013126B" w:rsidP="009C7BB0">
      <w:pPr>
        <w:pStyle w:val="ListParagraph"/>
        <w:numPr>
          <w:ilvl w:val="0"/>
          <w:numId w:val="2"/>
        </w:numPr>
        <w:spacing w:before="120" w:after="120" w:line="312" w:lineRule="auto"/>
        <w:jc w:val="both"/>
        <w:rPr>
          <w:sz w:val="26"/>
          <w:szCs w:val="26"/>
        </w:rPr>
      </w:pPr>
      <w:r>
        <w:rPr>
          <w:sz w:val="26"/>
          <w:szCs w:val="26"/>
        </w:rPr>
        <w:t xml:space="preserve">Trường hợp có giải trình thuyết phục về việc cần quản lý ngành nghề đại diện trung gian chuyển nhượng vận động viên bằng giấy phép hành nghề thì ít nhất các nguyên tắc về các vấn đề sau đây cần được quy định trong </w:t>
      </w:r>
      <w:r w:rsidR="003E120F" w:rsidRPr="009C7BB0">
        <w:rPr>
          <w:sz w:val="26"/>
          <w:szCs w:val="26"/>
        </w:rPr>
        <w:t xml:space="preserve">Luật này </w:t>
      </w:r>
      <w:r>
        <w:rPr>
          <w:sz w:val="26"/>
          <w:szCs w:val="26"/>
        </w:rPr>
        <w:t>(để sau đó làm định hướng cho các hướng dẫn chi tiết tại</w:t>
      </w:r>
      <w:r w:rsidR="003E120F" w:rsidRPr="009C7BB0">
        <w:rPr>
          <w:sz w:val="26"/>
          <w:szCs w:val="26"/>
        </w:rPr>
        <w:t xml:space="preserve"> Nghị định hướng dẫn</w:t>
      </w:r>
      <w:r>
        <w:rPr>
          <w:sz w:val="26"/>
          <w:szCs w:val="26"/>
        </w:rPr>
        <w:t>) về: (i) điều kiện, thủ tục, cơ quan có thẩm quyền cấp phép; (ii) trường hợp có ủy quyền cấp phép cho tổ chức ngoài Nhà nước thì</w:t>
      </w:r>
      <w:r w:rsidR="003E120F" w:rsidRPr="009C7BB0">
        <w:rPr>
          <w:sz w:val="26"/>
          <w:szCs w:val="26"/>
        </w:rPr>
        <w:t xml:space="preserve"> </w:t>
      </w:r>
      <w:r w:rsidR="00D23600">
        <w:rPr>
          <w:sz w:val="26"/>
          <w:szCs w:val="26"/>
        </w:rPr>
        <w:t xml:space="preserve">cần quy định về các </w:t>
      </w:r>
      <w:r w:rsidR="008A3804">
        <w:rPr>
          <w:sz w:val="26"/>
          <w:szCs w:val="26"/>
        </w:rPr>
        <w:t xml:space="preserve">điều kiện </w:t>
      </w:r>
      <w:r w:rsidR="00D23600">
        <w:rPr>
          <w:sz w:val="26"/>
          <w:szCs w:val="26"/>
        </w:rPr>
        <w:t xml:space="preserve">cốt lõi đối với các tổ chức có thể nhận </w:t>
      </w:r>
      <w:r w:rsidR="008A3804">
        <w:rPr>
          <w:sz w:val="26"/>
          <w:szCs w:val="26"/>
        </w:rPr>
        <w:t>ủy quyền.</w:t>
      </w:r>
    </w:p>
    <w:p w:rsidR="005451A3" w:rsidRDefault="005451A3" w:rsidP="005451A3">
      <w:pPr>
        <w:spacing w:before="120" w:after="120" w:line="312" w:lineRule="auto"/>
        <w:jc w:val="both"/>
        <w:rPr>
          <w:sz w:val="26"/>
          <w:szCs w:val="26"/>
        </w:rPr>
      </w:pPr>
    </w:p>
    <w:p w:rsidR="005451A3" w:rsidRPr="005451A3" w:rsidRDefault="005451A3" w:rsidP="005451A3">
      <w:pPr>
        <w:spacing w:before="120" w:after="120" w:line="312" w:lineRule="auto"/>
        <w:jc w:val="both"/>
        <w:rPr>
          <w:sz w:val="26"/>
          <w:szCs w:val="26"/>
        </w:rPr>
      </w:pPr>
    </w:p>
    <w:p w:rsidR="00A9569D" w:rsidRPr="009C7BB0" w:rsidRDefault="00A9569D" w:rsidP="009C7BB0">
      <w:pPr>
        <w:pStyle w:val="ListParagraph"/>
        <w:numPr>
          <w:ilvl w:val="0"/>
          <w:numId w:val="1"/>
        </w:numPr>
        <w:spacing w:before="120" w:after="120" w:line="312" w:lineRule="auto"/>
        <w:jc w:val="both"/>
        <w:rPr>
          <w:b/>
          <w:sz w:val="26"/>
          <w:szCs w:val="26"/>
        </w:rPr>
      </w:pPr>
      <w:r w:rsidRPr="009C7BB0">
        <w:rPr>
          <w:b/>
          <w:sz w:val="26"/>
          <w:szCs w:val="26"/>
        </w:rPr>
        <w:lastRenderedPageBreak/>
        <w:t>Điều kiện hoạt động của doanh nghiệp kinh doanh hoạt động thể thao</w:t>
      </w:r>
      <w:r w:rsidR="00D61354" w:rsidRPr="009C7BB0">
        <w:rPr>
          <w:b/>
          <w:sz w:val="26"/>
          <w:szCs w:val="26"/>
        </w:rPr>
        <w:t xml:space="preserve"> (khoản 22 Điều 1 Dự thảo sửa đổi, bổ sung Điều 55 Luật thể dục, thể thao 2006)</w:t>
      </w:r>
    </w:p>
    <w:p w:rsidR="00B9762F" w:rsidRPr="009C7BB0" w:rsidRDefault="00B9762F" w:rsidP="009C7BB0">
      <w:pPr>
        <w:spacing w:before="120" w:after="120" w:line="312" w:lineRule="auto"/>
        <w:ind w:firstLine="360"/>
        <w:jc w:val="both"/>
        <w:rPr>
          <w:sz w:val="26"/>
          <w:szCs w:val="26"/>
        </w:rPr>
      </w:pPr>
      <w:r w:rsidRPr="009C7BB0">
        <w:rPr>
          <w:sz w:val="26"/>
          <w:szCs w:val="26"/>
        </w:rPr>
        <w:t>H</w:t>
      </w:r>
      <w:r w:rsidR="00D61354" w:rsidRPr="009C7BB0">
        <w:rPr>
          <w:sz w:val="26"/>
          <w:szCs w:val="26"/>
        </w:rPr>
        <w:t>oạt động của doanh nghiệp kinh doanh hoạt động thể thao</w:t>
      </w:r>
      <w:r w:rsidRPr="009C7BB0">
        <w:rPr>
          <w:sz w:val="26"/>
          <w:szCs w:val="26"/>
        </w:rPr>
        <w:t xml:space="preserve"> có điều kiện “Có nguồn tài chính bảo đảm hoạt động thể thao”. Đây là</w:t>
      </w:r>
      <w:r w:rsidR="009671AC">
        <w:rPr>
          <w:sz w:val="26"/>
          <w:szCs w:val="26"/>
        </w:rPr>
        <w:t xml:space="preserve"> quy định nhắc lại quy định của</w:t>
      </w:r>
      <w:r w:rsidRPr="009C7BB0">
        <w:rPr>
          <w:sz w:val="26"/>
          <w:szCs w:val="26"/>
        </w:rPr>
        <w:t xml:space="preserve"> Luật thể dục, thể thao 2006.</w:t>
      </w:r>
    </w:p>
    <w:p w:rsidR="00B9762F" w:rsidRPr="009C7BB0" w:rsidRDefault="009671AC" w:rsidP="009C7BB0">
      <w:pPr>
        <w:spacing w:before="120" w:after="120" w:line="312" w:lineRule="auto"/>
        <w:ind w:firstLine="360"/>
        <w:jc w:val="both"/>
        <w:rPr>
          <w:sz w:val="26"/>
          <w:szCs w:val="26"/>
        </w:rPr>
      </w:pPr>
      <w:r>
        <w:rPr>
          <w:sz w:val="26"/>
          <w:szCs w:val="26"/>
        </w:rPr>
        <w:t>T</w:t>
      </w:r>
      <w:r w:rsidR="00E34D7B">
        <w:rPr>
          <w:sz w:val="26"/>
          <w:szCs w:val="26"/>
        </w:rPr>
        <w:t>hực</w:t>
      </w:r>
      <w:r>
        <w:rPr>
          <w:sz w:val="26"/>
          <w:szCs w:val="26"/>
        </w:rPr>
        <w:t xml:space="preserve"> tế thực thi Luật thể dục thể thao 2006</w:t>
      </w:r>
      <w:r w:rsidR="00E34D7B">
        <w:rPr>
          <w:sz w:val="26"/>
          <w:szCs w:val="26"/>
        </w:rPr>
        <w:t xml:space="preserve"> cho</w:t>
      </w:r>
      <w:r>
        <w:rPr>
          <w:sz w:val="26"/>
          <w:szCs w:val="26"/>
        </w:rPr>
        <w:t xml:space="preserve"> thấy </w:t>
      </w:r>
      <w:r w:rsidR="00E34D7B">
        <w:rPr>
          <w:sz w:val="26"/>
          <w:szCs w:val="26"/>
        </w:rPr>
        <w:t>quy định này</w:t>
      </w:r>
      <w:r w:rsidR="00B9762F" w:rsidRPr="009C7BB0">
        <w:rPr>
          <w:sz w:val="26"/>
          <w:szCs w:val="26"/>
        </w:rPr>
        <w:t xml:space="preserve"> là không cần thiết</w:t>
      </w:r>
      <w:r w:rsidR="003755EB">
        <w:rPr>
          <w:sz w:val="26"/>
          <w:szCs w:val="26"/>
        </w:rPr>
        <w:t xml:space="preserve"> từ cả hai phía. Đối với doanh nghiệp</w:t>
      </w:r>
      <w:r w:rsidR="00B9762F" w:rsidRPr="009C7BB0">
        <w:rPr>
          <w:sz w:val="26"/>
          <w:szCs w:val="26"/>
        </w:rPr>
        <w:t xml:space="preserve">, </w:t>
      </w:r>
      <w:r w:rsidR="003755EB">
        <w:rPr>
          <w:sz w:val="26"/>
          <w:szCs w:val="26"/>
        </w:rPr>
        <w:t xml:space="preserve">việc bảo đảm nguồn tài chính </w:t>
      </w:r>
      <w:r w:rsidR="00B9762F" w:rsidRPr="009C7BB0">
        <w:rPr>
          <w:sz w:val="26"/>
          <w:szCs w:val="26"/>
        </w:rPr>
        <w:t>là nhu cầu tự thân của doanh nghiệp khi hoạt động trên thị trường</w:t>
      </w:r>
      <w:r w:rsidR="003755EB">
        <w:rPr>
          <w:sz w:val="26"/>
          <w:szCs w:val="26"/>
        </w:rPr>
        <w:t xml:space="preserve">, nhu cầu này tùy thuộc vào thế mạnh </w:t>
      </w:r>
      <w:r w:rsidR="00E34D7B">
        <w:rPr>
          <w:sz w:val="26"/>
          <w:szCs w:val="26"/>
        </w:rPr>
        <w:t>cạnh</w:t>
      </w:r>
      <w:r w:rsidR="003755EB">
        <w:rPr>
          <w:sz w:val="26"/>
          <w:szCs w:val="26"/>
        </w:rPr>
        <w:t xml:space="preserve"> tranh của doanh nghiệp, và nếu không đáp ứng </w:t>
      </w:r>
      <w:r w:rsidR="008B0DED">
        <w:rPr>
          <w:sz w:val="26"/>
          <w:szCs w:val="26"/>
        </w:rPr>
        <w:t>doanh nghiệp phải tự chịu hệ quả</w:t>
      </w:r>
      <w:r w:rsidR="00B9762F" w:rsidRPr="009C7BB0">
        <w:rPr>
          <w:sz w:val="26"/>
          <w:szCs w:val="26"/>
        </w:rPr>
        <w:t xml:space="preserve">. </w:t>
      </w:r>
      <w:r w:rsidR="008B0DED">
        <w:rPr>
          <w:sz w:val="26"/>
          <w:szCs w:val="26"/>
        </w:rPr>
        <w:t>Từ</w:t>
      </w:r>
      <w:r w:rsidR="00B9762F" w:rsidRPr="009C7BB0">
        <w:rPr>
          <w:sz w:val="26"/>
          <w:szCs w:val="26"/>
        </w:rPr>
        <w:t xml:space="preserve"> phía quản lý Nhà nước,</w:t>
      </w:r>
      <w:r w:rsidR="008B0DED">
        <w:rPr>
          <w:sz w:val="26"/>
          <w:szCs w:val="26"/>
        </w:rPr>
        <w:t xml:space="preserve"> việc doanh nghiệp nào đó không bảo đảm được nguồn tài chính cho hoạt động</w:t>
      </w:r>
      <w:r w:rsidR="00B9762F" w:rsidRPr="009C7BB0">
        <w:rPr>
          <w:sz w:val="26"/>
          <w:szCs w:val="26"/>
        </w:rPr>
        <w:t xml:space="preserve"> không </w:t>
      </w:r>
      <w:r w:rsidR="00E83308">
        <w:rPr>
          <w:sz w:val="26"/>
          <w:szCs w:val="26"/>
        </w:rPr>
        <w:t>tạo ra</w:t>
      </w:r>
      <w:r w:rsidR="00B9762F" w:rsidRPr="009C7BB0">
        <w:rPr>
          <w:sz w:val="26"/>
          <w:szCs w:val="26"/>
        </w:rPr>
        <w:t xml:space="preserve"> nguy cơ nào</w:t>
      </w:r>
      <w:r w:rsidR="00E83308">
        <w:rPr>
          <w:sz w:val="26"/>
          <w:szCs w:val="26"/>
        </w:rPr>
        <w:t xml:space="preserve"> nghiêm trọng</w:t>
      </w:r>
      <w:r w:rsidR="00B9762F" w:rsidRPr="009C7BB0">
        <w:rPr>
          <w:sz w:val="26"/>
          <w:szCs w:val="26"/>
        </w:rPr>
        <w:t xml:space="preserve"> tác động tới các lợi ích công</w:t>
      </w:r>
      <w:r w:rsidR="00E83308">
        <w:rPr>
          <w:sz w:val="26"/>
          <w:szCs w:val="26"/>
        </w:rPr>
        <w:t xml:space="preserve"> nào</w:t>
      </w:r>
      <w:r w:rsidR="00B9762F" w:rsidRPr="009C7BB0">
        <w:rPr>
          <w:sz w:val="26"/>
          <w:szCs w:val="26"/>
        </w:rPr>
        <w:t xml:space="preserve">. </w:t>
      </w:r>
    </w:p>
    <w:p w:rsidR="00D61354" w:rsidRPr="009C7BB0" w:rsidRDefault="00B9762F" w:rsidP="009C7BB0">
      <w:pPr>
        <w:spacing w:before="120" w:after="120" w:line="312" w:lineRule="auto"/>
        <w:ind w:firstLine="360"/>
        <w:jc w:val="both"/>
        <w:rPr>
          <w:sz w:val="26"/>
          <w:szCs w:val="26"/>
        </w:rPr>
      </w:pPr>
      <w:r w:rsidRPr="009C7BB0">
        <w:rPr>
          <w:sz w:val="26"/>
          <w:szCs w:val="26"/>
        </w:rPr>
        <w:t>Mặt khác, Luật trao quyền quy định chi tiết các điều kiện hoạt động cho Chính phủ, quy định này có thể có nguy cơ được hướng dẫn theo hướng đặt ra một mức vốn cụ thể nào đó buộc doanh nghiệp phải đáp ứng trước khi hoạt động, trong khi đây không phải là ngành, nghề có tính đặc thù để yêu cầu về vốn.</w:t>
      </w:r>
    </w:p>
    <w:p w:rsidR="00D61354" w:rsidRPr="009C7BB0" w:rsidRDefault="00B9762F" w:rsidP="009C7BB0">
      <w:pPr>
        <w:spacing w:before="120" w:after="120" w:line="312" w:lineRule="auto"/>
        <w:ind w:firstLine="360"/>
        <w:jc w:val="both"/>
        <w:rPr>
          <w:sz w:val="26"/>
          <w:szCs w:val="26"/>
        </w:rPr>
      </w:pPr>
      <w:r w:rsidRPr="009C7BB0">
        <w:rPr>
          <w:sz w:val="26"/>
          <w:szCs w:val="26"/>
        </w:rPr>
        <w:t xml:space="preserve">Do đó, để đảm bảo tính hợp lý, </w:t>
      </w:r>
      <w:r w:rsidRPr="009C7BB0">
        <w:rPr>
          <w:sz w:val="26"/>
          <w:szCs w:val="26"/>
          <w:u w:val="single"/>
        </w:rPr>
        <w:t>đề nghị Ban soạn thảo</w:t>
      </w:r>
      <w:r w:rsidRPr="009C7BB0">
        <w:rPr>
          <w:sz w:val="26"/>
          <w:szCs w:val="26"/>
        </w:rPr>
        <w:t xml:space="preserve"> bỏ điều kiện “có nguồn tài chính bảo đảm hoạt động kinh doanh” quy định tại điểm c khoản 2 Điều 55 Luật thể dục, thể thao 2006 (được sửa đổi).</w:t>
      </w:r>
    </w:p>
    <w:p w:rsidR="009C7BB0" w:rsidRPr="009C7BB0" w:rsidRDefault="009C7BB0" w:rsidP="009C7BB0">
      <w:pPr>
        <w:spacing w:before="120" w:after="120" w:line="312" w:lineRule="auto"/>
        <w:ind w:firstLine="360"/>
        <w:jc w:val="both"/>
        <w:rPr>
          <w:sz w:val="26"/>
          <w:szCs w:val="26"/>
          <w:lang w:val="sv-SE"/>
        </w:rPr>
      </w:pPr>
      <w:r w:rsidRPr="009C7BB0">
        <w:rPr>
          <w:sz w:val="26"/>
          <w:szCs w:val="26"/>
          <w:lang w:val="sv-SE"/>
        </w:rPr>
        <w:t xml:space="preserve">Trên đây là một số ý kiến ban đầu của Phòng Thương mại và Công nghiệp Việt Nam đối với </w:t>
      </w:r>
      <w:r w:rsidRPr="009C7BB0">
        <w:rPr>
          <w:sz w:val="26"/>
          <w:szCs w:val="26"/>
        </w:rPr>
        <w:t>Dự thảo Luật sửa đổi, bổ sung một số điều của Luật thể dục, thể thao</w:t>
      </w:r>
      <w:r w:rsidRPr="009C7BB0">
        <w:rPr>
          <w:sz w:val="26"/>
          <w:szCs w:val="26"/>
          <w:lang w:val="sv-SE"/>
        </w:rPr>
        <w:t>.Rất mong cơ quan soạn thảo cân nhắc để chỉnh sửa, hoàn thiện Dự thảo Luật này.</w:t>
      </w:r>
    </w:p>
    <w:p w:rsidR="009C7BB0" w:rsidRPr="009C7BB0" w:rsidRDefault="009C7BB0" w:rsidP="009C7BB0">
      <w:pPr>
        <w:spacing w:before="120" w:after="120" w:line="312" w:lineRule="auto"/>
        <w:ind w:firstLine="360"/>
        <w:jc w:val="both"/>
        <w:rPr>
          <w:sz w:val="26"/>
          <w:szCs w:val="26"/>
          <w:lang w:val="sv-SE"/>
        </w:rPr>
      </w:pPr>
      <w:r w:rsidRPr="009C7BB0">
        <w:rPr>
          <w:sz w:val="26"/>
          <w:szCs w:val="26"/>
          <w:lang w:val="sv-SE"/>
        </w:rPr>
        <w:t>Trân trọng cảm ơn sự hợp tác của quý Cơ quan.</w:t>
      </w:r>
    </w:p>
    <w:tbl>
      <w:tblPr>
        <w:tblW w:w="10188" w:type="dxa"/>
        <w:tblLook w:val="01E0" w:firstRow="1" w:lastRow="1" w:firstColumn="1" w:lastColumn="1" w:noHBand="0" w:noVBand="0"/>
      </w:tblPr>
      <w:tblGrid>
        <w:gridCol w:w="3978"/>
        <w:gridCol w:w="6210"/>
      </w:tblGrid>
      <w:tr w:rsidR="009C7BB0" w:rsidTr="00C41983">
        <w:trPr>
          <w:trHeight w:val="2419"/>
        </w:trPr>
        <w:tc>
          <w:tcPr>
            <w:tcW w:w="3978" w:type="dxa"/>
          </w:tcPr>
          <w:p w:rsidR="009C7BB0" w:rsidRDefault="009C7BB0" w:rsidP="00C41983">
            <w:pPr>
              <w:spacing w:after="0" w:line="240" w:lineRule="auto"/>
              <w:jc w:val="both"/>
              <w:rPr>
                <w:i/>
                <w:szCs w:val="24"/>
                <w:u w:val="single"/>
                <w:lang w:val="sv-SE"/>
              </w:rPr>
            </w:pPr>
          </w:p>
          <w:p w:rsidR="009C7BB0" w:rsidRDefault="009C7BB0" w:rsidP="00C41983">
            <w:pPr>
              <w:spacing w:after="0" w:line="240" w:lineRule="auto"/>
              <w:jc w:val="both"/>
              <w:rPr>
                <w:i/>
                <w:szCs w:val="24"/>
                <w:u w:val="single"/>
                <w:lang w:val="sv-SE"/>
              </w:rPr>
            </w:pPr>
          </w:p>
          <w:p w:rsidR="009C7BB0" w:rsidRDefault="009C7BB0" w:rsidP="00C41983">
            <w:pPr>
              <w:spacing w:after="0" w:line="240" w:lineRule="auto"/>
              <w:jc w:val="both"/>
              <w:rPr>
                <w:b/>
                <w:sz w:val="20"/>
                <w:szCs w:val="20"/>
              </w:rPr>
            </w:pPr>
            <w:r>
              <w:rPr>
                <w:b/>
                <w:sz w:val="20"/>
                <w:szCs w:val="20"/>
              </w:rPr>
              <w:t>Nơi nhận:</w:t>
            </w:r>
          </w:p>
          <w:p w:rsidR="009C7BB0" w:rsidRDefault="009C7BB0" w:rsidP="009C7BB0">
            <w:pPr>
              <w:numPr>
                <w:ilvl w:val="0"/>
                <w:numId w:val="3"/>
              </w:numPr>
              <w:spacing w:after="0" w:line="240" w:lineRule="auto"/>
              <w:ind w:left="714" w:hanging="357"/>
              <w:jc w:val="both"/>
              <w:rPr>
                <w:sz w:val="20"/>
                <w:szCs w:val="20"/>
              </w:rPr>
            </w:pPr>
            <w:r>
              <w:rPr>
                <w:sz w:val="20"/>
                <w:szCs w:val="20"/>
              </w:rPr>
              <w:t>Như trên;</w:t>
            </w:r>
          </w:p>
          <w:p w:rsidR="009C7BB0" w:rsidRDefault="009C7BB0" w:rsidP="009C7BB0">
            <w:pPr>
              <w:numPr>
                <w:ilvl w:val="0"/>
                <w:numId w:val="3"/>
              </w:numPr>
              <w:spacing w:after="0" w:line="240" w:lineRule="auto"/>
              <w:ind w:left="714" w:hanging="357"/>
              <w:jc w:val="both"/>
              <w:rPr>
                <w:sz w:val="20"/>
                <w:szCs w:val="20"/>
              </w:rPr>
            </w:pPr>
            <w:r>
              <w:rPr>
                <w:sz w:val="20"/>
                <w:szCs w:val="20"/>
              </w:rPr>
              <w:t>Văn phòng Chính phủ, Bộ Tư pháp;</w:t>
            </w:r>
          </w:p>
          <w:p w:rsidR="009C7BB0" w:rsidRDefault="009C7BB0" w:rsidP="009C7BB0">
            <w:pPr>
              <w:numPr>
                <w:ilvl w:val="0"/>
                <w:numId w:val="3"/>
              </w:numPr>
              <w:spacing w:after="0" w:line="240" w:lineRule="auto"/>
              <w:ind w:left="714" w:hanging="357"/>
              <w:jc w:val="both"/>
              <w:rPr>
                <w:sz w:val="20"/>
                <w:szCs w:val="20"/>
              </w:rPr>
            </w:pPr>
            <w:r>
              <w:rPr>
                <w:sz w:val="20"/>
                <w:szCs w:val="20"/>
              </w:rPr>
              <w:t>Chủ tịch Vũ Tiến Lộc(để báo cáo);</w:t>
            </w:r>
          </w:p>
          <w:p w:rsidR="009C7BB0" w:rsidRDefault="009C7BB0" w:rsidP="009C7BB0">
            <w:pPr>
              <w:numPr>
                <w:ilvl w:val="0"/>
                <w:numId w:val="3"/>
              </w:numPr>
              <w:spacing w:after="0" w:line="240" w:lineRule="auto"/>
              <w:ind w:left="714" w:hanging="357"/>
              <w:jc w:val="both"/>
              <w:rPr>
                <w:sz w:val="20"/>
                <w:szCs w:val="20"/>
              </w:rPr>
            </w:pPr>
            <w:r>
              <w:rPr>
                <w:sz w:val="20"/>
                <w:szCs w:val="20"/>
              </w:rPr>
              <w:t>Lưu VT, PC</w:t>
            </w:r>
          </w:p>
          <w:p w:rsidR="009C7BB0" w:rsidRDefault="009C7BB0" w:rsidP="00C41983">
            <w:pPr>
              <w:tabs>
                <w:tab w:val="center" w:pos="6240"/>
              </w:tabs>
              <w:spacing w:after="0" w:line="240" w:lineRule="auto"/>
              <w:jc w:val="both"/>
              <w:rPr>
                <w:b/>
                <w:szCs w:val="24"/>
              </w:rPr>
            </w:pPr>
          </w:p>
        </w:tc>
        <w:tc>
          <w:tcPr>
            <w:tcW w:w="6210" w:type="dxa"/>
          </w:tcPr>
          <w:p w:rsidR="009C7BB0" w:rsidRPr="0066285C" w:rsidRDefault="009C7BB0" w:rsidP="00C41983">
            <w:pPr>
              <w:tabs>
                <w:tab w:val="center" w:pos="6240"/>
              </w:tabs>
              <w:spacing w:after="0" w:line="240" w:lineRule="auto"/>
              <w:jc w:val="center"/>
              <w:rPr>
                <w:b/>
              </w:rPr>
            </w:pPr>
            <w:r w:rsidRPr="0066285C">
              <w:rPr>
                <w:b/>
              </w:rPr>
              <w:t>TL. CHỦ TỊCH</w:t>
            </w:r>
          </w:p>
          <w:p w:rsidR="009C7BB0" w:rsidRDefault="009C7BB0" w:rsidP="00C41983">
            <w:pPr>
              <w:tabs>
                <w:tab w:val="center" w:pos="6240"/>
              </w:tabs>
              <w:spacing w:after="0" w:line="240" w:lineRule="auto"/>
              <w:jc w:val="center"/>
              <w:rPr>
                <w:b/>
              </w:rPr>
            </w:pPr>
            <w:r w:rsidRPr="0066285C">
              <w:rPr>
                <w:b/>
              </w:rPr>
              <w:t>TRƯỞNG</w:t>
            </w:r>
            <w:r>
              <w:rPr>
                <w:b/>
              </w:rPr>
              <w:t xml:space="preserve"> BAN </w:t>
            </w:r>
          </w:p>
          <w:p w:rsidR="009C7BB0" w:rsidRPr="0066285C" w:rsidRDefault="009C7BB0" w:rsidP="00C41983">
            <w:pPr>
              <w:tabs>
                <w:tab w:val="center" w:pos="6240"/>
              </w:tabs>
              <w:spacing w:after="0" w:line="240" w:lineRule="auto"/>
              <w:jc w:val="center"/>
              <w:rPr>
                <w:b/>
              </w:rPr>
            </w:pPr>
            <w:r>
              <w:rPr>
                <w:b/>
              </w:rPr>
              <w:t>THUỘC</w:t>
            </w:r>
            <w:r w:rsidRPr="0066285C">
              <w:rPr>
                <w:b/>
              </w:rPr>
              <w:t xml:space="preserve"> BAN PHÁP CHẾ</w:t>
            </w:r>
          </w:p>
          <w:p w:rsidR="009C7BB0" w:rsidRPr="0066285C" w:rsidRDefault="009C7BB0" w:rsidP="00C41983">
            <w:pPr>
              <w:tabs>
                <w:tab w:val="center" w:pos="6240"/>
              </w:tabs>
              <w:spacing w:after="0" w:line="240" w:lineRule="auto"/>
              <w:jc w:val="center"/>
              <w:rPr>
                <w:b/>
              </w:rPr>
            </w:pPr>
          </w:p>
          <w:p w:rsidR="009C7BB0" w:rsidRPr="0066285C" w:rsidRDefault="009C7BB0" w:rsidP="00C41983">
            <w:pPr>
              <w:tabs>
                <w:tab w:val="center" w:pos="6240"/>
              </w:tabs>
              <w:spacing w:after="0" w:line="240" w:lineRule="auto"/>
              <w:jc w:val="center"/>
              <w:rPr>
                <w:b/>
              </w:rPr>
            </w:pPr>
          </w:p>
          <w:p w:rsidR="009C7BB0" w:rsidRDefault="009C7BB0" w:rsidP="00C41983">
            <w:pPr>
              <w:tabs>
                <w:tab w:val="center" w:pos="6240"/>
              </w:tabs>
              <w:spacing w:after="0" w:line="240" w:lineRule="auto"/>
              <w:rPr>
                <w:i/>
                <w:szCs w:val="24"/>
              </w:rPr>
            </w:pPr>
          </w:p>
          <w:p w:rsidR="009C7BB0" w:rsidRDefault="00DF243B" w:rsidP="00DF243B">
            <w:pPr>
              <w:tabs>
                <w:tab w:val="center" w:pos="6240"/>
              </w:tabs>
              <w:spacing w:after="0" w:line="240" w:lineRule="auto"/>
              <w:jc w:val="center"/>
              <w:rPr>
                <w:i/>
                <w:szCs w:val="24"/>
              </w:rPr>
            </w:pPr>
            <w:r>
              <w:rPr>
                <w:i/>
                <w:szCs w:val="24"/>
              </w:rPr>
              <w:t>(đã ký)</w:t>
            </w:r>
            <w:bookmarkStart w:id="0" w:name="_GoBack"/>
            <w:bookmarkEnd w:id="0"/>
          </w:p>
          <w:p w:rsidR="009C7BB0" w:rsidRDefault="009C7BB0" w:rsidP="00C41983">
            <w:pPr>
              <w:tabs>
                <w:tab w:val="center" w:pos="6240"/>
              </w:tabs>
              <w:spacing w:after="0" w:line="240" w:lineRule="auto"/>
              <w:rPr>
                <w:b/>
                <w:szCs w:val="24"/>
              </w:rPr>
            </w:pPr>
          </w:p>
          <w:p w:rsidR="009C7BB0" w:rsidRDefault="009C7BB0" w:rsidP="00C41983">
            <w:pPr>
              <w:tabs>
                <w:tab w:val="center" w:pos="6240"/>
              </w:tabs>
              <w:spacing w:after="0" w:line="240" w:lineRule="auto"/>
              <w:jc w:val="center"/>
              <w:rPr>
                <w:b/>
                <w:sz w:val="26"/>
                <w:szCs w:val="26"/>
              </w:rPr>
            </w:pPr>
            <w:r>
              <w:rPr>
                <w:b/>
                <w:sz w:val="26"/>
                <w:szCs w:val="26"/>
              </w:rPr>
              <w:t>Nguyễn Thị Thu Trang</w:t>
            </w:r>
          </w:p>
        </w:tc>
      </w:tr>
    </w:tbl>
    <w:p w:rsidR="00B9762F" w:rsidRDefault="00B9762F" w:rsidP="00B9762F"/>
    <w:sectPr w:rsidR="00B9762F" w:rsidSect="00F157C6">
      <w:footerReference w:type="default" r:id="rId8"/>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92" w:rsidRDefault="007A4692" w:rsidP="008D6259">
      <w:pPr>
        <w:spacing w:after="0" w:line="240" w:lineRule="auto"/>
      </w:pPr>
      <w:r>
        <w:separator/>
      </w:r>
    </w:p>
  </w:endnote>
  <w:endnote w:type="continuationSeparator" w:id="0">
    <w:p w:rsidR="007A4692" w:rsidRDefault="007A4692" w:rsidP="008D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307706"/>
      <w:docPartObj>
        <w:docPartGallery w:val="Page Numbers (Bottom of Page)"/>
        <w:docPartUnique/>
      </w:docPartObj>
    </w:sdtPr>
    <w:sdtEndPr>
      <w:rPr>
        <w:noProof/>
      </w:rPr>
    </w:sdtEndPr>
    <w:sdtContent>
      <w:p w:rsidR="009C7BB0" w:rsidRDefault="009C7BB0">
        <w:pPr>
          <w:pStyle w:val="Footer"/>
          <w:jc w:val="center"/>
        </w:pPr>
        <w:r>
          <w:fldChar w:fldCharType="begin"/>
        </w:r>
        <w:r>
          <w:instrText xml:space="preserve"> PAGE   \* MERGEFORMAT </w:instrText>
        </w:r>
        <w:r>
          <w:fldChar w:fldCharType="separate"/>
        </w:r>
        <w:r w:rsidR="00DF243B">
          <w:rPr>
            <w:noProof/>
          </w:rPr>
          <w:t>3</w:t>
        </w:r>
        <w:r>
          <w:rPr>
            <w:noProof/>
          </w:rPr>
          <w:fldChar w:fldCharType="end"/>
        </w:r>
      </w:p>
    </w:sdtContent>
  </w:sdt>
  <w:p w:rsidR="009C7BB0" w:rsidRDefault="009C7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92" w:rsidRDefault="007A4692" w:rsidP="008D6259">
      <w:pPr>
        <w:spacing w:after="0" w:line="240" w:lineRule="auto"/>
      </w:pPr>
      <w:r>
        <w:separator/>
      </w:r>
    </w:p>
  </w:footnote>
  <w:footnote w:type="continuationSeparator" w:id="0">
    <w:p w:rsidR="007A4692" w:rsidRDefault="007A4692" w:rsidP="008D6259">
      <w:pPr>
        <w:spacing w:after="0" w:line="240" w:lineRule="auto"/>
      </w:pPr>
      <w:r>
        <w:continuationSeparator/>
      </w:r>
    </w:p>
  </w:footnote>
  <w:footnote w:id="1">
    <w:p w:rsidR="008D6259" w:rsidRDefault="008D6259">
      <w:pPr>
        <w:pStyle w:val="FootnoteText"/>
      </w:pPr>
      <w:r>
        <w:rPr>
          <w:rStyle w:val="FootnoteReference"/>
        </w:rPr>
        <w:footnoteRef/>
      </w:r>
      <w:r>
        <w:t xml:space="preserve"> Vì thời hạn lấy ý kiến quá gấp (Công văn xin ý kiến đến ngày 06/6/2017, thời hạn yêu cầu góp ý trước ngày 09/6/2017) nên VCCI không triển khai lấy ý kiến rộng rãi cộng đồng doanh nghiệp – những đối tượng chịu sự tác động của Dự thảo. Bản góp ý này được xây dựng dựa trên nghiên cứu của cán bộ VCCI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ACC0BC1"/>
    <w:multiLevelType w:val="hybridMultilevel"/>
    <w:tmpl w:val="6FD23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E0D19"/>
    <w:multiLevelType w:val="hybridMultilevel"/>
    <w:tmpl w:val="FBC09B4A"/>
    <w:lvl w:ilvl="0" w:tplc="C310D6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0E"/>
    <w:rsid w:val="00045931"/>
    <w:rsid w:val="00064157"/>
    <w:rsid w:val="0013126B"/>
    <w:rsid w:val="001537BA"/>
    <w:rsid w:val="002130C7"/>
    <w:rsid w:val="00262CBD"/>
    <w:rsid w:val="002C1E02"/>
    <w:rsid w:val="002E431D"/>
    <w:rsid w:val="003711EA"/>
    <w:rsid w:val="003755EB"/>
    <w:rsid w:val="003C7BC0"/>
    <w:rsid w:val="003D44CF"/>
    <w:rsid w:val="003E120F"/>
    <w:rsid w:val="003E3DD9"/>
    <w:rsid w:val="00483DE9"/>
    <w:rsid w:val="005451A3"/>
    <w:rsid w:val="00592AEB"/>
    <w:rsid w:val="005B5CCD"/>
    <w:rsid w:val="0071028C"/>
    <w:rsid w:val="00764DB3"/>
    <w:rsid w:val="0078726D"/>
    <w:rsid w:val="007A4692"/>
    <w:rsid w:val="00830E86"/>
    <w:rsid w:val="00876E23"/>
    <w:rsid w:val="008A3804"/>
    <w:rsid w:val="008B0DED"/>
    <w:rsid w:val="008D6259"/>
    <w:rsid w:val="009671AC"/>
    <w:rsid w:val="009C7BB0"/>
    <w:rsid w:val="00A3159E"/>
    <w:rsid w:val="00A4037E"/>
    <w:rsid w:val="00A9569D"/>
    <w:rsid w:val="00A95F0E"/>
    <w:rsid w:val="00B2650B"/>
    <w:rsid w:val="00B60236"/>
    <w:rsid w:val="00B7232E"/>
    <w:rsid w:val="00B9762F"/>
    <w:rsid w:val="00BA2C1F"/>
    <w:rsid w:val="00BB0283"/>
    <w:rsid w:val="00C02BCC"/>
    <w:rsid w:val="00C26BD0"/>
    <w:rsid w:val="00CE517D"/>
    <w:rsid w:val="00D06B01"/>
    <w:rsid w:val="00D221D4"/>
    <w:rsid w:val="00D23600"/>
    <w:rsid w:val="00D312BD"/>
    <w:rsid w:val="00D3150F"/>
    <w:rsid w:val="00D61354"/>
    <w:rsid w:val="00D83EA4"/>
    <w:rsid w:val="00DB2AB6"/>
    <w:rsid w:val="00DE6D4F"/>
    <w:rsid w:val="00DF243B"/>
    <w:rsid w:val="00E34D7B"/>
    <w:rsid w:val="00E83308"/>
    <w:rsid w:val="00F157C6"/>
    <w:rsid w:val="00F447A5"/>
    <w:rsid w:val="00F60D7C"/>
    <w:rsid w:val="00FF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5506F-DF2A-42D5-AE8B-536A5309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D62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259"/>
    <w:rPr>
      <w:sz w:val="20"/>
      <w:szCs w:val="20"/>
    </w:rPr>
  </w:style>
  <w:style w:type="character" w:styleId="FootnoteReference">
    <w:name w:val="footnote reference"/>
    <w:basedOn w:val="DefaultParagraphFont"/>
    <w:uiPriority w:val="99"/>
    <w:semiHidden/>
    <w:unhideWhenUsed/>
    <w:rsid w:val="008D6259"/>
    <w:rPr>
      <w:vertAlign w:val="superscript"/>
    </w:rPr>
  </w:style>
  <w:style w:type="paragraph" w:styleId="ListParagraph">
    <w:name w:val="List Paragraph"/>
    <w:basedOn w:val="Normal"/>
    <w:uiPriority w:val="34"/>
    <w:qFormat/>
    <w:rsid w:val="00DE6D4F"/>
    <w:pPr>
      <w:ind w:left="720"/>
      <w:contextualSpacing/>
    </w:pPr>
  </w:style>
  <w:style w:type="paragraph" w:styleId="Header">
    <w:name w:val="header"/>
    <w:basedOn w:val="Normal"/>
    <w:link w:val="HeaderChar"/>
    <w:uiPriority w:val="99"/>
    <w:unhideWhenUsed/>
    <w:rsid w:val="009C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B0"/>
  </w:style>
  <w:style w:type="paragraph" w:styleId="Footer">
    <w:name w:val="footer"/>
    <w:basedOn w:val="Normal"/>
    <w:link w:val="FooterChar"/>
    <w:uiPriority w:val="99"/>
    <w:unhideWhenUsed/>
    <w:rsid w:val="009C7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B0"/>
  </w:style>
  <w:style w:type="paragraph" w:styleId="BalloonText">
    <w:name w:val="Balloon Text"/>
    <w:basedOn w:val="Normal"/>
    <w:link w:val="BalloonTextChar"/>
    <w:uiPriority w:val="99"/>
    <w:semiHidden/>
    <w:unhideWhenUsed/>
    <w:rsid w:val="0076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47B94-B083-4EAC-BA75-36C8774F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PCI09</cp:lastModifiedBy>
  <cp:revision>2</cp:revision>
  <dcterms:created xsi:type="dcterms:W3CDTF">2017-06-09T04:07:00Z</dcterms:created>
  <dcterms:modified xsi:type="dcterms:W3CDTF">2017-06-09T04:07:00Z</dcterms:modified>
</cp:coreProperties>
</file>