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E8EDF" w14:textId="5D051523" w:rsidR="0049249F" w:rsidRPr="00653783" w:rsidRDefault="0049249F" w:rsidP="0049249F">
      <w:pPr>
        <w:pStyle w:val="NormalWeb"/>
        <w:spacing w:before="120" w:beforeAutospacing="0" w:after="0" w:afterAutospacing="0"/>
        <w:jc w:val="center"/>
        <w:textAlignment w:val="baseline"/>
        <w:rPr>
          <w:b/>
          <w:bCs/>
          <w:color w:val="000000" w:themeColor="text1"/>
          <w:sz w:val="28"/>
          <w:szCs w:val="28"/>
        </w:rPr>
      </w:pPr>
      <w:r w:rsidRPr="00653783">
        <w:rPr>
          <w:b/>
          <w:bCs/>
          <w:color w:val="000000" w:themeColor="text1"/>
          <w:sz w:val="28"/>
          <w:szCs w:val="28"/>
        </w:rPr>
        <w:t>DANH MỤC VĂN BẢN QUY PHẠM PHÁP LUẬT ĐỀ NGHỊ BÃI BỎ</w:t>
      </w:r>
    </w:p>
    <w:p w14:paraId="2708D49B" w14:textId="77777777" w:rsidR="00857F21" w:rsidRPr="00DC050B" w:rsidRDefault="00857F21" w:rsidP="0049249F">
      <w:pPr>
        <w:pStyle w:val="NormalWeb"/>
        <w:spacing w:before="120" w:beforeAutospacing="0" w:after="0" w:afterAutospacing="0"/>
        <w:jc w:val="center"/>
        <w:textAlignment w:val="baseline"/>
        <w:rPr>
          <w:b/>
          <w:bCs/>
          <w:color w:val="000000" w:themeColor="text1"/>
        </w:rPr>
      </w:pPr>
    </w:p>
    <w:tbl>
      <w:tblPr>
        <w:tblStyle w:val="TableGrid"/>
        <w:tblW w:w="14487" w:type="dxa"/>
        <w:tblInd w:w="392" w:type="dxa"/>
        <w:tblLook w:val="04A0" w:firstRow="1" w:lastRow="0" w:firstColumn="1" w:lastColumn="0" w:noHBand="0" w:noVBand="1"/>
      </w:tblPr>
      <w:tblGrid>
        <w:gridCol w:w="746"/>
        <w:gridCol w:w="3649"/>
        <w:gridCol w:w="10092"/>
      </w:tblGrid>
      <w:tr w:rsidR="00820672" w:rsidRPr="00B47AB1" w14:paraId="7073EDCB" w14:textId="77777777" w:rsidTr="00820672">
        <w:tc>
          <w:tcPr>
            <w:tcW w:w="746" w:type="dxa"/>
            <w:vAlign w:val="center"/>
          </w:tcPr>
          <w:p w14:paraId="27D3F57D" w14:textId="77777777" w:rsidR="00820672" w:rsidRPr="00B47AB1" w:rsidRDefault="00820672" w:rsidP="00C13F58">
            <w:pPr>
              <w:pStyle w:val="NormalWeb"/>
              <w:spacing w:before="120" w:beforeAutospacing="0" w:after="120" w:afterAutospacing="0"/>
              <w:jc w:val="center"/>
              <w:textAlignment w:val="baseline"/>
              <w:rPr>
                <w:b/>
                <w:bCs/>
              </w:rPr>
            </w:pPr>
            <w:r w:rsidRPr="00B47AB1">
              <w:rPr>
                <w:b/>
                <w:bCs/>
              </w:rPr>
              <w:t>STT</w:t>
            </w:r>
          </w:p>
        </w:tc>
        <w:tc>
          <w:tcPr>
            <w:tcW w:w="3649" w:type="dxa"/>
            <w:vAlign w:val="center"/>
          </w:tcPr>
          <w:p w14:paraId="097D96A1" w14:textId="77777777" w:rsidR="00820672" w:rsidRPr="00B47AB1" w:rsidRDefault="00820672" w:rsidP="00C13F58">
            <w:pPr>
              <w:pStyle w:val="NormalWeb"/>
              <w:spacing w:before="120" w:beforeAutospacing="0" w:after="120" w:afterAutospacing="0"/>
              <w:jc w:val="center"/>
              <w:textAlignment w:val="baseline"/>
              <w:rPr>
                <w:b/>
                <w:bCs/>
              </w:rPr>
            </w:pPr>
            <w:r w:rsidRPr="00B47AB1">
              <w:rPr>
                <w:b/>
                <w:bCs/>
              </w:rPr>
              <w:t>Tên văn bản</w:t>
            </w:r>
          </w:p>
        </w:tc>
        <w:tc>
          <w:tcPr>
            <w:tcW w:w="10092" w:type="dxa"/>
            <w:vAlign w:val="center"/>
          </w:tcPr>
          <w:p w14:paraId="32084647" w14:textId="77777777" w:rsidR="00820672" w:rsidRPr="00B47AB1" w:rsidRDefault="00820672" w:rsidP="00C13F58">
            <w:pPr>
              <w:pStyle w:val="NormalWeb"/>
              <w:spacing w:before="120" w:beforeAutospacing="0" w:after="120" w:afterAutospacing="0"/>
              <w:jc w:val="center"/>
              <w:textAlignment w:val="baseline"/>
              <w:rPr>
                <w:b/>
                <w:bCs/>
              </w:rPr>
            </w:pPr>
            <w:r w:rsidRPr="00B47AB1">
              <w:rPr>
                <w:b/>
                <w:bCs/>
              </w:rPr>
              <w:t>Lý do bãi bỏ</w:t>
            </w:r>
          </w:p>
        </w:tc>
      </w:tr>
      <w:tr w:rsidR="00820672" w:rsidRPr="00B47AB1" w14:paraId="36CA2596" w14:textId="77777777" w:rsidTr="00820672">
        <w:tc>
          <w:tcPr>
            <w:tcW w:w="746" w:type="dxa"/>
          </w:tcPr>
          <w:p w14:paraId="2A7673C8" w14:textId="77777777" w:rsidR="00820672" w:rsidRPr="00B47AB1" w:rsidRDefault="00820672" w:rsidP="00857F21">
            <w:pPr>
              <w:pStyle w:val="NormalWeb"/>
              <w:numPr>
                <w:ilvl w:val="0"/>
                <w:numId w:val="2"/>
              </w:numPr>
              <w:spacing w:before="120" w:beforeAutospacing="0" w:after="120" w:afterAutospacing="0"/>
              <w:jc w:val="center"/>
              <w:textAlignment w:val="baseline"/>
              <w:rPr>
                <w:bCs/>
              </w:rPr>
            </w:pPr>
          </w:p>
        </w:tc>
        <w:tc>
          <w:tcPr>
            <w:tcW w:w="3649" w:type="dxa"/>
          </w:tcPr>
          <w:p w14:paraId="1D4491B5" w14:textId="7DB1B35E" w:rsidR="00820672" w:rsidRPr="00B47AB1" w:rsidRDefault="00820672" w:rsidP="00C13F58">
            <w:pPr>
              <w:pStyle w:val="NormalWeb"/>
              <w:spacing w:before="120" w:beforeAutospacing="0" w:after="120" w:afterAutospacing="0"/>
              <w:jc w:val="both"/>
              <w:textAlignment w:val="baseline"/>
              <w:rPr>
                <w:b/>
                <w:bCs/>
              </w:rPr>
            </w:pPr>
            <w:r w:rsidRPr="00AC6507">
              <w:rPr>
                <w:rStyle w:val="markedcontent"/>
                <w:szCs w:val="28"/>
              </w:rPr>
              <w:t>Thông tư số 35/2015/TT-BCT ngày 27 tháng 10 năm 2015 của Bộ trưởng Bộ Công Thương ban hành Thông tư quy định về bảo vệ môi trường ngành Công Thương</w:t>
            </w:r>
          </w:p>
        </w:tc>
        <w:tc>
          <w:tcPr>
            <w:tcW w:w="10092" w:type="dxa"/>
          </w:tcPr>
          <w:p w14:paraId="44C43363" w14:textId="77777777" w:rsidR="00820672" w:rsidRDefault="00820672" w:rsidP="00C13F58">
            <w:pPr>
              <w:pStyle w:val="NormalWeb"/>
              <w:spacing w:before="120" w:beforeAutospacing="0" w:after="120" w:afterAutospacing="0"/>
              <w:jc w:val="both"/>
              <w:textAlignment w:val="baseline"/>
              <w:rPr>
                <w:rStyle w:val="markedcontent"/>
              </w:rPr>
            </w:pPr>
            <w:r>
              <w:t xml:space="preserve">1. </w:t>
            </w:r>
            <w:r w:rsidRPr="009E1EDF">
              <w:rPr>
                <w:rStyle w:val="markedcontent"/>
              </w:rPr>
              <w:t>Các quy định về thẩm định, phê duyệt báo cáo đánh giá môi trường chiến lược (sau đây gọi là báo cáo ĐMC), báo cáo đánh giá tác động môi trường (sau đây gọi là báo cáo ĐTM)</w:t>
            </w:r>
            <w:r>
              <w:rPr>
                <w:rStyle w:val="markedcontent"/>
              </w:rPr>
              <w:t xml:space="preserve"> tại Thông tư </w:t>
            </w:r>
            <w:r w:rsidRPr="00B47AB1">
              <w:rPr>
                <w:rStyle w:val="markedcontent"/>
              </w:rPr>
              <w:t>số 35/2015/TT-BCT</w:t>
            </w:r>
            <w:r>
              <w:rPr>
                <w:rStyle w:val="markedcontent"/>
              </w:rPr>
              <w:t xml:space="preserve"> không còn phù hợp. Cụ thể:</w:t>
            </w:r>
          </w:p>
          <w:p w14:paraId="3C713895" w14:textId="77777777" w:rsidR="00820672" w:rsidRDefault="00820672" w:rsidP="009E1EDF">
            <w:pPr>
              <w:pStyle w:val="NormalWeb"/>
              <w:spacing w:before="120" w:beforeAutospacing="0" w:after="120" w:afterAutospacing="0"/>
              <w:jc w:val="both"/>
              <w:textAlignment w:val="baseline"/>
              <w:rPr>
                <w:rStyle w:val="markedcontent"/>
              </w:rPr>
            </w:pPr>
            <w:r>
              <w:rPr>
                <w:rStyle w:val="markedcontent"/>
              </w:rPr>
              <w:t xml:space="preserve">- Chương II Thông tư </w:t>
            </w:r>
            <w:r w:rsidRPr="00B47AB1">
              <w:rPr>
                <w:rStyle w:val="markedcontent"/>
              </w:rPr>
              <w:t>số 35/2015/TT-BCT</w:t>
            </w:r>
            <w:r>
              <w:rPr>
                <w:rStyle w:val="markedcontent"/>
              </w:rPr>
              <w:t xml:space="preserve"> quy định về thẩm định, phê duyệt ĐMC. Tuy nhiên, Luật Bảo vệ môi trường năm 2020 (khoản 5 Điều 26) không quy định việc thẩm định, phê duyệt ĐMC mà chỉ giao cho Bộ Tài nguyên và Môi trường có ý kiến bằng văn bản với ĐMC.</w:t>
            </w:r>
          </w:p>
          <w:p w14:paraId="7D20E934" w14:textId="088B6E73" w:rsidR="00820672" w:rsidRDefault="00820672" w:rsidP="009E1EDF">
            <w:pPr>
              <w:pStyle w:val="NormalWeb"/>
              <w:spacing w:before="120" w:beforeAutospacing="0" w:after="120" w:afterAutospacing="0"/>
              <w:jc w:val="both"/>
              <w:textAlignment w:val="baseline"/>
              <w:rPr>
                <w:rStyle w:val="markedcontent"/>
              </w:rPr>
            </w:pPr>
            <w:r>
              <w:rPr>
                <w:rStyle w:val="markedcontent"/>
              </w:rPr>
              <w:t xml:space="preserve">- Chương III Thông tư </w:t>
            </w:r>
            <w:r w:rsidRPr="00B47AB1">
              <w:rPr>
                <w:rStyle w:val="markedcontent"/>
              </w:rPr>
              <w:t>số 35/2015/TT-BCT</w:t>
            </w:r>
            <w:r>
              <w:rPr>
                <w:rStyle w:val="markedcontent"/>
              </w:rPr>
              <w:t xml:space="preserve"> quy định về thẩm định, phê duyệt ĐTM, xác nhận hoàn thành công trình bải vệ môi trường, cấp phép sử dụng, xả thải nước. Tuy nhiên, Điều 35 Luật Bảo vệ môi trường năm 2020 không giao thẩm quyền thẩm định ĐTM cho Bộ Công Thương. Các thủ tục xác nhận hoàn thành công trình bảo vệ môi trường, cấp phép sử xả nước thải, sử dụng nước được tích hợp chung trong Giấy phép môi tr</w:t>
            </w:r>
            <w:bookmarkStart w:id="0" w:name="_GoBack"/>
            <w:bookmarkEnd w:id="0"/>
            <w:r>
              <w:rPr>
                <w:rStyle w:val="markedcontent"/>
              </w:rPr>
              <w:t>ường do các cơ quan có thẩm quyền quy định tại Điều 41 Luật Bảo vệ môi trường năm 2020 (Bộ Công Thương không có thẩm quyền cấp Giấy phép môi trường).</w:t>
            </w:r>
          </w:p>
          <w:p w14:paraId="7735F253" w14:textId="77777777" w:rsidR="00820672" w:rsidRDefault="00820672" w:rsidP="009E1EDF">
            <w:pPr>
              <w:pStyle w:val="NormalWeb"/>
              <w:spacing w:before="120" w:beforeAutospacing="0" w:after="120" w:afterAutospacing="0"/>
              <w:jc w:val="both"/>
              <w:textAlignment w:val="baseline"/>
              <w:rPr>
                <w:rStyle w:val="markedcontent"/>
              </w:rPr>
            </w:pPr>
            <w:r>
              <w:rPr>
                <w:rStyle w:val="markedcontent"/>
              </w:rPr>
              <w:t xml:space="preserve">2. Các quy định về bảo vệ môi trường trong hoạt động sản xuất, kinh doanh và quy định về kiểm tra, báo cáo đều đã được quy định thống nhất trong Luật Bảo vệ môi trường năm 2020, Nghị định số 08/2022/NĐ-CP, Thông tư số 02/2022/TT-BTNMT và có nhiều thay đổi so với các văn bản được dẫn chiếu trong Thông tư </w:t>
            </w:r>
            <w:r w:rsidRPr="00B47AB1">
              <w:rPr>
                <w:rStyle w:val="markedcontent"/>
              </w:rPr>
              <w:t>số 35/2015/TT-BCT</w:t>
            </w:r>
            <w:r>
              <w:rPr>
                <w:rStyle w:val="markedcontent"/>
              </w:rPr>
              <w:t xml:space="preserve">. Đồng thời, các văn bản được dẫn chiếu tại Thông tư </w:t>
            </w:r>
            <w:r w:rsidRPr="00B47AB1">
              <w:rPr>
                <w:rStyle w:val="markedcontent"/>
              </w:rPr>
              <w:t>số 35/2015/TT-BCT</w:t>
            </w:r>
            <w:r>
              <w:rPr>
                <w:rStyle w:val="markedcontent"/>
              </w:rPr>
              <w:t xml:space="preserve"> đã hết hiệu lực. </w:t>
            </w:r>
          </w:p>
          <w:p w14:paraId="68D2ECF1" w14:textId="77777777" w:rsidR="00820672" w:rsidRDefault="00820672" w:rsidP="009E1EDF">
            <w:pPr>
              <w:pStyle w:val="NormalWeb"/>
              <w:spacing w:before="120" w:beforeAutospacing="0" w:after="120" w:afterAutospacing="0"/>
              <w:jc w:val="both"/>
              <w:textAlignment w:val="baseline"/>
              <w:rPr>
                <w:rStyle w:val="markedcontent"/>
                <w:i/>
              </w:rPr>
            </w:pPr>
            <w:r>
              <w:rPr>
                <w:rStyle w:val="markedcontent"/>
              </w:rPr>
              <w:t>3. Khoản 3 Điều 111 Nghị định số 08/2022/NĐ-CP quy định trách nhiệm của Bộ Công Thương: “</w:t>
            </w:r>
            <w:r>
              <w:rPr>
                <w:rStyle w:val="markedcontent"/>
                <w:i/>
              </w:rPr>
              <w:t>Hướng dẫn kỹ thuật phòng ngừa, ứng phó sự cố môi trường do rò rỉ, phát tán hóa chất độc trong lĩnh vực công nghiệp;”</w:t>
            </w:r>
          </w:p>
          <w:p w14:paraId="392F3460" w14:textId="77777777" w:rsidR="00820672" w:rsidRDefault="00820672" w:rsidP="009E1EDF">
            <w:pPr>
              <w:pStyle w:val="NormalWeb"/>
              <w:spacing w:before="120" w:beforeAutospacing="0" w:after="120" w:afterAutospacing="0"/>
              <w:jc w:val="both"/>
              <w:textAlignment w:val="baseline"/>
              <w:rPr>
                <w:rStyle w:val="markedcontent"/>
              </w:rPr>
            </w:pPr>
            <w:r>
              <w:rPr>
                <w:rStyle w:val="markedcontent"/>
              </w:rPr>
              <w:t>Điểm a khoản 2 Điều 160 Nghị định số 08/2022/NĐ-CP quy định Bộ Công Thương có trách nhiệm chỉ đạo phát triển ngành công nghiệp môi trường; phối hợp tổ chức thực hiện các yêu cầu về bảo vệ môi trường trong hoạt động quản lý hóa chất, xuất khẩu, nhập khẩu, sản xuất, kinh doanh, sử dụng chất ô nhiễm khó phân hủy và nguyên liệu, nhiên liệu, vật liệu, sản phẩm, hàng hóa, thiết bị có chứa chất ô nhiễm khó phân hủy theo quy định pháp luật.</w:t>
            </w:r>
          </w:p>
          <w:p w14:paraId="2A29CFF6" w14:textId="7744E596" w:rsidR="00820672" w:rsidRPr="009E1EDF" w:rsidRDefault="00820672" w:rsidP="009E1EDF">
            <w:pPr>
              <w:pStyle w:val="NormalWeb"/>
              <w:spacing w:before="120" w:beforeAutospacing="0" w:after="120" w:afterAutospacing="0"/>
              <w:jc w:val="both"/>
              <w:textAlignment w:val="baseline"/>
              <w:rPr>
                <w:i/>
              </w:rPr>
            </w:pPr>
            <w:r>
              <w:rPr>
                <w:rStyle w:val="markedcontent"/>
              </w:rPr>
              <w:lastRenderedPageBreak/>
              <w:t xml:space="preserve">Căn cứ các quy định về trách nhiệm của Bộ Công Thương trên đây, Thông tư </w:t>
            </w:r>
            <w:r w:rsidRPr="00B47AB1">
              <w:rPr>
                <w:rStyle w:val="markedcontent"/>
              </w:rPr>
              <w:t>số 35/2015/TT-BCT</w:t>
            </w:r>
            <w:r>
              <w:rPr>
                <w:rStyle w:val="markedcontent"/>
              </w:rPr>
              <w:t xml:space="preserve"> không còn phù hợp và không được áp dụng trên thực tế.</w:t>
            </w:r>
          </w:p>
        </w:tc>
      </w:tr>
      <w:tr w:rsidR="00820672" w:rsidRPr="00B47AB1" w14:paraId="2AAB9824" w14:textId="77777777" w:rsidTr="00820672">
        <w:tc>
          <w:tcPr>
            <w:tcW w:w="746" w:type="dxa"/>
          </w:tcPr>
          <w:p w14:paraId="0410B5D4" w14:textId="77777777" w:rsidR="00820672" w:rsidRPr="00B47AB1" w:rsidRDefault="00820672" w:rsidP="00857F21">
            <w:pPr>
              <w:pStyle w:val="NormalWeb"/>
              <w:numPr>
                <w:ilvl w:val="0"/>
                <w:numId w:val="2"/>
              </w:numPr>
              <w:spacing w:before="120" w:beforeAutospacing="0" w:after="120" w:afterAutospacing="0"/>
              <w:jc w:val="center"/>
              <w:textAlignment w:val="baseline"/>
              <w:rPr>
                <w:bCs/>
              </w:rPr>
            </w:pPr>
          </w:p>
        </w:tc>
        <w:tc>
          <w:tcPr>
            <w:tcW w:w="3649" w:type="dxa"/>
          </w:tcPr>
          <w:p w14:paraId="101C28B6" w14:textId="788237EB" w:rsidR="00820672" w:rsidRPr="00B47AB1" w:rsidRDefault="00820672" w:rsidP="00C13F58">
            <w:pPr>
              <w:pStyle w:val="NormalWeb"/>
              <w:spacing w:before="120" w:beforeAutospacing="0" w:after="120" w:afterAutospacing="0"/>
              <w:jc w:val="both"/>
              <w:textAlignment w:val="baseline"/>
              <w:rPr>
                <w:rStyle w:val="markedcontent"/>
              </w:rPr>
            </w:pPr>
            <w:r w:rsidRPr="00473644">
              <w:rPr>
                <w:szCs w:val="28"/>
              </w:rPr>
              <w:t>Thông tư liên tịch số 47/2011/TTLT-BCT-BTNMT ngày 30 tháng 12 năm 2011 của Bộ trưởng Bộ Công Thương và Bộ trưởng Bộ Tài nguyên và Môi trường quy định việc quản lý nhập khẩu, xuất khẩu và tạm nhập - tái xuất các chất làm suy giảm tầng ô-dôn theo quy định của Nghị định thư Montreal về các chất làm suy giảm tầng ô-dôn</w:t>
            </w:r>
          </w:p>
        </w:tc>
        <w:tc>
          <w:tcPr>
            <w:tcW w:w="10092" w:type="dxa"/>
            <w:vMerge w:val="restart"/>
          </w:tcPr>
          <w:p w14:paraId="2352856B" w14:textId="77777777" w:rsidR="00820672" w:rsidRPr="00B47AB1" w:rsidRDefault="00820672" w:rsidP="00C13F58">
            <w:pPr>
              <w:pStyle w:val="NormalWeb"/>
              <w:spacing w:before="120" w:beforeAutospacing="0" w:after="120" w:afterAutospacing="0"/>
              <w:jc w:val="both"/>
              <w:textAlignment w:val="baseline"/>
            </w:pPr>
            <w:r w:rsidRPr="00B47AB1">
              <w:t xml:space="preserve">- Ngày 07 tháng 01 năm 2022, Chính phủ đã ban hành Nghị định số 06/2022/NĐ-CP quy định giảm nhẹ phát thải khí nhà kính và bảo vệ tầng ô-dôn theo đề nghị của Bộ trưởng Bộ Tài nguyên và Môi trường. Nghị định này có hiệu lực cùng với ngày ban hành. </w:t>
            </w:r>
          </w:p>
          <w:p w14:paraId="2FD50F4C" w14:textId="77777777" w:rsidR="00820672" w:rsidRPr="00B47AB1" w:rsidRDefault="00820672" w:rsidP="00C13F58">
            <w:pPr>
              <w:pStyle w:val="NormalWeb"/>
              <w:spacing w:before="120" w:beforeAutospacing="0" w:after="120" w:afterAutospacing="0"/>
              <w:jc w:val="both"/>
              <w:textAlignment w:val="baseline"/>
            </w:pPr>
            <w:r w:rsidRPr="00B47AB1">
              <w:t xml:space="preserve">- Nghị định số 06/2022/NĐ-CP quy định </w:t>
            </w:r>
            <w:r w:rsidRPr="00B47AB1">
              <w:rPr>
                <w:i/>
                <w:iCs/>
              </w:rPr>
              <w:t>“Bộ Tài nguyên và Môi trường xem xét quyết định phân bổ hạn ngạch sản xuất và nhập khẩu cho tổ chức; có trách nhiệm chủ trì, phối hợp với các bộ, ngành liên quan thực hiện quản lý các chất được kiểm soát theo điều ước quốc tế về bảo vệ tầng ô-dôn mà Việt Nam là thành viên; phân bổ, điều chỉnh, bổ sung hạn ngạch sản xuất, nhập khẩu các chất HCFC, HFC theo giai đoạn và hằng năm...”.</w:t>
            </w:r>
          </w:p>
          <w:p w14:paraId="1BB89DA5" w14:textId="77777777" w:rsidR="00820672" w:rsidRPr="00B47AB1" w:rsidRDefault="00820672" w:rsidP="00C13F58">
            <w:pPr>
              <w:pStyle w:val="NormalWeb"/>
              <w:spacing w:before="120" w:beforeAutospacing="0" w:after="120" w:afterAutospacing="0"/>
              <w:jc w:val="both"/>
              <w:textAlignment w:val="baseline"/>
            </w:pPr>
            <w:r w:rsidRPr="00B47AB1">
              <w:t>Như vậy, theo Nghị định số 06/2022/NĐ-CP, Bộ Tài nguyên và Môi trường sau khi trao đổi thống nhất với Bộ Công Thương sẽ tổ chức phân bổ hạn ngạch nhập khẩu các chất HCFC, HFC trực tiếp đến doanh nghiệp, sau đó cơ quan Hải quan sẽ tiến hành trừ lùi trên hệ thống khi doanh nghiệp làm thủ tục nhập khẩu. Bộ Công Thương chỉ đóng vai trò phối hợp, cho ý kiến về danh mục hàng hóa cấm xuất khẩu, cấm nhập khẩu và danh sách dự kiến phân bổ hạn ngạch.</w:t>
            </w:r>
          </w:p>
        </w:tc>
      </w:tr>
      <w:tr w:rsidR="00820672" w:rsidRPr="00B47AB1" w14:paraId="70D9A957" w14:textId="77777777" w:rsidTr="00820672">
        <w:tc>
          <w:tcPr>
            <w:tcW w:w="746" w:type="dxa"/>
          </w:tcPr>
          <w:p w14:paraId="13F8757F" w14:textId="77777777" w:rsidR="00820672" w:rsidRPr="00B47AB1" w:rsidRDefault="00820672" w:rsidP="00857F21">
            <w:pPr>
              <w:pStyle w:val="NormalWeb"/>
              <w:numPr>
                <w:ilvl w:val="0"/>
                <w:numId w:val="2"/>
              </w:numPr>
              <w:spacing w:before="120" w:beforeAutospacing="0" w:after="120" w:afterAutospacing="0"/>
              <w:jc w:val="center"/>
              <w:textAlignment w:val="baseline"/>
              <w:rPr>
                <w:bCs/>
              </w:rPr>
            </w:pPr>
          </w:p>
        </w:tc>
        <w:tc>
          <w:tcPr>
            <w:tcW w:w="3649" w:type="dxa"/>
          </w:tcPr>
          <w:p w14:paraId="3DC04980" w14:textId="696D11EE" w:rsidR="00820672" w:rsidRPr="00B47AB1" w:rsidRDefault="00820672" w:rsidP="00C13F58">
            <w:pPr>
              <w:pStyle w:val="NormalWeb"/>
              <w:spacing w:before="120" w:beforeAutospacing="0" w:after="120" w:afterAutospacing="0"/>
              <w:jc w:val="both"/>
              <w:textAlignment w:val="baseline"/>
              <w:rPr>
                <w:rStyle w:val="markedcontent"/>
              </w:rPr>
            </w:pPr>
            <w:r w:rsidRPr="00AC6507">
              <w:rPr>
                <w:szCs w:val="28"/>
              </w:rPr>
              <w:t>Thông tư số 51/2018/TT-BCT ngày 19 tháng 12 năm 2018 của Bộ trưởng Bộ Công Thương sửa đổi, bổ sung một số điều của Thông tư liên tịch số 47/2011/TTLT-BCT-BTNMT ngày 30 tháng 12 năm 2011 của Bộ trưởng Bộ Công Thương và Bộ trưởng Bộ Tài nguyên và Môi trường quy định việc quản lý nhập khẩu, xuất khẩu và tạm nhập - tái xuất các chất làm suy giảm tầng ô-dôn theo quy định của Nghị định thư Montreal về các chất làm suy giảm tầng ô-dôn</w:t>
            </w:r>
          </w:p>
        </w:tc>
        <w:tc>
          <w:tcPr>
            <w:tcW w:w="10092" w:type="dxa"/>
            <w:vMerge/>
          </w:tcPr>
          <w:p w14:paraId="14D08E77" w14:textId="77777777" w:rsidR="00820672" w:rsidRPr="00B47AB1" w:rsidRDefault="00820672" w:rsidP="00C13F58">
            <w:pPr>
              <w:pStyle w:val="NormalWeb"/>
              <w:spacing w:before="120" w:beforeAutospacing="0" w:after="120" w:afterAutospacing="0"/>
              <w:jc w:val="both"/>
              <w:textAlignment w:val="baseline"/>
            </w:pPr>
          </w:p>
        </w:tc>
      </w:tr>
      <w:tr w:rsidR="00820672" w:rsidRPr="00B47AB1" w14:paraId="45FEAA06" w14:textId="77777777" w:rsidTr="00820672">
        <w:tc>
          <w:tcPr>
            <w:tcW w:w="746" w:type="dxa"/>
          </w:tcPr>
          <w:p w14:paraId="69425242" w14:textId="77777777" w:rsidR="00820672" w:rsidRPr="00B47AB1" w:rsidRDefault="00820672" w:rsidP="00857F21">
            <w:pPr>
              <w:pStyle w:val="NormalWeb"/>
              <w:numPr>
                <w:ilvl w:val="0"/>
                <w:numId w:val="2"/>
              </w:numPr>
              <w:spacing w:before="120" w:beforeAutospacing="0" w:after="120" w:afterAutospacing="0"/>
              <w:jc w:val="center"/>
              <w:textAlignment w:val="baseline"/>
              <w:rPr>
                <w:bCs/>
              </w:rPr>
            </w:pPr>
          </w:p>
        </w:tc>
        <w:tc>
          <w:tcPr>
            <w:tcW w:w="3649" w:type="dxa"/>
          </w:tcPr>
          <w:p w14:paraId="305A9E4C" w14:textId="36E3D826" w:rsidR="00820672" w:rsidRPr="00B47AB1" w:rsidRDefault="00820672" w:rsidP="00C13F58">
            <w:pPr>
              <w:pStyle w:val="NormalWeb"/>
              <w:spacing w:before="120" w:beforeAutospacing="0" w:after="120" w:afterAutospacing="0"/>
              <w:jc w:val="both"/>
              <w:textAlignment w:val="baseline"/>
              <w:rPr>
                <w:rStyle w:val="markedcontent"/>
              </w:rPr>
            </w:pPr>
            <w:r w:rsidRPr="00AC6507">
              <w:rPr>
                <w:szCs w:val="28"/>
              </w:rPr>
              <w:t xml:space="preserve">Thông tư số 05/2020/TT-BCT ngày 16 tháng 3 năm 2020 của Bộ trưởng Bộ Công Thương sửa đổi, bổ sung một số điều của Thông tư liên tịch </w:t>
            </w:r>
            <w:r w:rsidRPr="00AC6507">
              <w:rPr>
                <w:szCs w:val="28"/>
              </w:rPr>
              <w:lastRenderedPageBreak/>
              <w:t>số 47/2011/TTLT-BCT-BTNMT ngày 30 tháng 12 năm 2011 của Bộ trưởng Bộ Công Thương và Bộ trưởng Bộ Tài nguyên và Môi trường quy định việc quản lý nhập khẩu, xuất khẩu và tạm nhập - tái xuất các chất làm suy giảm tầng ô-dôn theo quy định của Nghị định thư Montreal về các chất làm suy giảm tầng ô-dôn</w:t>
            </w:r>
          </w:p>
        </w:tc>
        <w:tc>
          <w:tcPr>
            <w:tcW w:w="10092" w:type="dxa"/>
            <w:vMerge/>
          </w:tcPr>
          <w:p w14:paraId="1F7787CD" w14:textId="77777777" w:rsidR="00820672" w:rsidRPr="00B47AB1" w:rsidRDefault="00820672" w:rsidP="00C13F58">
            <w:pPr>
              <w:pStyle w:val="NormalWeb"/>
              <w:spacing w:before="120" w:beforeAutospacing="0" w:after="120" w:afterAutospacing="0"/>
              <w:jc w:val="both"/>
              <w:textAlignment w:val="baseline"/>
            </w:pPr>
          </w:p>
        </w:tc>
      </w:tr>
      <w:tr w:rsidR="00820672" w:rsidRPr="00B47AB1" w14:paraId="152032BE" w14:textId="77777777" w:rsidTr="00820672">
        <w:tc>
          <w:tcPr>
            <w:tcW w:w="746" w:type="dxa"/>
          </w:tcPr>
          <w:p w14:paraId="55CD956D" w14:textId="77777777" w:rsidR="00820672" w:rsidRPr="00B47AB1" w:rsidRDefault="00820672" w:rsidP="00857F21">
            <w:pPr>
              <w:pStyle w:val="NormalWeb"/>
              <w:numPr>
                <w:ilvl w:val="0"/>
                <w:numId w:val="2"/>
              </w:numPr>
              <w:spacing w:before="120" w:beforeAutospacing="0" w:after="120" w:afterAutospacing="0"/>
              <w:jc w:val="center"/>
              <w:textAlignment w:val="baseline"/>
              <w:rPr>
                <w:bCs/>
              </w:rPr>
            </w:pPr>
          </w:p>
        </w:tc>
        <w:tc>
          <w:tcPr>
            <w:tcW w:w="3649" w:type="dxa"/>
          </w:tcPr>
          <w:p w14:paraId="4AEA49FE" w14:textId="42466624" w:rsidR="00820672" w:rsidRPr="00B47AB1" w:rsidRDefault="00820672" w:rsidP="00C13F58">
            <w:pPr>
              <w:pStyle w:val="NormalWeb"/>
              <w:spacing w:before="120" w:beforeAutospacing="0" w:after="120" w:afterAutospacing="0"/>
              <w:jc w:val="both"/>
              <w:textAlignment w:val="baseline"/>
              <w:rPr>
                <w:rStyle w:val="markedcontent"/>
              </w:rPr>
            </w:pPr>
            <w:r w:rsidRPr="00AC6507">
              <w:rPr>
                <w:szCs w:val="28"/>
              </w:rPr>
              <w:t>Thông tư số 12/2014/TT-BCT ngày 31 tháng 3 năm 2014 của Bộ trưởng Bộ Công Thương quy định tính toán mức giá bán lẻ điện bình quân</w:t>
            </w:r>
          </w:p>
        </w:tc>
        <w:tc>
          <w:tcPr>
            <w:tcW w:w="10092" w:type="dxa"/>
          </w:tcPr>
          <w:p w14:paraId="59D72C8F" w14:textId="77777777" w:rsidR="00820672" w:rsidRDefault="00820672" w:rsidP="00C13F58">
            <w:pPr>
              <w:pStyle w:val="NormalWeb"/>
              <w:spacing w:before="120" w:beforeAutospacing="0" w:after="120" w:afterAutospacing="0"/>
              <w:jc w:val="both"/>
              <w:textAlignment w:val="baseline"/>
            </w:pPr>
            <w:r w:rsidRPr="00B47AB1">
              <w:t>Căn cứ xây dựng Thông tư số 12/2014/TT-BCT là Quyết định số 69/2013/QĐ-TTg ngày 19/11/2013 của Thủ tướng Chính phủ quy định về cơ chế điều chỉnh mức giá bán lẻ điện bình quân. Quyết định số 69/2013/QĐ-TTg đã được thay thế bởi Quyết định số 24/2017/QĐ-TTg ngày 30/6/2017 nên Thông tư số 12/2014/TT-BCT hết hiệu lực (theo quy định tại khoản 4 Điều 154 Luật ban hành Văn bản quy phạm pháp luật).</w:t>
            </w:r>
          </w:p>
          <w:p w14:paraId="44D30E25" w14:textId="018B58B8" w:rsidR="00820672" w:rsidRDefault="00820672" w:rsidP="00C13F58">
            <w:pPr>
              <w:pStyle w:val="NormalWeb"/>
              <w:spacing w:before="120" w:beforeAutospacing="0" w:after="120" w:afterAutospacing="0"/>
              <w:jc w:val="both"/>
              <w:textAlignment w:val="baseline"/>
            </w:pPr>
            <w:r w:rsidRPr="00B47AB1">
              <w:t>Thông tư số 12/2014/TT-BCT</w:t>
            </w:r>
            <w:r>
              <w:t xml:space="preserve"> được ban hành để hướng dẫn </w:t>
            </w:r>
            <w:r w:rsidRPr="00B47AB1">
              <w:t>Quyết định số 69/2013/QĐ-TTg ngày 1</w:t>
            </w:r>
            <w:r>
              <w:t xml:space="preserve">9 tháng 11 năm </w:t>
            </w:r>
            <w:r w:rsidRPr="00B47AB1">
              <w:t>2013 của Thủ tướng Chính phủ</w:t>
            </w:r>
            <w:r>
              <w:t xml:space="preserve">. Trong quá trình sửa đổi </w:t>
            </w:r>
            <w:r w:rsidRPr="00B47AB1">
              <w:t>Quyết định số 69/2013/QĐ-TTg</w:t>
            </w:r>
            <w:r>
              <w:t xml:space="preserve">, một số nội dung quy định tại </w:t>
            </w:r>
            <w:r w:rsidRPr="00B47AB1">
              <w:t>Thông tư số 12/2014/TT-BCT</w:t>
            </w:r>
            <w:r>
              <w:t xml:space="preserve"> đã được đề xuất quy định tại Quyết định số 24/2017/QĐ-TTg (Quyết định này thay thế </w:t>
            </w:r>
            <w:r w:rsidRPr="00B47AB1">
              <w:t>Quyết định số 69/2013/QĐ-TTg</w:t>
            </w:r>
            <w:r>
              <w:t>).</w:t>
            </w:r>
          </w:p>
          <w:p w14:paraId="2398E17A" w14:textId="77777777" w:rsidR="00820672" w:rsidRDefault="00820672" w:rsidP="00C13F58">
            <w:pPr>
              <w:pStyle w:val="NormalWeb"/>
              <w:spacing w:before="120" w:beforeAutospacing="0" w:after="120" w:afterAutospacing="0"/>
              <w:jc w:val="both"/>
              <w:textAlignment w:val="baseline"/>
            </w:pPr>
            <w:r>
              <w:t xml:space="preserve">Bên cạnh đó, theo Điều 4 Quyết định số 24/2017/QĐ-TTg, Bộ Công Thương có trách nhiệm hướng dẫn Tập đoàn Điện lực Việt Nam (EVN) tính toán giá bán điện bình quân theo quy định tại Điều 4 Quyết định này. </w:t>
            </w:r>
          </w:p>
          <w:p w14:paraId="1925757C" w14:textId="6B25953E" w:rsidR="00820672" w:rsidRPr="00B47AB1" w:rsidRDefault="00820672" w:rsidP="00E707D6">
            <w:pPr>
              <w:pStyle w:val="NormalWeb"/>
              <w:spacing w:before="120" w:beforeAutospacing="0" w:after="120" w:afterAutospacing="0"/>
              <w:jc w:val="both"/>
              <w:textAlignment w:val="baseline"/>
            </w:pPr>
            <w:r>
              <w:t xml:space="preserve">Vì vậy, </w:t>
            </w:r>
            <w:r w:rsidRPr="00B47AB1">
              <w:t>Thông tư số 12/2014/TT-BCT</w:t>
            </w:r>
            <w:r>
              <w:t xml:space="preserve"> hiện không còn áp dụng mà thực hiện theo Quyết định số 24/2017/QĐ-TTg và các văn bản hướng dẫn của Bộ Công Thương, Bộ Tài chính theo quy định tại Quyết định số 24/2017/QĐ-TTg.</w:t>
            </w:r>
          </w:p>
        </w:tc>
      </w:tr>
      <w:tr w:rsidR="00820672" w:rsidRPr="00B47AB1" w14:paraId="05FE5E9A" w14:textId="77777777" w:rsidTr="00820672">
        <w:tc>
          <w:tcPr>
            <w:tcW w:w="746" w:type="dxa"/>
          </w:tcPr>
          <w:p w14:paraId="0F4755E7" w14:textId="77777777" w:rsidR="00820672" w:rsidRPr="00B47AB1" w:rsidRDefault="00820672" w:rsidP="00857F21">
            <w:pPr>
              <w:pStyle w:val="NormalWeb"/>
              <w:numPr>
                <w:ilvl w:val="0"/>
                <w:numId w:val="2"/>
              </w:numPr>
              <w:spacing w:before="120" w:beforeAutospacing="0" w:after="120" w:afterAutospacing="0"/>
              <w:jc w:val="center"/>
              <w:textAlignment w:val="baseline"/>
              <w:rPr>
                <w:bCs/>
              </w:rPr>
            </w:pPr>
          </w:p>
        </w:tc>
        <w:tc>
          <w:tcPr>
            <w:tcW w:w="3649" w:type="dxa"/>
          </w:tcPr>
          <w:p w14:paraId="3EB73F35" w14:textId="3208200F" w:rsidR="00820672" w:rsidRPr="00B47AB1" w:rsidRDefault="00820672" w:rsidP="00C13F58">
            <w:pPr>
              <w:pStyle w:val="NormalWeb"/>
              <w:spacing w:before="120" w:beforeAutospacing="0" w:after="120" w:afterAutospacing="0"/>
              <w:jc w:val="both"/>
              <w:textAlignment w:val="baseline"/>
              <w:rPr>
                <w:rStyle w:val="markedcontent"/>
              </w:rPr>
            </w:pPr>
            <w:r w:rsidRPr="00AC6507">
              <w:rPr>
                <w:szCs w:val="28"/>
              </w:rPr>
              <w:t xml:space="preserve">Thông tư số 14/2014/TT-BCT ngày 26 tháng 5 năm 2014 của Bộ trưởng Bộ Công Thương quy định trình tự xác minh và xử phạt vi phạm hành chính trong lĩnh vực điện lực thuộc </w:t>
            </w:r>
            <w:r w:rsidRPr="00AC6507">
              <w:rPr>
                <w:szCs w:val="28"/>
              </w:rPr>
              <w:lastRenderedPageBreak/>
              <w:t>thẩm quyền của Thủ trưởng Cơ quan Điều tiết điện lực</w:t>
            </w:r>
          </w:p>
        </w:tc>
        <w:tc>
          <w:tcPr>
            <w:tcW w:w="10092" w:type="dxa"/>
          </w:tcPr>
          <w:p w14:paraId="1700A840" w14:textId="77777777" w:rsidR="00820672" w:rsidRPr="00B47AB1" w:rsidRDefault="00820672" w:rsidP="00C13F58">
            <w:pPr>
              <w:pStyle w:val="NormalWeb"/>
              <w:spacing w:before="120" w:beforeAutospacing="0" w:after="120" w:afterAutospacing="0"/>
              <w:jc w:val="both"/>
              <w:textAlignment w:val="baseline"/>
            </w:pPr>
            <w:r w:rsidRPr="00B47AB1">
              <w:lastRenderedPageBreak/>
              <w:t xml:space="preserve">- Căn cứ điểm b khoản 1 Điều 47 Nghị định số 134/2013/NĐ-CP ngày 17/10/2013 của Chính phủ quy định về xử phạt vi phạm hành chính trong lĩnh vực điện lực, an toàn đập thủy điện, sử dụng năng lượng tiết kiệm và hiệu quả (Nghị định số 134/2013/NĐ-CP), Bộ Công Thương đã ban hành Thông tư số 14/2014/TT-BCT ngày 26/5/2014 của Bộ trưởng Bộ Công Thương quy định trình tự xác minh và xử </w:t>
            </w:r>
            <w:r w:rsidRPr="00B47AB1">
              <w:lastRenderedPageBreak/>
              <w:t xml:space="preserve">phạt vi phạm hành chính trong lĩnh vực điện lực thuộc thẩm quyền của Thủ trưởng Cơ quan Điều tiết điện lực. </w:t>
            </w:r>
          </w:p>
          <w:p w14:paraId="62CD84B0" w14:textId="77777777" w:rsidR="00820672" w:rsidRDefault="00820672" w:rsidP="00C13F58">
            <w:pPr>
              <w:pStyle w:val="NormalWeb"/>
              <w:spacing w:before="120" w:beforeAutospacing="0" w:after="120" w:afterAutospacing="0"/>
              <w:jc w:val="both"/>
              <w:textAlignment w:val="baseline"/>
            </w:pPr>
            <w:r w:rsidRPr="00B47AB1">
              <w:t>Tuy nhiên, khoản 40 Điều 2 tại Nghị định số 17/2022/NĐ-CP ngày 31/01/2022 của Chính phủ sửa đổi, bổ sung một số điều của các Nghị định quy định về xử phạt vi phạm hành chính trong lĩnh vực hóa chất và vật liệu nổ công nghiệp; điện lực, an toàn đập thủy điện, sử dụng năng lượng tiết kiệm và hiệu quả; hoạt động thương mại, sản xuất, buôn bán hàng giả, hàng cấm và bảo vệ quyền lợi người tiêu dùng; hoạt động dầu khí, kinh doanh xăng dầu và khí (Nghị định số 17/2022/NĐ-CP) đã không giao Bộ Công Thương hướng dẫn trình tự xác minh và xử phạt vi phạm trong lĩnh vực điện lực của Thủ trưởng Cơ quan Điều tiết điện lực.</w:t>
            </w:r>
          </w:p>
          <w:p w14:paraId="0F436A7B" w14:textId="23EC1A8A" w:rsidR="00820672" w:rsidRPr="00B47AB1" w:rsidRDefault="00820672" w:rsidP="00721572">
            <w:pPr>
              <w:pStyle w:val="NormalWeb"/>
              <w:spacing w:before="120" w:beforeAutospacing="0" w:after="120" w:afterAutospacing="0"/>
              <w:jc w:val="both"/>
              <w:textAlignment w:val="baseline"/>
            </w:pPr>
            <w:r>
              <w:t xml:space="preserve">Việc bãi bỏ </w:t>
            </w:r>
            <w:r w:rsidRPr="00B47AB1">
              <w:t>Thông tư số 14/2014/TT-BCT</w:t>
            </w:r>
            <w:r>
              <w:t xml:space="preserve"> không gây khó khăn, vướng mắc trong hoạt động quản lý nhà nước vì </w:t>
            </w:r>
            <w:r w:rsidRPr="00B47AB1">
              <w:t>Thông tư số 14/2014/TT-BCT</w:t>
            </w:r>
            <w:r>
              <w:t xml:space="preserve"> quy định trình tự xác minh và xử phạt vi phạm hành chính trong lĩnh vực điện lực thuộc thẩm quyền của Thủ trưởng Cơ quan Điều tiết điện lực. Tuy nhiên, theo quy định tại điểm c khoản 21 Điều 1 Luật Sửa đổi, bổ sung một số điều của Luật Xử lý vi phạm hành chính và Điều 35 Nghị định số 134/2013/NĐ-CP (đã được sửa đổi, bổ sung), Cục trưởng Cục Điều tiết điện lực có thẩm quyền xử phạt theo thẩm quyền của Thanh tra. Do đó, các trình tự, thủ tục liên quan đến xác minh và xử phạt vi phạm hành chính thuộc thẩm quyền của Cục trưởng Cục Điều tiết điện lực được thực hiện theo quy định tại Luật Xử lý vi phạm hành chính năm 2012 (sửa đổi, bổ sung năm 2020), Nghị định số 127/2015/NĐ-CP và các văn bản hướng dẫn thi hành.</w:t>
            </w:r>
          </w:p>
        </w:tc>
      </w:tr>
      <w:tr w:rsidR="00820672" w:rsidRPr="00B47AB1" w14:paraId="5734FE9F" w14:textId="77777777" w:rsidTr="00820672">
        <w:tc>
          <w:tcPr>
            <w:tcW w:w="746" w:type="dxa"/>
          </w:tcPr>
          <w:p w14:paraId="0A7FDC6A" w14:textId="77777777" w:rsidR="00820672" w:rsidRPr="00B47AB1" w:rsidRDefault="00820672" w:rsidP="00857F21">
            <w:pPr>
              <w:pStyle w:val="NormalWeb"/>
              <w:numPr>
                <w:ilvl w:val="0"/>
                <w:numId w:val="2"/>
              </w:numPr>
              <w:spacing w:before="120" w:beforeAutospacing="0" w:after="120" w:afterAutospacing="0"/>
              <w:jc w:val="center"/>
              <w:textAlignment w:val="baseline"/>
              <w:rPr>
                <w:bCs/>
              </w:rPr>
            </w:pPr>
          </w:p>
        </w:tc>
        <w:tc>
          <w:tcPr>
            <w:tcW w:w="3649" w:type="dxa"/>
          </w:tcPr>
          <w:p w14:paraId="66379743" w14:textId="5F7B9D1B" w:rsidR="00820672" w:rsidRPr="00B47AB1" w:rsidRDefault="00820672" w:rsidP="00754357">
            <w:pPr>
              <w:pStyle w:val="NormalWeb"/>
              <w:spacing w:before="120" w:beforeAutospacing="0" w:after="120" w:afterAutospacing="0"/>
              <w:jc w:val="both"/>
              <w:textAlignment w:val="baseline"/>
              <w:rPr>
                <w:rStyle w:val="markedcontent"/>
              </w:rPr>
            </w:pPr>
            <w:r w:rsidRPr="00E52012">
              <w:rPr>
                <w:spacing w:val="-2"/>
                <w:szCs w:val="28"/>
              </w:rPr>
              <w:t>Thông tư liên tịch số 27/2015/TTLT-BCT-BCAVKSNDTC-TANDTC ngày 17 tháng 8 năm 2015 của Bộ trưởng Bộ Công Thương, Bộ trưởng Bộ Công an, Viện trưởng Viện Kiểm sát nhân dân tối cao và Chánh án Tòa án nhân dân tối cao hướng dẫn chuyển hồ sơ vụ trộm cắp điện để truy cứu trách nhiệm hình sự</w:t>
            </w:r>
          </w:p>
        </w:tc>
        <w:tc>
          <w:tcPr>
            <w:tcW w:w="10092" w:type="dxa"/>
          </w:tcPr>
          <w:p w14:paraId="55D12B8B" w14:textId="77777777" w:rsidR="00820672" w:rsidRDefault="00820672" w:rsidP="00C13F58">
            <w:pPr>
              <w:pStyle w:val="NormalWeb"/>
              <w:spacing w:before="120" w:beforeAutospacing="0" w:after="120" w:afterAutospacing="0"/>
              <w:jc w:val="both"/>
              <w:textAlignment w:val="baseline"/>
            </w:pPr>
            <w:r w:rsidRPr="00B47AB1">
              <w:t xml:space="preserve">- Căn cứ khoản 2 Điều 44 (Nghị định số 134/2013/NĐCP, Bộ Công Thương chủ trì, phối hợp với Bộ Công an, Viện kiểm sát nhân dân tối cao, Tòa án nhân dân tối cao ban hành Thông tư liên tịch số 27/2015/TTLT-BCTBCA-VKSNDTC-TANDTC. Tuy nhiên, tại khoản 38 Điều 2 Nghị định số 17/2022/NĐ-CP đã không giao Bộ Công Thương chủ trì, phối hợp với Bộ Công an, Viện kiểm sát nhân dân tối cao, Tòa án nhân dân tối cao hướng dẫn nội dung chuyển hồ sơ vụ trộm cắp điện để truy cứu trách nhiệm hình sự. </w:t>
            </w:r>
          </w:p>
          <w:p w14:paraId="1ABFF098" w14:textId="77777777" w:rsidR="00820672" w:rsidRDefault="00820672" w:rsidP="00C13F58">
            <w:pPr>
              <w:pStyle w:val="NormalWeb"/>
              <w:spacing w:before="120" w:beforeAutospacing="0" w:after="120" w:afterAutospacing="0"/>
              <w:jc w:val="both"/>
              <w:textAlignment w:val="baseline"/>
            </w:pPr>
            <w:r w:rsidRPr="00B47AB1">
              <w:t>- Căn cứ ban hành Thông tư liên tịch số 27/2015/TTLTBCT-BCA-VKSNDTC-TANDTC đã hết hiệu lực thi hành (Bộ luật hình sự năm 1999; Luật sửa đổi, bổ sung một số điều của Bộ luật hình sự năm 2009; Bộ luật tố tụng hình sự năm 2003).</w:t>
            </w:r>
          </w:p>
          <w:p w14:paraId="7DB2CD7D" w14:textId="2AC80D86" w:rsidR="00820672" w:rsidRPr="00B47AB1" w:rsidRDefault="00820672" w:rsidP="00C13F58">
            <w:pPr>
              <w:pStyle w:val="NormalWeb"/>
              <w:spacing w:before="120" w:beforeAutospacing="0" w:after="120" w:afterAutospacing="0"/>
              <w:jc w:val="both"/>
              <w:textAlignment w:val="baseline"/>
            </w:pPr>
            <w:r>
              <w:t xml:space="preserve">- Tại Mục II Phụ lục IV (số thứ tự 20) của Báo cóa 2654/BC-UBTP14 ngày 20/8/2020 của Ủy ban Tư pháp, Ủy ban Tư pháp của Quốc hội khóa XIV đã đề nghị bãi bỏ toàn bộ </w:t>
            </w:r>
            <w:r w:rsidRPr="00E52012">
              <w:rPr>
                <w:spacing w:val="-2"/>
                <w:szCs w:val="28"/>
              </w:rPr>
              <w:t>Thông tư liên tịch số 27/2015/TTLT-BCT-BCAVKSNDTC-TANDTC</w:t>
            </w:r>
            <w:r>
              <w:rPr>
                <w:spacing w:val="-2"/>
                <w:szCs w:val="28"/>
              </w:rPr>
              <w:t xml:space="preserve"> vì nội dung hướng dẫn (Điều 173 Bộ luật Hình sự) đã được sửa đổi, bổ sung.</w:t>
            </w:r>
          </w:p>
        </w:tc>
      </w:tr>
      <w:tr w:rsidR="00820672" w:rsidRPr="00B47AB1" w14:paraId="2C9B7370" w14:textId="77777777" w:rsidTr="00820672">
        <w:tc>
          <w:tcPr>
            <w:tcW w:w="746" w:type="dxa"/>
          </w:tcPr>
          <w:p w14:paraId="2718F5ED" w14:textId="77777777" w:rsidR="00820672" w:rsidRPr="00B47AB1" w:rsidRDefault="00820672" w:rsidP="00857F21">
            <w:pPr>
              <w:pStyle w:val="NormalWeb"/>
              <w:numPr>
                <w:ilvl w:val="0"/>
                <w:numId w:val="2"/>
              </w:numPr>
              <w:spacing w:before="120" w:beforeAutospacing="0" w:after="120" w:afterAutospacing="0"/>
              <w:jc w:val="center"/>
              <w:textAlignment w:val="baseline"/>
              <w:rPr>
                <w:bCs/>
              </w:rPr>
            </w:pPr>
          </w:p>
        </w:tc>
        <w:tc>
          <w:tcPr>
            <w:tcW w:w="3649" w:type="dxa"/>
          </w:tcPr>
          <w:p w14:paraId="039F489D" w14:textId="414B6848" w:rsidR="00820672" w:rsidRPr="00B47AB1" w:rsidRDefault="00820672" w:rsidP="00C13F58">
            <w:pPr>
              <w:pStyle w:val="NormalWeb"/>
              <w:spacing w:before="120" w:beforeAutospacing="0" w:after="120" w:afterAutospacing="0"/>
              <w:jc w:val="both"/>
              <w:textAlignment w:val="baseline"/>
              <w:rPr>
                <w:rStyle w:val="markedcontent"/>
              </w:rPr>
            </w:pPr>
            <w:r w:rsidRPr="00AC6507">
              <w:rPr>
                <w:szCs w:val="28"/>
              </w:rPr>
              <w:t>Thông tư số 06/2012/TT-BCT ngày 27 tháng 3 năm 2012</w:t>
            </w:r>
            <w:r>
              <w:rPr>
                <w:szCs w:val="28"/>
              </w:rPr>
              <w:t xml:space="preserve"> của Bộ trưởng Bộ Công Thương</w:t>
            </w:r>
            <w:r w:rsidRPr="00AC6507">
              <w:rPr>
                <w:szCs w:val="28"/>
              </w:rPr>
              <w:t xml:space="preserve"> quy định chi tiết trình tự, thủ tục cấp phép thành lập và hoạt động văn phòng đại diện của tổ chức xúc tiến thương mại nước ngoài tại Việt Nam</w:t>
            </w:r>
          </w:p>
        </w:tc>
        <w:tc>
          <w:tcPr>
            <w:tcW w:w="10092" w:type="dxa"/>
          </w:tcPr>
          <w:p w14:paraId="10B15567" w14:textId="77777777" w:rsidR="00820672" w:rsidRPr="00B47AB1" w:rsidRDefault="00820672" w:rsidP="00C13F58">
            <w:pPr>
              <w:pStyle w:val="NormalWeb"/>
              <w:spacing w:before="120" w:beforeAutospacing="0" w:after="120" w:afterAutospacing="0"/>
              <w:jc w:val="both"/>
              <w:textAlignment w:val="baseline"/>
            </w:pPr>
            <w:r w:rsidRPr="00B47AB1">
              <w:t>Nghị định 100/2011/NĐ-CP ngày 28 tháng 10 năm 2011 quy định về thành lập và hoạt động văn phòng đại diện của tổ chức xúc tiến thương mại nước ngoài tại Việt Nam (Thông tư số 06/2012/TT-BCT là VBQPPL hướng dẫn Nghị định 100/2011/NĐ-CP) đã được thay thế, bãi bỏ bởi Nghị định số 28/2018/NĐ-CP ngày 01 tháng 3 năm 2018 của Chính phủ quy định chi tiết Luật Quản lý ngoại thương về một số biện pháp phát triển ngoại thương.</w:t>
            </w:r>
          </w:p>
          <w:p w14:paraId="7E2603E4" w14:textId="77777777" w:rsidR="00820672" w:rsidRPr="00B47AB1" w:rsidRDefault="00820672" w:rsidP="00C13F58">
            <w:pPr>
              <w:pStyle w:val="NormalWeb"/>
              <w:spacing w:before="120" w:beforeAutospacing="0" w:after="120" w:afterAutospacing="0"/>
              <w:jc w:val="both"/>
              <w:textAlignment w:val="baseline"/>
            </w:pPr>
            <w:r w:rsidRPr="00B47AB1">
              <w:t>Nội dung của các quy định tại Thông tư số 06/2012/TT-BCT đã được thay thế bởi Nghị định số 28/2018/NĐ-CP.</w:t>
            </w:r>
          </w:p>
        </w:tc>
      </w:tr>
      <w:tr w:rsidR="00820672" w:rsidRPr="00B47AB1" w14:paraId="4ECACD3A" w14:textId="77777777" w:rsidTr="00820672">
        <w:tc>
          <w:tcPr>
            <w:tcW w:w="746" w:type="dxa"/>
          </w:tcPr>
          <w:p w14:paraId="62A85C7D" w14:textId="77777777" w:rsidR="00820672" w:rsidRPr="00B47AB1" w:rsidRDefault="00820672" w:rsidP="00857F21">
            <w:pPr>
              <w:pStyle w:val="NormalWeb"/>
              <w:numPr>
                <w:ilvl w:val="0"/>
                <w:numId w:val="2"/>
              </w:numPr>
              <w:spacing w:before="120" w:beforeAutospacing="0" w:after="120" w:afterAutospacing="0"/>
              <w:jc w:val="center"/>
              <w:textAlignment w:val="baseline"/>
              <w:rPr>
                <w:bCs/>
              </w:rPr>
            </w:pPr>
          </w:p>
        </w:tc>
        <w:tc>
          <w:tcPr>
            <w:tcW w:w="3649" w:type="dxa"/>
          </w:tcPr>
          <w:p w14:paraId="6FF10837" w14:textId="453EA2D5" w:rsidR="00820672" w:rsidRPr="00B47AB1" w:rsidRDefault="00820672" w:rsidP="00C13F58">
            <w:pPr>
              <w:pStyle w:val="NormalWeb"/>
              <w:spacing w:before="120" w:beforeAutospacing="0" w:after="120" w:afterAutospacing="0"/>
              <w:jc w:val="both"/>
              <w:textAlignment w:val="baseline"/>
              <w:rPr>
                <w:rStyle w:val="markedcontent"/>
              </w:rPr>
            </w:pPr>
            <w:r w:rsidRPr="00AC6507">
              <w:rPr>
                <w:szCs w:val="28"/>
              </w:rPr>
              <w:t>Thông tư liên tịch số 29/20</w:t>
            </w:r>
            <w:r>
              <w:rPr>
                <w:szCs w:val="28"/>
              </w:rPr>
              <w:t xml:space="preserve">11/TTLT-BCT-BTC ngày 04 tháng 8 năm 2011 </w:t>
            </w:r>
            <w:r w:rsidRPr="00AC6507">
              <w:rPr>
                <w:szCs w:val="28"/>
              </w:rPr>
              <w:t xml:space="preserve">của </w:t>
            </w:r>
            <w:r w:rsidRPr="00490C6C">
              <w:rPr>
                <w:bCs/>
                <w:color w:val="000000"/>
                <w:szCs w:val="28"/>
              </w:rPr>
              <w:t xml:space="preserve">Bộ trưởng </w:t>
            </w:r>
            <w:r w:rsidRPr="00AC6507">
              <w:rPr>
                <w:szCs w:val="28"/>
              </w:rPr>
              <w:t>Bộ Công Thương</w:t>
            </w:r>
            <w:r>
              <w:rPr>
                <w:szCs w:val="28"/>
              </w:rPr>
              <w:t xml:space="preserve"> và</w:t>
            </w:r>
            <w:r w:rsidRPr="00E52012">
              <w:rPr>
                <w:bCs/>
                <w:color w:val="000000"/>
                <w:szCs w:val="28"/>
              </w:rPr>
              <w:t xml:space="preserve"> </w:t>
            </w:r>
            <w:r w:rsidRPr="00490C6C">
              <w:rPr>
                <w:bCs/>
                <w:color w:val="000000"/>
                <w:szCs w:val="28"/>
              </w:rPr>
              <w:t>Bộ trưởng</w:t>
            </w:r>
            <w:r w:rsidRPr="00AC6507">
              <w:rPr>
                <w:szCs w:val="28"/>
              </w:rPr>
              <w:t xml:space="preserve"> Bộ Tài chính hướng dẫn tổ chức phối hợp kiểm tra giữa cơ quan Quản lý thị trường và cơ quan Quản lý giá</w:t>
            </w:r>
          </w:p>
        </w:tc>
        <w:tc>
          <w:tcPr>
            <w:tcW w:w="10092" w:type="dxa"/>
          </w:tcPr>
          <w:p w14:paraId="0CD519E6" w14:textId="77777777" w:rsidR="00820672" w:rsidRPr="00B47AB1" w:rsidRDefault="00820672" w:rsidP="00C13F58">
            <w:pPr>
              <w:pStyle w:val="NormalWeb"/>
              <w:shd w:val="clear" w:color="auto" w:fill="FFFFFF"/>
              <w:spacing w:before="120" w:beforeAutospacing="0" w:after="120" w:afterAutospacing="0"/>
              <w:jc w:val="both"/>
            </w:pPr>
            <w:r w:rsidRPr="00B47AB1">
              <w:t>- Căn cứ ban hành đã hết hiệu lực</w:t>
            </w:r>
          </w:p>
          <w:p w14:paraId="664F4007" w14:textId="77777777" w:rsidR="00820672" w:rsidRPr="00B47AB1" w:rsidRDefault="00820672" w:rsidP="00C13F58">
            <w:pPr>
              <w:pStyle w:val="NormalWeb"/>
              <w:spacing w:before="120" w:beforeAutospacing="0" w:after="120" w:afterAutospacing="0"/>
              <w:jc w:val="both"/>
              <w:textAlignment w:val="baseline"/>
            </w:pPr>
            <w:r w:rsidRPr="00B47AB1">
              <w:t>- Cơ quan Quản lý thị trường theo quy định tại Thông tư liên tịch không còn phù hợp với mô hình tổ chức lực lượng Quản lý thị trường ngành dọc</w:t>
            </w:r>
          </w:p>
        </w:tc>
      </w:tr>
      <w:tr w:rsidR="00820672" w:rsidRPr="00B47AB1" w14:paraId="500E8191" w14:textId="77777777" w:rsidTr="00820672">
        <w:tc>
          <w:tcPr>
            <w:tcW w:w="746" w:type="dxa"/>
          </w:tcPr>
          <w:p w14:paraId="55301C69" w14:textId="77777777" w:rsidR="00820672" w:rsidRPr="00B47AB1" w:rsidRDefault="00820672" w:rsidP="00857F21">
            <w:pPr>
              <w:pStyle w:val="NormalWeb"/>
              <w:numPr>
                <w:ilvl w:val="0"/>
                <w:numId w:val="2"/>
              </w:numPr>
              <w:spacing w:before="120" w:beforeAutospacing="0" w:after="120" w:afterAutospacing="0"/>
              <w:jc w:val="center"/>
              <w:textAlignment w:val="baseline"/>
              <w:rPr>
                <w:bCs/>
              </w:rPr>
            </w:pPr>
          </w:p>
        </w:tc>
        <w:tc>
          <w:tcPr>
            <w:tcW w:w="3649" w:type="dxa"/>
          </w:tcPr>
          <w:p w14:paraId="31BEC907" w14:textId="043B8A23" w:rsidR="00820672" w:rsidRPr="00B47AB1" w:rsidRDefault="00820672" w:rsidP="00C13F58">
            <w:pPr>
              <w:pStyle w:val="NormalWeb"/>
              <w:spacing w:before="120" w:beforeAutospacing="0" w:after="120" w:afterAutospacing="0"/>
              <w:jc w:val="both"/>
              <w:textAlignment w:val="baseline"/>
            </w:pPr>
            <w:r w:rsidRPr="00AC6507">
              <w:rPr>
                <w:szCs w:val="28"/>
              </w:rPr>
              <w:t>Thông tư liên tịch số 36/2012/TTLT-BCT-BCA</w:t>
            </w:r>
            <w:r>
              <w:rPr>
                <w:szCs w:val="28"/>
              </w:rPr>
              <w:t xml:space="preserve">-BTP-BYT-TANDTC-VKSNDTC ngày 07 tháng 12 năm </w:t>
            </w:r>
            <w:r w:rsidRPr="00AC6507">
              <w:rPr>
                <w:szCs w:val="28"/>
              </w:rPr>
              <w:t>2012 của</w:t>
            </w:r>
            <w:r w:rsidRPr="00E52012">
              <w:rPr>
                <w:bCs/>
                <w:color w:val="000000"/>
                <w:szCs w:val="28"/>
              </w:rPr>
              <w:t xml:space="preserve"> </w:t>
            </w:r>
            <w:r w:rsidRPr="00490C6C">
              <w:rPr>
                <w:bCs/>
                <w:color w:val="000000"/>
                <w:szCs w:val="28"/>
              </w:rPr>
              <w:t>Bộ trưởng</w:t>
            </w:r>
            <w:r w:rsidRPr="00AC6507">
              <w:rPr>
                <w:szCs w:val="28"/>
              </w:rPr>
              <w:t xml:space="preserve"> Bộ Công Thương, </w:t>
            </w:r>
            <w:r w:rsidRPr="00490C6C">
              <w:rPr>
                <w:bCs/>
                <w:color w:val="000000"/>
                <w:szCs w:val="28"/>
              </w:rPr>
              <w:t xml:space="preserve">Bộ trưởng </w:t>
            </w:r>
            <w:r w:rsidRPr="00AC6507">
              <w:rPr>
                <w:szCs w:val="28"/>
              </w:rPr>
              <w:t xml:space="preserve">Bộ Công an, </w:t>
            </w:r>
            <w:r w:rsidRPr="00490C6C">
              <w:rPr>
                <w:bCs/>
                <w:color w:val="000000"/>
                <w:szCs w:val="28"/>
              </w:rPr>
              <w:t xml:space="preserve">Bộ trưởng </w:t>
            </w:r>
            <w:r w:rsidRPr="00AC6507">
              <w:rPr>
                <w:szCs w:val="28"/>
              </w:rPr>
              <w:t xml:space="preserve">Bộ Tư pháp, </w:t>
            </w:r>
            <w:r w:rsidRPr="00490C6C">
              <w:rPr>
                <w:bCs/>
                <w:color w:val="000000"/>
                <w:szCs w:val="28"/>
              </w:rPr>
              <w:t xml:space="preserve">Bộ trưởng </w:t>
            </w:r>
            <w:r w:rsidRPr="00AC6507">
              <w:rPr>
                <w:szCs w:val="28"/>
              </w:rPr>
              <w:t>Bộ Y tế,</w:t>
            </w:r>
            <w:r>
              <w:rPr>
                <w:szCs w:val="28"/>
              </w:rPr>
              <w:t xml:space="preserve"> Chánh án</w:t>
            </w:r>
            <w:r w:rsidRPr="00AC6507">
              <w:rPr>
                <w:szCs w:val="28"/>
              </w:rPr>
              <w:t xml:space="preserve"> Tòa án nhân dân tối cao, </w:t>
            </w:r>
            <w:r>
              <w:rPr>
                <w:szCs w:val="28"/>
              </w:rPr>
              <w:t xml:space="preserve">Viện trưởng </w:t>
            </w:r>
            <w:r w:rsidRPr="00AC6507">
              <w:rPr>
                <w:szCs w:val="28"/>
              </w:rPr>
              <w:t>Viện kiểm sát nhân dân tối cao hướng dẫn xử lý vi phạm về kinh doanh rượu nhập lậu, sản phẩm thuốc lá và nguyên liệu thuốc lá nhập lậu</w:t>
            </w:r>
          </w:p>
        </w:tc>
        <w:tc>
          <w:tcPr>
            <w:tcW w:w="10092" w:type="dxa"/>
          </w:tcPr>
          <w:p w14:paraId="7F32E60F" w14:textId="77777777" w:rsidR="00820672" w:rsidRPr="00B47AB1" w:rsidRDefault="00820672" w:rsidP="00C13F58">
            <w:pPr>
              <w:widowControl w:val="0"/>
              <w:spacing w:before="120" w:after="120"/>
              <w:jc w:val="both"/>
            </w:pPr>
            <w:r w:rsidRPr="00B47AB1">
              <w:t>* Căn cứ ban hành hết hiệu lực</w:t>
            </w:r>
          </w:p>
          <w:p w14:paraId="5EB0C974" w14:textId="77777777" w:rsidR="00820672" w:rsidRPr="00B47AB1" w:rsidRDefault="00820672" w:rsidP="00C13F58">
            <w:pPr>
              <w:widowControl w:val="0"/>
              <w:spacing w:before="120" w:after="120"/>
              <w:jc w:val="both"/>
            </w:pPr>
            <w:r w:rsidRPr="00B47AB1">
              <w:t xml:space="preserve">* Các nội dung hướng dẫn tại Thông tư liên tịch </w:t>
            </w:r>
            <w:r w:rsidRPr="00B47AB1">
              <w:rPr>
                <w:lang w:val="vi-VN"/>
              </w:rPr>
              <w:t xml:space="preserve">không còn phù hợp với các văn bản quy phạm </w:t>
            </w:r>
            <w:r w:rsidRPr="00B47AB1">
              <w:t xml:space="preserve">pháp luật hiện hành </w:t>
            </w:r>
          </w:p>
          <w:p w14:paraId="3F2D58A8" w14:textId="595BF255" w:rsidR="00820672" w:rsidRPr="00B47AB1" w:rsidRDefault="00820672" w:rsidP="00C13F58">
            <w:pPr>
              <w:widowControl w:val="0"/>
              <w:spacing w:before="120" w:after="120"/>
              <w:jc w:val="both"/>
            </w:pPr>
            <w:r w:rsidRPr="00B47AB1">
              <w:t>- Về thẩm quyền quy định hành vi vi phạm hành chính, hình thức xử phạt, biện pháp khắc phục hậu quả, thẩm quyền xử phạt do Chính phủ quy định</w:t>
            </w:r>
            <w:r>
              <w:t>.</w:t>
            </w:r>
          </w:p>
          <w:p w14:paraId="49AF05FD" w14:textId="78A66A5C" w:rsidR="00820672" w:rsidRPr="00B47AB1" w:rsidRDefault="00820672" w:rsidP="00C13F58">
            <w:pPr>
              <w:widowControl w:val="0"/>
              <w:spacing w:before="120" w:after="120"/>
              <w:jc w:val="both"/>
            </w:pPr>
            <w:r w:rsidRPr="00B47AB1">
              <w:t>- Về số lượng bao thuốc lá điếu nhập lậu bị truy cứu trách nhiệm hình sự: Bộ luật hình sự mới đã có quy định cụ thể số lượng bao thuốc lá điếu nhập lậu làm căn cứ xử lý hình sự; trong khi đó quy định của Bộ luật hình sự năm 1999 chỉ quy dịnh mang định lượng chung là “số lượng lớn” dẫn đến phải có văn bản hướng dẫn chi tiết là Thông tư liên tịch số 36/2012/TTLT-BCT-BCA-BTP-BYT-TANDTC-VKSNDTC</w:t>
            </w:r>
            <w:r>
              <w:t>.</w:t>
            </w:r>
            <w:r w:rsidRPr="00B47AB1">
              <w:t xml:space="preserve"> </w:t>
            </w:r>
          </w:p>
          <w:p w14:paraId="5A859665" w14:textId="2D8D62AA" w:rsidR="00820672" w:rsidRPr="00B47AB1" w:rsidRDefault="00820672" w:rsidP="00C13F58">
            <w:pPr>
              <w:pStyle w:val="NormalWeb"/>
              <w:spacing w:before="120" w:beforeAutospacing="0" w:after="120" w:afterAutospacing="0"/>
              <w:jc w:val="both"/>
              <w:textAlignment w:val="baseline"/>
            </w:pPr>
            <w:r w:rsidRPr="00B47AB1">
              <w:t>- Về quy định xử lý đối với tang vật, phương tiện vi phạm hành chính bị tịch thu: được thực hiện theo quy định của pháp luật về quản lý, xử lý tài sản được xác lập quyền sở hữu toàn dân</w:t>
            </w:r>
            <w:r>
              <w:t>.</w:t>
            </w:r>
          </w:p>
        </w:tc>
      </w:tr>
      <w:tr w:rsidR="00820672" w:rsidRPr="00B47AB1" w14:paraId="6602A11A" w14:textId="77777777" w:rsidTr="00820672">
        <w:tc>
          <w:tcPr>
            <w:tcW w:w="746" w:type="dxa"/>
          </w:tcPr>
          <w:p w14:paraId="578D6AB2" w14:textId="77777777" w:rsidR="00820672" w:rsidRPr="00B47AB1" w:rsidRDefault="00820672" w:rsidP="00857F21">
            <w:pPr>
              <w:pStyle w:val="NormalWeb"/>
              <w:numPr>
                <w:ilvl w:val="0"/>
                <w:numId w:val="2"/>
              </w:numPr>
              <w:spacing w:before="120" w:beforeAutospacing="0" w:after="120" w:afterAutospacing="0"/>
              <w:jc w:val="center"/>
              <w:textAlignment w:val="baseline"/>
              <w:rPr>
                <w:bCs/>
              </w:rPr>
            </w:pPr>
          </w:p>
        </w:tc>
        <w:tc>
          <w:tcPr>
            <w:tcW w:w="3649" w:type="dxa"/>
          </w:tcPr>
          <w:p w14:paraId="67431264" w14:textId="102A4772" w:rsidR="00820672" w:rsidRPr="00B47AB1" w:rsidRDefault="00820672" w:rsidP="00C13F58">
            <w:pPr>
              <w:pStyle w:val="NormalWeb"/>
              <w:spacing w:before="120" w:beforeAutospacing="0" w:after="120" w:afterAutospacing="0"/>
              <w:jc w:val="both"/>
              <w:textAlignment w:val="baseline"/>
            </w:pPr>
            <w:r>
              <w:rPr>
                <w:iCs/>
                <w:szCs w:val="28"/>
              </w:rPr>
              <w:t xml:space="preserve">Quyết định số 2453/2005/QĐ-BTM ngày 03 tháng 10 năm </w:t>
            </w:r>
            <w:r w:rsidRPr="00AC6507">
              <w:rPr>
                <w:iCs/>
                <w:szCs w:val="28"/>
              </w:rPr>
              <w:t>2005 của</w:t>
            </w:r>
            <w:r w:rsidRPr="00E52012">
              <w:rPr>
                <w:bCs/>
                <w:color w:val="000000"/>
                <w:szCs w:val="28"/>
              </w:rPr>
              <w:t xml:space="preserve"> </w:t>
            </w:r>
            <w:r w:rsidRPr="00490C6C">
              <w:rPr>
                <w:bCs/>
                <w:color w:val="000000"/>
                <w:szCs w:val="28"/>
              </w:rPr>
              <w:t>Bộ trưởng</w:t>
            </w:r>
            <w:r w:rsidRPr="00AC6507">
              <w:rPr>
                <w:iCs/>
                <w:szCs w:val="28"/>
              </w:rPr>
              <w:t xml:space="preserve"> Bộ Thương mại về việc ban </w:t>
            </w:r>
            <w:r w:rsidRPr="00AC6507">
              <w:rPr>
                <w:iCs/>
                <w:szCs w:val="28"/>
              </w:rPr>
              <w:lastRenderedPageBreak/>
              <w:t>hà</w:t>
            </w:r>
            <w:r>
              <w:rPr>
                <w:iCs/>
                <w:szCs w:val="28"/>
              </w:rPr>
              <w:t>nh Q</w:t>
            </w:r>
            <w:r w:rsidRPr="00AC6507">
              <w:rPr>
                <w:iCs/>
                <w:szCs w:val="28"/>
              </w:rPr>
              <w:t>uy chế bồi dưỡng tiền công vụ đối với công chức Quản lý thị trường</w:t>
            </w:r>
          </w:p>
        </w:tc>
        <w:tc>
          <w:tcPr>
            <w:tcW w:w="10092" w:type="dxa"/>
          </w:tcPr>
          <w:p w14:paraId="13257D78" w14:textId="77777777" w:rsidR="00820672" w:rsidRPr="00B47AB1" w:rsidRDefault="00820672" w:rsidP="00C13F58">
            <w:pPr>
              <w:widowControl w:val="0"/>
              <w:spacing w:before="120" w:after="120"/>
              <w:jc w:val="both"/>
            </w:pPr>
            <w:r w:rsidRPr="00B47AB1">
              <w:lastRenderedPageBreak/>
              <w:t>- Căn cứ ban hành hết hiệu lực</w:t>
            </w:r>
          </w:p>
          <w:p w14:paraId="204B10BB" w14:textId="77777777" w:rsidR="00820672" w:rsidRPr="00B47AB1" w:rsidRDefault="00820672" w:rsidP="00C13F58">
            <w:pPr>
              <w:pStyle w:val="NormalWeb"/>
              <w:spacing w:before="120" w:beforeAutospacing="0" w:after="120" w:afterAutospacing="0"/>
              <w:jc w:val="both"/>
              <w:textAlignment w:val="baseline"/>
            </w:pPr>
            <w:r w:rsidRPr="00B47AB1">
              <w:lastRenderedPageBreak/>
              <w:t xml:space="preserve">- Không còn phù hợp với các quy định của Nghị định số 101/2017/NĐ-CP (sửa đổi, bổ sung tại Nghị định số 89/2021/NĐ-CP) về hình thức, nội dung, chương trình, chứng chỉ bồi dưỡng </w:t>
            </w:r>
          </w:p>
        </w:tc>
      </w:tr>
      <w:tr w:rsidR="00820672" w:rsidRPr="00B47AB1" w14:paraId="256F7919" w14:textId="77777777" w:rsidTr="00820672">
        <w:tc>
          <w:tcPr>
            <w:tcW w:w="746" w:type="dxa"/>
          </w:tcPr>
          <w:p w14:paraId="0DEB42BB" w14:textId="77777777" w:rsidR="00820672" w:rsidRPr="00B47AB1" w:rsidRDefault="00820672" w:rsidP="00857F21">
            <w:pPr>
              <w:pStyle w:val="NormalWeb"/>
              <w:numPr>
                <w:ilvl w:val="0"/>
                <w:numId w:val="2"/>
              </w:numPr>
              <w:spacing w:before="120" w:beforeAutospacing="0" w:after="120" w:afterAutospacing="0"/>
              <w:jc w:val="center"/>
              <w:textAlignment w:val="baseline"/>
              <w:rPr>
                <w:bCs/>
              </w:rPr>
            </w:pPr>
          </w:p>
        </w:tc>
        <w:tc>
          <w:tcPr>
            <w:tcW w:w="3649" w:type="dxa"/>
          </w:tcPr>
          <w:p w14:paraId="156BC313" w14:textId="473A0610" w:rsidR="00820672" w:rsidRPr="00B47AB1" w:rsidRDefault="00820672" w:rsidP="00C13F58">
            <w:pPr>
              <w:pStyle w:val="NormalWeb"/>
              <w:spacing w:before="120" w:beforeAutospacing="0" w:after="120" w:afterAutospacing="0"/>
              <w:jc w:val="both"/>
              <w:textAlignment w:val="baseline"/>
            </w:pPr>
            <w:r w:rsidRPr="00AC6507">
              <w:rPr>
                <w:iCs/>
                <w:szCs w:val="28"/>
              </w:rPr>
              <w:t xml:space="preserve">Quyết </w:t>
            </w:r>
            <w:r w:rsidRPr="008863C2">
              <w:rPr>
                <w:iCs/>
                <w:szCs w:val="28"/>
                <w:shd w:val="clear" w:color="auto" w:fill="FFFFFF"/>
              </w:rPr>
              <w:t xml:space="preserve">định số </w:t>
            </w:r>
            <w:hyperlink r:id="rId8" w:tgtFrame="_blank" w:history="1">
              <w:r w:rsidRPr="008863C2">
                <w:rPr>
                  <w:iCs/>
                </w:rPr>
                <w:t>1310/2003/QĐ-BTM</w:t>
              </w:r>
            </w:hyperlink>
            <w:r w:rsidRPr="008863C2">
              <w:rPr>
                <w:iCs/>
                <w:szCs w:val="28"/>
                <w:shd w:val="clear" w:color="auto" w:fill="FFFFFF"/>
              </w:rPr>
              <w:t xml:space="preserve"> </w:t>
            </w:r>
            <w:r w:rsidRPr="009A25AE">
              <w:rPr>
                <w:iCs/>
                <w:szCs w:val="28"/>
                <w:shd w:val="clear" w:color="auto" w:fill="FFFFFF"/>
              </w:rPr>
              <w:t xml:space="preserve">ngày 14 tháng 10 năm 2003 của </w:t>
            </w:r>
            <w:r w:rsidRPr="008863C2">
              <w:rPr>
                <w:iCs/>
                <w:szCs w:val="28"/>
                <w:shd w:val="clear" w:color="auto" w:fill="FFFFFF"/>
              </w:rPr>
              <w:t xml:space="preserve">Bộ trưởng </w:t>
            </w:r>
            <w:r w:rsidRPr="009A25AE">
              <w:rPr>
                <w:iCs/>
                <w:szCs w:val="28"/>
                <w:shd w:val="clear" w:color="auto" w:fill="FFFFFF"/>
              </w:rPr>
              <w:t>Bộ Thương</w:t>
            </w:r>
            <w:r w:rsidRPr="00AC6507">
              <w:rPr>
                <w:iCs/>
                <w:szCs w:val="28"/>
                <w:shd w:val="clear" w:color="auto" w:fill="FFFFFF"/>
              </w:rPr>
              <w:t xml:space="preserve"> mại </w:t>
            </w:r>
            <w:bookmarkStart w:id="1" w:name="loai_1_name"/>
            <w:r w:rsidRPr="008863C2">
              <w:rPr>
                <w:iCs/>
                <w:szCs w:val="28"/>
                <w:shd w:val="clear" w:color="auto" w:fill="FFFFFF"/>
              </w:rPr>
              <w:t>về việc ban hành Quy định thi</w:t>
            </w:r>
            <w:r w:rsidRPr="00AC6507">
              <w:rPr>
                <w:szCs w:val="28"/>
                <w:shd w:val="clear" w:color="auto" w:fill="FFFFFF"/>
              </w:rPr>
              <w:t xml:space="preserve"> nâng ngạch kiểm soát viên thị trường lên kiểm soát viên chính thị trường</w:t>
            </w:r>
            <w:bookmarkEnd w:id="1"/>
          </w:p>
        </w:tc>
        <w:tc>
          <w:tcPr>
            <w:tcW w:w="10092" w:type="dxa"/>
          </w:tcPr>
          <w:p w14:paraId="622759C9" w14:textId="77777777" w:rsidR="00820672" w:rsidRPr="00B47AB1" w:rsidRDefault="00820672" w:rsidP="00C13F58">
            <w:pPr>
              <w:widowControl w:val="0"/>
              <w:spacing w:before="120" w:after="120"/>
              <w:jc w:val="both"/>
            </w:pPr>
            <w:r w:rsidRPr="00B47AB1">
              <w:t>- Căn cứ ban hành hết hiệu lực</w:t>
            </w:r>
          </w:p>
          <w:p w14:paraId="1AAC6277" w14:textId="77777777" w:rsidR="00820672" w:rsidRPr="00B47AB1" w:rsidRDefault="00820672" w:rsidP="00C13F58">
            <w:pPr>
              <w:widowControl w:val="0"/>
              <w:spacing w:before="120" w:after="120"/>
              <w:jc w:val="both"/>
            </w:pPr>
            <w:r w:rsidRPr="00B47AB1">
              <w:t xml:space="preserve">- Không còn phù hợp với các quy định của Nghị định 138/2020/NĐ-CP </w:t>
            </w:r>
            <w:r w:rsidRPr="00B47AB1">
              <w:rPr>
                <w:iCs/>
                <w:shd w:val="clear" w:color="auto" w:fill="FFFFFF"/>
              </w:rPr>
              <w:t xml:space="preserve">ngày 27 tháng 11 năm 2020 của Chính phủ </w:t>
            </w:r>
            <w:r w:rsidRPr="00B47AB1">
              <w:rPr>
                <w:iCs/>
                <w:shd w:val="clear" w:color="auto" w:fill="FFFFFF"/>
                <w:lang w:val="vi-VN"/>
              </w:rPr>
              <w:t>quy định về tuyển dụng, sử dụng và quản lý công chức</w:t>
            </w:r>
          </w:p>
          <w:p w14:paraId="624A3F07" w14:textId="77777777" w:rsidR="00820672" w:rsidRPr="00B47AB1" w:rsidRDefault="00820672" w:rsidP="00C13F58">
            <w:pPr>
              <w:pStyle w:val="NormalWeb"/>
              <w:spacing w:before="120" w:beforeAutospacing="0" w:after="120" w:afterAutospacing="0"/>
              <w:jc w:val="both"/>
              <w:textAlignment w:val="baseline"/>
            </w:pPr>
            <w:r w:rsidRPr="00B47AB1">
              <w:t xml:space="preserve">- Nôi dung </w:t>
            </w:r>
            <w:r w:rsidRPr="00B47AB1">
              <w:rPr>
                <w:shd w:val="clear" w:color="auto" w:fill="FFFFFF"/>
              </w:rPr>
              <w:t xml:space="preserve">yêu cầu dự thi nâng ngạch lên ngạch Kiểm soát viên chính thị trường </w:t>
            </w:r>
            <w:r w:rsidRPr="00B47AB1">
              <w:t xml:space="preserve">đã được quy định tại khoản 5 Điều 6 Thông tư số 02/2022/TT-BCT </w:t>
            </w:r>
            <w:r w:rsidRPr="00B47AB1">
              <w:rPr>
                <w:iCs/>
                <w:shd w:val="clear" w:color="auto" w:fill="FFFFFF"/>
              </w:rPr>
              <w:t xml:space="preserve">của Bộ trưởng Bộ Công Thương </w:t>
            </w:r>
            <w:r w:rsidRPr="00B47AB1">
              <w:rPr>
                <w:iCs/>
                <w:shd w:val="clear" w:color="auto" w:fill="FFFFFF"/>
                <w:lang w:val="vi-VN"/>
              </w:rPr>
              <w:t>quy định mã số, tiêu chuẩn chuyên môn, nghiệp vụ và xếp lương đối với các ngạch công chức Quản lý thị trường.</w:t>
            </w:r>
          </w:p>
        </w:tc>
      </w:tr>
      <w:tr w:rsidR="00820672" w:rsidRPr="00B47AB1" w14:paraId="59B4D435" w14:textId="77777777" w:rsidTr="00820672">
        <w:tc>
          <w:tcPr>
            <w:tcW w:w="746" w:type="dxa"/>
          </w:tcPr>
          <w:p w14:paraId="40858CF3" w14:textId="77777777" w:rsidR="00820672" w:rsidRPr="00B47AB1" w:rsidRDefault="00820672" w:rsidP="00857F21">
            <w:pPr>
              <w:pStyle w:val="NormalWeb"/>
              <w:numPr>
                <w:ilvl w:val="0"/>
                <w:numId w:val="2"/>
              </w:numPr>
              <w:spacing w:before="120" w:beforeAutospacing="0" w:after="120" w:afterAutospacing="0"/>
              <w:jc w:val="center"/>
              <w:textAlignment w:val="baseline"/>
              <w:rPr>
                <w:bCs/>
              </w:rPr>
            </w:pPr>
          </w:p>
        </w:tc>
        <w:tc>
          <w:tcPr>
            <w:tcW w:w="3649" w:type="dxa"/>
          </w:tcPr>
          <w:p w14:paraId="5E7D0A16" w14:textId="4BB87177" w:rsidR="00820672" w:rsidRPr="00B47AB1" w:rsidRDefault="00820672" w:rsidP="00C13F58">
            <w:pPr>
              <w:pStyle w:val="NormalWeb"/>
              <w:spacing w:before="120" w:beforeAutospacing="0" w:after="120" w:afterAutospacing="0"/>
              <w:jc w:val="both"/>
              <w:textAlignment w:val="baseline"/>
            </w:pPr>
            <w:r w:rsidRPr="009A25AE">
              <w:rPr>
                <w:szCs w:val="28"/>
              </w:rPr>
              <w:t xml:space="preserve">Thông tư số 23/2014/TT-BCT ngày 25 tháng 7 năm 2014 của Bộ trưởng Bộ Công Thương về việc quy định trình tự lập, thẩm định và phê duyệt Hợp đồng thiết kế, </w:t>
            </w:r>
            <w:r>
              <w:rPr>
                <w:szCs w:val="28"/>
              </w:rPr>
              <w:t>chế tạo trong nước thiết bị phụ</w:t>
            </w:r>
            <w:r w:rsidRPr="009A25AE">
              <w:rPr>
                <w:szCs w:val="28"/>
              </w:rPr>
              <w:t xml:space="preserve"> nhà máy nhiệt điện</w:t>
            </w:r>
          </w:p>
        </w:tc>
        <w:tc>
          <w:tcPr>
            <w:tcW w:w="10092" w:type="dxa"/>
          </w:tcPr>
          <w:p w14:paraId="7DF8D697" w14:textId="77777777" w:rsidR="00820672" w:rsidRPr="00B47AB1" w:rsidRDefault="00820672" w:rsidP="00C13F58">
            <w:pPr>
              <w:pStyle w:val="NormalWeb"/>
              <w:spacing w:before="120" w:beforeAutospacing="0" w:after="120" w:afterAutospacing="0"/>
              <w:jc w:val="both"/>
              <w:textAlignment w:val="baseline"/>
            </w:pPr>
            <w:r w:rsidRPr="00B47AB1">
              <w:t>Tại Quyết định số 1791/QĐ-TTg ngày 29 tháng 11 năm 2012 về việc phê duyệt cơ chế thực hiện thí điểm thiết kế, chế tạo trong nước thiết bị các nhà máy nhiệt điện (NMNĐ) trong giai đoạn 2012-2025 để thí điểm với 3 dự án: Sông Hậu 1, Quỳnh Lập 1, Quảng Trạch 1 (Quyết định số 1791/QĐ-TTg), Thủ tướng Chính phủ giao Bộ Công Thương:</w:t>
            </w:r>
          </w:p>
          <w:p w14:paraId="4E4D4E93" w14:textId="77777777" w:rsidR="00820672" w:rsidRPr="00B47AB1" w:rsidRDefault="00820672" w:rsidP="00C13F58">
            <w:pPr>
              <w:pStyle w:val="NormalWeb"/>
              <w:spacing w:before="120" w:beforeAutospacing="0" w:after="120" w:afterAutospacing="0"/>
              <w:jc w:val="both"/>
              <w:textAlignment w:val="baseline"/>
            </w:pPr>
            <w:r w:rsidRPr="00B47AB1">
              <w:t>+ Quy định trình tự, thủ tục lập, thẩm định và phê duyệt hợp đồng thiết kế và tạo trong nước các thiết bị phụ NMNĐ.</w:t>
            </w:r>
          </w:p>
          <w:p w14:paraId="06CC30A7" w14:textId="77777777" w:rsidR="00820672" w:rsidRPr="00B47AB1" w:rsidRDefault="00820672" w:rsidP="00C13F58">
            <w:pPr>
              <w:pStyle w:val="NormalWeb"/>
              <w:spacing w:before="120" w:beforeAutospacing="0" w:after="120" w:afterAutospacing="0"/>
              <w:jc w:val="both"/>
              <w:textAlignment w:val="baseline"/>
            </w:pPr>
            <w:r w:rsidRPr="00B47AB1">
              <w:t>+ Thông qua kế hoạch đấu thầu các dự án NMNĐ thực hiện theo cơ chế tại Quyết định số 1791/QĐ-TTg.</w:t>
            </w:r>
          </w:p>
          <w:p w14:paraId="62732293" w14:textId="77777777" w:rsidR="00820672" w:rsidRPr="00B47AB1" w:rsidRDefault="00820672" w:rsidP="00C13F58">
            <w:pPr>
              <w:pStyle w:val="NormalWeb"/>
              <w:spacing w:before="120" w:beforeAutospacing="0" w:after="120" w:afterAutospacing="0"/>
              <w:jc w:val="both"/>
              <w:textAlignment w:val="baseline"/>
            </w:pPr>
            <w:r w:rsidRPr="00B47AB1">
              <w:t>Thực hiện nhiệm vụ của Thủ tướng Chính phủ, Bộ Công Thương đã ban hành Thông tư số 23/2014/TT-BCT ngày 25 tháng 7 năm 2014 về việc quy định trình tự lập, thẩm định và phê duyệt Hợp đồng thiết kế, chế tạo trong nước thiết bị phụ NMNĐ.</w:t>
            </w:r>
          </w:p>
          <w:p w14:paraId="76024C2C" w14:textId="77777777" w:rsidR="00820672" w:rsidRPr="00B47AB1" w:rsidRDefault="00820672" w:rsidP="00C13F58">
            <w:pPr>
              <w:pStyle w:val="NormalWeb"/>
              <w:spacing w:before="120" w:beforeAutospacing="0" w:after="120" w:afterAutospacing="0"/>
              <w:jc w:val="both"/>
              <w:textAlignment w:val="baseline"/>
            </w:pPr>
            <w:r w:rsidRPr="00B47AB1">
              <w:t>Theo Thông tư số 23/2014/TT-BCT quy định trách nhiệm của Bộ Công Thương: i) Thông qua kế hoạch đấu thầu 3 dự án NMNĐ thực hiện thí điểm theo Quyết định số 1791/QĐ-TTg; ii) Thông qua hợp đồng thiết kế chế tạo thiết bị phụ NMNĐ.</w:t>
            </w:r>
          </w:p>
          <w:p w14:paraId="51312DF8" w14:textId="77777777" w:rsidR="00820672" w:rsidRPr="00B47AB1" w:rsidRDefault="00820672" w:rsidP="00C13F58">
            <w:pPr>
              <w:pStyle w:val="NormalWeb"/>
              <w:spacing w:before="120" w:beforeAutospacing="0" w:after="120" w:afterAutospacing="0"/>
              <w:jc w:val="both"/>
              <w:textAlignment w:val="baseline"/>
            </w:pPr>
            <w:r w:rsidRPr="00B47AB1">
              <w:t xml:space="preserve">Khi thực hiện, các Dự án NMNĐ Sông Hậu 1 và Quảng Trạch 1 đã thực hiện theo mô hình tổng thầu EPC theo chỉ đạo của Thủ tướng Chính phủ và không áp dụng các quy định tại Thông tư nêu trên. Về Dự án NMNĐ Quỳnh Lập 1, Bộ Công Thương đang đề xuất loại bỏ khỏi Quy hoạch điện VIII . </w:t>
            </w:r>
          </w:p>
          <w:p w14:paraId="66BD51D7" w14:textId="77777777" w:rsidR="00820672" w:rsidRPr="00B47AB1" w:rsidRDefault="00820672" w:rsidP="00C13F58">
            <w:pPr>
              <w:pStyle w:val="NormalWeb"/>
              <w:spacing w:before="120" w:beforeAutospacing="0" w:after="120" w:afterAutospacing="0"/>
              <w:jc w:val="both"/>
              <w:textAlignment w:val="baseline"/>
            </w:pPr>
            <w:r w:rsidRPr="00B47AB1">
              <w:t xml:space="preserve">Như vậy, sẽ không có dự án nào thực hiện theo Quyết định số 1791/QĐ-TTg và Thông tư số 23/2014/TT-BCT. </w:t>
            </w:r>
          </w:p>
        </w:tc>
      </w:tr>
      <w:tr w:rsidR="00820672" w:rsidRPr="00B47AB1" w14:paraId="212D7145" w14:textId="77777777" w:rsidTr="00820672">
        <w:tc>
          <w:tcPr>
            <w:tcW w:w="746" w:type="dxa"/>
          </w:tcPr>
          <w:p w14:paraId="093DD41E" w14:textId="77777777" w:rsidR="00820672" w:rsidRPr="00B47AB1" w:rsidRDefault="00820672" w:rsidP="00857F21">
            <w:pPr>
              <w:pStyle w:val="NormalWeb"/>
              <w:numPr>
                <w:ilvl w:val="0"/>
                <w:numId w:val="2"/>
              </w:numPr>
              <w:spacing w:before="120" w:beforeAutospacing="0" w:after="120" w:afterAutospacing="0"/>
              <w:jc w:val="center"/>
              <w:textAlignment w:val="baseline"/>
              <w:rPr>
                <w:bCs/>
              </w:rPr>
            </w:pPr>
          </w:p>
        </w:tc>
        <w:tc>
          <w:tcPr>
            <w:tcW w:w="3649" w:type="dxa"/>
          </w:tcPr>
          <w:p w14:paraId="23FF34BA" w14:textId="7287293B" w:rsidR="00820672" w:rsidRPr="00B47AB1" w:rsidRDefault="00820672" w:rsidP="00C13F58">
            <w:pPr>
              <w:pStyle w:val="NormalWeb"/>
              <w:spacing w:before="120" w:beforeAutospacing="0" w:after="120" w:afterAutospacing="0"/>
              <w:jc w:val="both"/>
              <w:textAlignment w:val="baseline"/>
            </w:pPr>
            <w:r w:rsidRPr="00473644">
              <w:rPr>
                <w:szCs w:val="28"/>
              </w:rPr>
              <w:t>Thông tư số 43/2014/TT-BCT ngày 19 tháng 11 năm 2014 của Bộ trưởng Bộ Công Thương về việc quy định nội dung, trình tự, thủ tục lập, thẩm định và phê duyệt Quy hoạch địa điểm xây dựng Trung tâm điện lực</w:t>
            </w:r>
          </w:p>
        </w:tc>
        <w:tc>
          <w:tcPr>
            <w:tcW w:w="10092" w:type="dxa"/>
          </w:tcPr>
          <w:p w14:paraId="10969565" w14:textId="77777777" w:rsidR="00820672" w:rsidRPr="00B47AB1" w:rsidRDefault="00820672" w:rsidP="00C13F58">
            <w:pPr>
              <w:pStyle w:val="NormalWeb"/>
              <w:spacing w:before="120" w:beforeAutospacing="0" w:after="120" w:afterAutospacing="0"/>
              <w:jc w:val="both"/>
              <w:textAlignment w:val="baseline"/>
            </w:pPr>
            <w:r w:rsidRPr="00B47AB1">
              <w:t xml:space="preserve">Theo Luật Quy hoạch số 21/2017/QH14, có hiệu lực thi hành từ ngày 01 tháng 01 năm 2019, thì Quy hoạch địa điểm Trung tâm điện lực không có tên trong Danh mục các quy hoạch ngành quốc gia và các quy hoạch có tính chất kỹ thuật, chuyên ngành được ban hành kèm theo Luật Quy hoạch số 21/2017/QH14. </w:t>
            </w:r>
          </w:p>
          <w:p w14:paraId="7BEE04A7" w14:textId="77777777" w:rsidR="00820672" w:rsidRPr="00B47AB1" w:rsidRDefault="00820672" w:rsidP="00C13F58">
            <w:pPr>
              <w:pStyle w:val="NormalWeb"/>
              <w:spacing w:before="120" w:beforeAutospacing="0" w:after="120" w:afterAutospacing="0"/>
              <w:jc w:val="both"/>
              <w:textAlignment w:val="baseline"/>
            </w:pPr>
            <w:r w:rsidRPr="00B47AB1">
              <w:t>Như vậy, Quy hoạch địa điểm xây dựng Trung tâm điện lực không còn phù hợp với Luật Quy hoạch và sẽ không được thực hiện lập, thẩm định, phê duyệt theo quy định tại Thông tư số 43/2014/TT-BCT sau khi Luật Quy hoạch có hiệu lực.</w:t>
            </w:r>
          </w:p>
        </w:tc>
      </w:tr>
      <w:tr w:rsidR="00820672" w:rsidRPr="00AC5241" w14:paraId="2A9B43FF" w14:textId="77777777" w:rsidTr="00820672">
        <w:tc>
          <w:tcPr>
            <w:tcW w:w="746" w:type="dxa"/>
          </w:tcPr>
          <w:p w14:paraId="675F3630" w14:textId="77777777" w:rsidR="00820672" w:rsidRPr="00AC5241" w:rsidRDefault="00820672" w:rsidP="00857F21">
            <w:pPr>
              <w:pStyle w:val="NormalWeb"/>
              <w:numPr>
                <w:ilvl w:val="0"/>
                <w:numId w:val="2"/>
              </w:numPr>
              <w:spacing w:before="120" w:beforeAutospacing="0" w:after="120" w:afterAutospacing="0"/>
              <w:jc w:val="center"/>
              <w:textAlignment w:val="baseline"/>
              <w:rPr>
                <w:bCs/>
              </w:rPr>
            </w:pPr>
          </w:p>
        </w:tc>
        <w:tc>
          <w:tcPr>
            <w:tcW w:w="3649" w:type="dxa"/>
          </w:tcPr>
          <w:p w14:paraId="4AAEAC46" w14:textId="77777777" w:rsidR="00820672" w:rsidRPr="00AC5241" w:rsidRDefault="00820672" w:rsidP="00C13F58">
            <w:pPr>
              <w:pStyle w:val="NormalWeb"/>
              <w:spacing w:before="120" w:beforeAutospacing="0" w:after="120" w:afterAutospacing="0"/>
              <w:jc w:val="both"/>
              <w:textAlignment w:val="baseline"/>
            </w:pPr>
            <w:r w:rsidRPr="00AC5241">
              <w:rPr>
                <w:lang w:val="pt-BR"/>
              </w:rPr>
              <w:t>Thông tư số 28/2011/TT-BCT ngày 21 tháng 7 năm 2011 của Bộ trưởng Bộ Công Thương về việc hướng dẫn quản lý kinh doanh xăng dầu tại khu vực biên giới</w:t>
            </w:r>
          </w:p>
        </w:tc>
        <w:tc>
          <w:tcPr>
            <w:tcW w:w="10092" w:type="dxa"/>
          </w:tcPr>
          <w:p w14:paraId="2A13D54B" w14:textId="77777777" w:rsidR="00820672" w:rsidRPr="00AC5241" w:rsidRDefault="00820672" w:rsidP="00C13F58">
            <w:pPr>
              <w:pStyle w:val="NormalWeb"/>
              <w:spacing w:before="120" w:beforeAutospacing="0" w:after="120" w:afterAutospacing="0"/>
              <w:jc w:val="both"/>
              <w:textAlignment w:val="baseline"/>
            </w:pPr>
            <w:r w:rsidRPr="00AC5241">
              <w:rPr>
                <w:lang w:val="pt-BR"/>
              </w:rPr>
              <w:t>Thông tư hướng dẫn Khoản 3 Điều 5 Nghị định số 84/2009/NĐ-CP ngày 15 tháng 10 năm 2009 của Chính phủ về kinh doanh xăng dầu, tuy nhiên, Nghị định 84/2009/NĐ-CP đã hết hiệu lực thi hành từ ngày 01 tháng 11 năm 2014.</w:t>
            </w:r>
          </w:p>
        </w:tc>
      </w:tr>
    </w:tbl>
    <w:p w14:paraId="680BC9EA" w14:textId="77777777" w:rsidR="0049249F" w:rsidRPr="00DC050B" w:rsidRDefault="0049249F" w:rsidP="0049249F">
      <w:pPr>
        <w:pStyle w:val="NormalWeb"/>
        <w:spacing w:before="0" w:beforeAutospacing="0" w:after="0" w:afterAutospacing="0"/>
        <w:jc w:val="both"/>
        <w:textAlignment w:val="baseline"/>
        <w:rPr>
          <w:color w:val="000000" w:themeColor="text1"/>
        </w:rPr>
      </w:pPr>
    </w:p>
    <w:sectPr w:rsidR="0049249F" w:rsidRPr="00DC050B" w:rsidSect="00473644">
      <w:headerReference w:type="default" r:id="rId9"/>
      <w:pgSz w:w="16840" w:h="11907" w:orient="landscape" w:code="9"/>
      <w:pgMar w:top="1135"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8800B" w14:textId="77777777" w:rsidR="00750255" w:rsidRDefault="00750255" w:rsidP="00E27DE1">
      <w:r>
        <w:separator/>
      </w:r>
    </w:p>
  </w:endnote>
  <w:endnote w:type="continuationSeparator" w:id="0">
    <w:p w14:paraId="7BD05CFF" w14:textId="77777777" w:rsidR="00750255" w:rsidRDefault="00750255" w:rsidP="00E2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16488" w14:textId="77777777" w:rsidR="00750255" w:rsidRDefault="00750255" w:rsidP="00E27DE1">
      <w:r>
        <w:separator/>
      </w:r>
    </w:p>
  </w:footnote>
  <w:footnote w:type="continuationSeparator" w:id="0">
    <w:p w14:paraId="313CB431" w14:textId="77777777" w:rsidR="00750255" w:rsidRDefault="00750255" w:rsidP="00E27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268062"/>
      <w:docPartObj>
        <w:docPartGallery w:val="Page Numbers (Top of Page)"/>
        <w:docPartUnique/>
      </w:docPartObj>
    </w:sdtPr>
    <w:sdtEndPr>
      <w:rPr>
        <w:noProof/>
      </w:rPr>
    </w:sdtEndPr>
    <w:sdtContent>
      <w:p w14:paraId="3C8CDEEB" w14:textId="6CC8C06E" w:rsidR="00BC73C9" w:rsidRDefault="00B1475C">
        <w:pPr>
          <w:pStyle w:val="Header"/>
          <w:jc w:val="center"/>
        </w:pPr>
        <w:r>
          <w:fldChar w:fldCharType="begin"/>
        </w:r>
        <w:r>
          <w:instrText xml:space="preserve"> PAGE   \* MERGEFORMAT </w:instrText>
        </w:r>
        <w:r>
          <w:fldChar w:fldCharType="separate"/>
        </w:r>
        <w:r w:rsidR="00653783">
          <w:rPr>
            <w:noProof/>
          </w:rPr>
          <w:t>7</w:t>
        </w:r>
        <w:r>
          <w:rPr>
            <w:noProof/>
          </w:rPr>
          <w:fldChar w:fldCharType="end"/>
        </w:r>
      </w:p>
    </w:sdtContent>
  </w:sdt>
  <w:p w14:paraId="0350C24E" w14:textId="77777777" w:rsidR="00BC73C9" w:rsidRDefault="007502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3D9B"/>
    <w:multiLevelType w:val="hybridMultilevel"/>
    <w:tmpl w:val="26A0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C1969"/>
    <w:multiLevelType w:val="hybridMultilevel"/>
    <w:tmpl w:val="F74A602C"/>
    <w:lvl w:ilvl="0" w:tplc="D7741CD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9F"/>
    <w:rsid w:val="00047AA9"/>
    <w:rsid w:val="00047B1D"/>
    <w:rsid w:val="00065907"/>
    <w:rsid w:val="00083365"/>
    <w:rsid w:val="000A5C93"/>
    <w:rsid w:val="000B202D"/>
    <w:rsid w:val="000C2297"/>
    <w:rsid w:val="000C61E3"/>
    <w:rsid w:val="000D3BA2"/>
    <w:rsid w:val="000F413D"/>
    <w:rsid w:val="00120C6D"/>
    <w:rsid w:val="00151B0E"/>
    <w:rsid w:val="0016723B"/>
    <w:rsid w:val="00187982"/>
    <w:rsid w:val="001A4627"/>
    <w:rsid w:val="001B6BF8"/>
    <w:rsid w:val="001C6244"/>
    <w:rsid w:val="001F25B5"/>
    <w:rsid w:val="00207196"/>
    <w:rsid w:val="002E55F6"/>
    <w:rsid w:val="0030652E"/>
    <w:rsid w:val="003547A6"/>
    <w:rsid w:val="003904ED"/>
    <w:rsid w:val="003D2B08"/>
    <w:rsid w:val="003E4253"/>
    <w:rsid w:val="0043110E"/>
    <w:rsid w:val="0045578A"/>
    <w:rsid w:val="00462DA7"/>
    <w:rsid w:val="00473644"/>
    <w:rsid w:val="0049249F"/>
    <w:rsid w:val="004B3CBE"/>
    <w:rsid w:val="004F06D0"/>
    <w:rsid w:val="005007C1"/>
    <w:rsid w:val="00511FFE"/>
    <w:rsid w:val="0053101E"/>
    <w:rsid w:val="00597011"/>
    <w:rsid w:val="005C0F2C"/>
    <w:rsid w:val="005D6E41"/>
    <w:rsid w:val="005F0634"/>
    <w:rsid w:val="00653783"/>
    <w:rsid w:val="0068456E"/>
    <w:rsid w:val="006976E1"/>
    <w:rsid w:val="006E2BE4"/>
    <w:rsid w:val="006E4BDD"/>
    <w:rsid w:val="00721572"/>
    <w:rsid w:val="00750255"/>
    <w:rsid w:val="00754357"/>
    <w:rsid w:val="007916DB"/>
    <w:rsid w:val="00820672"/>
    <w:rsid w:val="00833585"/>
    <w:rsid w:val="00855042"/>
    <w:rsid w:val="00857F21"/>
    <w:rsid w:val="008863C2"/>
    <w:rsid w:val="009271A5"/>
    <w:rsid w:val="0093248E"/>
    <w:rsid w:val="00956F7B"/>
    <w:rsid w:val="00985096"/>
    <w:rsid w:val="009902D8"/>
    <w:rsid w:val="009A25AE"/>
    <w:rsid w:val="009E1EDF"/>
    <w:rsid w:val="00A26E1F"/>
    <w:rsid w:val="00A6094C"/>
    <w:rsid w:val="00AA397E"/>
    <w:rsid w:val="00AC6507"/>
    <w:rsid w:val="00B1475C"/>
    <w:rsid w:val="00BD7F4F"/>
    <w:rsid w:val="00BE7716"/>
    <w:rsid w:val="00BF336D"/>
    <w:rsid w:val="00C1718A"/>
    <w:rsid w:val="00C775C1"/>
    <w:rsid w:val="00C82DCD"/>
    <w:rsid w:val="00CC1057"/>
    <w:rsid w:val="00D6618F"/>
    <w:rsid w:val="00D76FBC"/>
    <w:rsid w:val="00DC050B"/>
    <w:rsid w:val="00DC5794"/>
    <w:rsid w:val="00E27DE1"/>
    <w:rsid w:val="00E4311D"/>
    <w:rsid w:val="00E4397E"/>
    <w:rsid w:val="00E707D6"/>
    <w:rsid w:val="00EC20CD"/>
    <w:rsid w:val="00F21C42"/>
    <w:rsid w:val="00F614CE"/>
    <w:rsid w:val="00FA225F"/>
    <w:rsid w:val="00FB7E69"/>
    <w:rsid w:val="00FC2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96B1"/>
  <w15:chartTrackingRefBased/>
  <w15:docId w15:val="{43A08112-1CC0-4DAE-9C7F-E078D06F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4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4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49249F"/>
    <w:pPr>
      <w:spacing w:before="100" w:beforeAutospacing="1" w:after="100" w:afterAutospacing="1"/>
    </w:pPr>
  </w:style>
  <w:style w:type="paragraph" w:styleId="Header">
    <w:name w:val="header"/>
    <w:basedOn w:val="Normal"/>
    <w:link w:val="HeaderChar"/>
    <w:uiPriority w:val="99"/>
    <w:unhideWhenUsed/>
    <w:rsid w:val="0049249F"/>
    <w:pPr>
      <w:tabs>
        <w:tab w:val="center" w:pos="4680"/>
        <w:tab w:val="right" w:pos="9360"/>
      </w:tabs>
    </w:pPr>
  </w:style>
  <w:style w:type="character" w:customStyle="1" w:styleId="HeaderChar">
    <w:name w:val="Header Char"/>
    <w:basedOn w:val="DefaultParagraphFont"/>
    <w:link w:val="Header"/>
    <w:uiPriority w:val="99"/>
    <w:rsid w:val="0049249F"/>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E27DE1"/>
    <w:pPr>
      <w:ind w:left="284"/>
      <w:jc w:val="both"/>
    </w:pPr>
    <w:rPr>
      <w:sz w:val="26"/>
      <w:szCs w:val="20"/>
      <w:lang w:val="x-none" w:eastAsia="x-none"/>
    </w:rPr>
  </w:style>
  <w:style w:type="character" w:customStyle="1" w:styleId="BodyTextIndentChar">
    <w:name w:val="Body Text Indent Char"/>
    <w:basedOn w:val="DefaultParagraphFont"/>
    <w:link w:val="BodyTextIndent"/>
    <w:rsid w:val="00E27DE1"/>
    <w:rPr>
      <w:rFonts w:ascii="Times New Roman" w:eastAsia="Times New Roman" w:hAnsi="Times New Roman" w:cs="Times New Roman"/>
      <w:sz w:val="26"/>
      <w:szCs w:val="20"/>
      <w:lang w:val="x-none" w:eastAsia="x-none"/>
    </w:rPr>
  </w:style>
  <w:style w:type="paragraph" w:styleId="Footer">
    <w:name w:val="footer"/>
    <w:basedOn w:val="Normal"/>
    <w:link w:val="FooterChar"/>
    <w:uiPriority w:val="99"/>
    <w:unhideWhenUsed/>
    <w:rsid w:val="00E27DE1"/>
    <w:pPr>
      <w:tabs>
        <w:tab w:val="center" w:pos="4680"/>
        <w:tab w:val="right" w:pos="9360"/>
      </w:tabs>
    </w:pPr>
  </w:style>
  <w:style w:type="character" w:customStyle="1" w:styleId="FooterChar">
    <w:name w:val="Footer Char"/>
    <w:basedOn w:val="DefaultParagraphFont"/>
    <w:link w:val="Footer"/>
    <w:uiPriority w:val="99"/>
    <w:rsid w:val="00E27DE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7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DE1"/>
    <w:rPr>
      <w:rFonts w:ascii="Segoe UI" w:eastAsia="Times New Roman" w:hAnsi="Segoe UI" w:cs="Segoe UI"/>
      <w:sz w:val="18"/>
      <w:szCs w:val="18"/>
    </w:rPr>
  </w:style>
  <w:style w:type="character" w:customStyle="1" w:styleId="markedcontent">
    <w:name w:val="markedcontent"/>
    <w:rsid w:val="00187982"/>
  </w:style>
  <w:style w:type="character" w:styleId="Hyperlink">
    <w:name w:val="Hyperlink"/>
    <w:basedOn w:val="DefaultParagraphFont"/>
    <w:uiPriority w:val="99"/>
    <w:semiHidden/>
    <w:unhideWhenUsed/>
    <w:rsid w:val="006E4B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ttrongtay.vn/ViewFullText?DocumentNo=1310/2003/Q%C4%90-B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A47F4-223A-482E-A7E0-8732F456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7</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Khải</dc:creator>
  <cp:keywords/>
  <dc:description/>
  <cp:lastModifiedBy>P.TH</cp:lastModifiedBy>
  <cp:revision>32</cp:revision>
  <cp:lastPrinted>2022-06-07T08:23:00Z</cp:lastPrinted>
  <dcterms:created xsi:type="dcterms:W3CDTF">2021-06-17T08:12:00Z</dcterms:created>
  <dcterms:modified xsi:type="dcterms:W3CDTF">2022-06-07T08:24:00Z</dcterms:modified>
</cp:coreProperties>
</file>