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D78" w14:textId="2FD2FAC7" w:rsidR="00FD3174" w:rsidRPr="00621D0D" w:rsidRDefault="00FD3174" w:rsidP="00621D0D">
      <w:pPr>
        <w:spacing w:beforeLines="40" w:before="96" w:afterLines="40" w:after="96" w:line="264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D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GÓP Ý DỰ THẢO</w:t>
      </w:r>
      <w:r w:rsidRPr="00621D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 w:rsidRPr="00621D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VỀ</w:t>
      </w:r>
      <w:r w:rsidR="005A694F" w:rsidRPr="00621D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DỰ THẢO LUẬT GIAO DỊCH ĐIỆN TỬ</w:t>
      </w:r>
      <w:r w:rsidR="00C451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(“DỰ THẢO 3”)</w:t>
      </w:r>
    </w:p>
    <w:p w14:paraId="5F645D3B" w14:textId="77777777" w:rsidR="00FD3174" w:rsidRPr="00621D0D" w:rsidRDefault="00FD3174" w:rsidP="00621D0D">
      <w:pPr>
        <w:spacing w:beforeLines="40" w:before="96" w:afterLines="40" w:after="96" w:line="264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Chuẩn</w:t>
      </w:r>
      <w:proofErr w:type="spellEnd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bị</w:t>
      </w:r>
      <w:proofErr w:type="spellEnd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bởi</w:t>
      </w:r>
      <w:proofErr w:type="spellEnd"/>
    </w:p>
    <w:p w14:paraId="28599C11" w14:textId="77777777" w:rsidR="00FD3174" w:rsidRPr="00621D0D" w:rsidRDefault="00FD3174" w:rsidP="00621D0D">
      <w:pPr>
        <w:spacing w:beforeLines="40" w:before="96" w:afterLines="40" w:after="96" w:line="264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Nhóm</w:t>
      </w:r>
      <w:proofErr w:type="spellEnd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công</w:t>
      </w:r>
      <w:proofErr w:type="spellEnd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tác</w:t>
      </w:r>
      <w:proofErr w:type="spellEnd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Ngân</w:t>
      </w:r>
      <w:proofErr w:type="spellEnd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hàng</w:t>
      </w:r>
      <w:proofErr w:type="spellEnd"/>
      <w:r w:rsidRPr="00621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(“BWG”)</w:t>
      </w:r>
    </w:p>
    <w:p w14:paraId="10C506C7" w14:textId="77777777" w:rsidR="00FD3174" w:rsidRPr="00621D0D" w:rsidRDefault="00FD3174" w:rsidP="00621D0D">
      <w:pPr>
        <w:spacing w:beforeLines="40" w:before="96" w:afterLines="40" w:after="96" w:line="264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410"/>
        <w:gridCol w:w="5632"/>
        <w:gridCol w:w="6645"/>
      </w:tblGrid>
      <w:tr w:rsidR="00CE2A4D" w:rsidRPr="00621D0D" w14:paraId="5EECC3AB" w14:textId="77777777" w:rsidTr="00CE2A4D">
        <w:tc>
          <w:tcPr>
            <w:tcW w:w="244" w:type="pct"/>
            <w:vAlign w:val="center"/>
          </w:tcPr>
          <w:p w14:paraId="71A1C885" w14:textId="77777777" w:rsidR="00CE2A4D" w:rsidRPr="00621D0D" w:rsidRDefault="00CE2A4D" w:rsidP="00621D0D">
            <w:pPr>
              <w:spacing w:beforeLines="40" w:before="96" w:afterLines="40" w:after="96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STT</w:t>
            </w:r>
          </w:p>
        </w:tc>
        <w:tc>
          <w:tcPr>
            <w:tcW w:w="490" w:type="pct"/>
            <w:vAlign w:val="center"/>
          </w:tcPr>
          <w:p w14:paraId="66969A6A" w14:textId="77777777" w:rsidR="00CE2A4D" w:rsidRPr="00621D0D" w:rsidRDefault="00CE2A4D" w:rsidP="00621D0D">
            <w:pPr>
              <w:spacing w:beforeLines="40" w:before="96" w:afterLines="40" w:after="96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khoản</w:t>
            </w:r>
            <w:proofErr w:type="spellEnd"/>
          </w:p>
        </w:tc>
        <w:tc>
          <w:tcPr>
            <w:tcW w:w="1957" w:type="pct"/>
          </w:tcPr>
          <w:p w14:paraId="3AAEB757" w14:textId="77777777" w:rsidR="00CE2A4D" w:rsidRPr="00621D0D" w:rsidRDefault="00CE2A4D" w:rsidP="00621D0D">
            <w:pPr>
              <w:spacing w:beforeLines="40" w:before="96" w:afterLines="40" w:after="96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Nội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dung</w:t>
            </w:r>
          </w:p>
        </w:tc>
        <w:tc>
          <w:tcPr>
            <w:tcW w:w="2309" w:type="pct"/>
            <w:vAlign w:val="center"/>
          </w:tcPr>
          <w:p w14:paraId="5BBC4E7C" w14:textId="77777777" w:rsidR="00CE2A4D" w:rsidRPr="00621D0D" w:rsidRDefault="00CE2A4D" w:rsidP="00621D0D">
            <w:pPr>
              <w:spacing w:beforeLines="40" w:before="96" w:afterLines="40" w:after="96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Kiến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nghị</w:t>
            </w:r>
            <w:proofErr w:type="spellEnd"/>
          </w:p>
        </w:tc>
      </w:tr>
      <w:tr w:rsidR="00CE2A4D" w:rsidRPr="00621D0D" w14:paraId="0E5DFA93" w14:textId="77777777" w:rsidTr="00CE2A4D">
        <w:tc>
          <w:tcPr>
            <w:tcW w:w="244" w:type="pct"/>
            <w:vAlign w:val="center"/>
          </w:tcPr>
          <w:p w14:paraId="62F13303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0C78A084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</w:t>
            </w:r>
          </w:p>
          <w:p w14:paraId="5A3EE756" w14:textId="24AFD014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1c</w:t>
            </w:r>
          </w:p>
        </w:tc>
        <w:tc>
          <w:tcPr>
            <w:tcW w:w="1957" w:type="pct"/>
            <w:vAlign w:val="center"/>
          </w:tcPr>
          <w:p w14:paraId="31DBE494" w14:textId="08BAC5FF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đổi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hình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liêu</w:t>
            </w:r>
            <w:proofErr w:type="spellEnd"/>
          </w:p>
          <w:p w14:paraId="5BDCC247" w14:textId="40193E7A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như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gốc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nếu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ứng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</w:p>
          <w:p w14:paraId="3A3DA1A3" w14:textId="68C0928C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đã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bổ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sung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thêm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khẳng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hình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2309" w:type="pct"/>
            <w:vAlign w:val="center"/>
          </w:tcPr>
          <w:p w14:paraId="52797B83" w14:textId="77777777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TT&amp;TT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xem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xét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tờ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hình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A8F351A" w14:textId="260615A7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hình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như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chụp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ảnh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scan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14:paraId="72F4F040" w14:textId="53A39BC4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Ngược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lại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TT&amp;TT</w:t>
            </w:r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đang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thần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bỏ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96ECA6C" w14:textId="578B21FF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TT&amp;TT</w:t>
            </w:r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4302643E" w14:textId="77777777" w:rsidTr="00CE2A4D">
        <w:trPr>
          <w:trHeight w:val="993"/>
        </w:trPr>
        <w:tc>
          <w:tcPr>
            <w:tcW w:w="244" w:type="pct"/>
            <w:vAlign w:val="center"/>
          </w:tcPr>
          <w:p w14:paraId="39ACAC11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1141BE31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</w:t>
            </w:r>
          </w:p>
          <w:p w14:paraId="6BA21024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</w:p>
          <w:p w14:paraId="3051EB02" w14:textId="4B59E108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957" w:type="pct"/>
            <w:vAlign w:val="center"/>
          </w:tcPr>
          <w:p w14:paraId="1621B7A2" w14:textId="77777777" w:rsidR="00CE2A4D" w:rsidRPr="00642997" w:rsidRDefault="00CE2A4D" w:rsidP="00642997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15.1. 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đổi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</w:p>
          <w:p w14:paraId="268E7F5F" w14:textId="77777777" w:rsidR="00CE2A4D" w:rsidRPr="00642997" w:rsidRDefault="00CE2A4D" w:rsidP="00642997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dung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giống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như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gốc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nhiên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thường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âm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âm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Vậy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gốc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3B917DC" w14:textId="77777777" w:rsidR="00CE2A4D" w:rsidRPr="00642997" w:rsidRDefault="00CE2A4D" w:rsidP="00642997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D51D2D" w14:textId="77777777" w:rsidR="00CE2A4D" w:rsidRPr="00642997" w:rsidRDefault="00CE2A4D" w:rsidP="00642997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15.2.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đổi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hữu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đổi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1B1759B" w14:textId="40CD2169" w:rsidR="00CE2A4D" w:rsidRPr="00621D0D" w:rsidRDefault="00CE2A4D" w:rsidP="00642997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thường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đổi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/in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một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tờ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những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bao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gồm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tuân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sẽ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hiện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sẽ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rất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nhiều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Theo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tôi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thẩm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quyền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đóng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đủ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đảm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rằng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tờ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lệ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9" w:type="pct"/>
            <w:vAlign w:val="center"/>
          </w:tcPr>
          <w:p w14:paraId="1A0091DD" w14:textId="77777777" w:rsidR="00CE2A4D" w:rsidRPr="00642997" w:rsidRDefault="00CE2A4D" w:rsidP="00642997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qui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FF998E5" w14:textId="22E88954" w:rsidR="00CE2A4D" w:rsidRPr="00621D0D" w:rsidRDefault="00CE2A4D" w:rsidP="00642997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phép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thẩm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quyền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đóng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đủ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đảm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rằng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tờ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lệ</w:t>
            </w:r>
            <w:proofErr w:type="spellEnd"/>
            <w:r w:rsidRPr="00642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127AD9DC" w14:textId="77777777" w:rsidTr="00CE2A4D">
        <w:trPr>
          <w:trHeight w:val="709"/>
        </w:trPr>
        <w:tc>
          <w:tcPr>
            <w:tcW w:w="244" w:type="pct"/>
            <w:vAlign w:val="center"/>
          </w:tcPr>
          <w:p w14:paraId="1526E669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1EDC1B4D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18</w:t>
            </w:r>
          </w:p>
          <w:p w14:paraId="106216E0" w14:textId="70047DD2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2b</w:t>
            </w:r>
          </w:p>
        </w:tc>
        <w:tc>
          <w:tcPr>
            <w:tcW w:w="1957" w:type="pct"/>
            <w:vAlign w:val="center"/>
          </w:tcPr>
          <w:p w14:paraId="1E1442DA" w14:textId="75A0F61E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tôi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đây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ước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khởi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gửi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mọi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lúc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mọi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nơi</w:t>
            </w:r>
            <w:proofErr w:type="spellEnd"/>
          </w:p>
        </w:tc>
        <w:tc>
          <w:tcPr>
            <w:tcW w:w="2309" w:type="pct"/>
            <w:vAlign w:val="center"/>
          </w:tcPr>
          <w:p w14:paraId="0A5576DF" w14:textId="64E0B4FE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TT&amp;TT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7292691E" w14:textId="77777777" w:rsidTr="00CE2A4D">
        <w:trPr>
          <w:trHeight w:val="750"/>
        </w:trPr>
        <w:tc>
          <w:tcPr>
            <w:tcW w:w="244" w:type="pct"/>
            <w:vAlign w:val="center"/>
          </w:tcPr>
          <w:p w14:paraId="0E0498AE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78A7B2F6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</w:p>
          <w:p w14:paraId="6161F0D3" w14:textId="0819B098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2b</w:t>
            </w:r>
          </w:p>
        </w:tc>
        <w:tc>
          <w:tcPr>
            <w:tcW w:w="1957" w:type="pct"/>
            <w:vAlign w:val="center"/>
          </w:tcPr>
          <w:p w14:paraId="0560AF8A" w14:textId="3536E312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tôi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đây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ước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khởi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gửi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mọi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lúc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mọi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nơi</w:t>
            </w:r>
            <w:proofErr w:type="spellEnd"/>
          </w:p>
        </w:tc>
        <w:tc>
          <w:tcPr>
            <w:tcW w:w="2309" w:type="pct"/>
            <w:vAlign w:val="center"/>
          </w:tcPr>
          <w:p w14:paraId="693AEF49" w14:textId="68F37503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TT&amp;TT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217B0AE6" w14:textId="77777777" w:rsidTr="00CE2A4D">
        <w:trPr>
          <w:trHeight w:val="750"/>
        </w:trPr>
        <w:tc>
          <w:tcPr>
            <w:tcW w:w="244" w:type="pct"/>
            <w:vAlign w:val="center"/>
          </w:tcPr>
          <w:p w14:paraId="596F7CF9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251A3F4A" w14:textId="7ACD9CF2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2.d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đ:</w:t>
            </w:r>
          </w:p>
        </w:tc>
        <w:tc>
          <w:tcPr>
            <w:tcW w:w="1957" w:type="pct"/>
            <w:vAlign w:val="center"/>
          </w:tcPr>
          <w:p w14:paraId="25296D15" w14:textId="5E0AB1C8" w:rsidR="00CE2A4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“…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;”</w:t>
            </w:r>
          </w:p>
          <w:p w14:paraId="7AFAC3C2" w14:textId="2E6EEBCE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tiềm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ẩn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rủi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Khi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đợi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9" w:type="pct"/>
            <w:vAlign w:val="center"/>
          </w:tcPr>
          <w:p w14:paraId="0134ED6E" w14:textId="7125C5F5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TT&amp;TT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626CA1E3" w14:textId="77777777" w:rsidTr="00CE2A4D">
        <w:trPr>
          <w:trHeight w:val="750"/>
        </w:trPr>
        <w:tc>
          <w:tcPr>
            <w:tcW w:w="244" w:type="pct"/>
            <w:vAlign w:val="center"/>
          </w:tcPr>
          <w:p w14:paraId="17B89260" w14:textId="0BA1B556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1ED431F6" w14:textId="31249773" w:rsidR="00CE2A4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23:</w:t>
            </w:r>
          </w:p>
        </w:tc>
        <w:tc>
          <w:tcPr>
            <w:tcW w:w="1957" w:type="pct"/>
            <w:vAlign w:val="center"/>
          </w:tcPr>
          <w:p w14:paraId="78691BE9" w14:textId="77777777" w:rsidR="00CE2A4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chưa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ước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D8D6FFA" w14:textId="20575852" w:rsidR="00CE2A4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9" w:type="pct"/>
            <w:vAlign w:val="center"/>
          </w:tcPr>
          <w:p w14:paraId="460D99D8" w14:textId="4DE29B99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Bố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sung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ước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486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26705025" w14:textId="77777777" w:rsidTr="00CE2A4D">
        <w:trPr>
          <w:trHeight w:val="993"/>
        </w:trPr>
        <w:tc>
          <w:tcPr>
            <w:tcW w:w="244" w:type="pct"/>
            <w:vAlign w:val="center"/>
          </w:tcPr>
          <w:p w14:paraId="07F8168B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53858D50" w14:textId="614B139A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Mục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957" w:type="pct"/>
            <w:vAlign w:val="center"/>
          </w:tcPr>
          <w:p w14:paraId="752AF81F" w14:textId="77777777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Mục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4)</w:t>
            </w:r>
          </w:p>
          <w:p w14:paraId="4B0EBBB0" w14:textId="75BF78FB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những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cậy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chưa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bởi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đây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1, 2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3;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đối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vơi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458B2674" w14:textId="1F9D11A3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Giá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phụ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thuộc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cậy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trừ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9" w:type="pct"/>
            <w:vAlign w:val="center"/>
          </w:tcPr>
          <w:p w14:paraId="7D6C8AF1" w14:textId="77777777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Kính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TT&amp;TT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xem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xét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phép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TCTC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quyết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cậy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tùy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thuộc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vì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thì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…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đô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cậy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3” </w:t>
            </w:r>
          </w:p>
          <w:p w14:paraId="064F1BAB" w14:textId="2D7A3986" w:rsidR="00CE2A4D" w:rsidRPr="00621D0D" w:rsidRDefault="00CE2A4D" w:rsidP="00621D0D">
            <w:pPr>
              <w:shd w:val="clear" w:color="auto" w:fill="FFFFFF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đều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dưới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hình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nghĩa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(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bởi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thứ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được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xem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bước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thụt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lùi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so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4087C04F" w14:textId="77777777" w:rsidTr="00CE2A4D">
        <w:tc>
          <w:tcPr>
            <w:tcW w:w="244" w:type="pct"/>
            <w:vAlign w:val="center"/>
          </w:tcPr>
          <w:p w14:paraId="2A908DB5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06992A94" w14:textId="1168BDC4" w:rsidR="00CE2A4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32</w:t>
            </w:r>
          </w:p>
        </w:tc>
        <w:tc>
          <w:tcPr>
            <w:tcW w:w="1957" w:type="pct"/>
            <w:vAlign w:val="center"/>
          </w:tcPr>
          <w:p w14:paraId="4ACED315" w14:textId="77777777" w:rsidR="00CE2A4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</w:p>
          <w:p w14:paraId="3D0330BB" w14:textId="20C475B4" w:rsidR="00CE2A4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09" w:type="pct"/>
            <w:vAlign w:val="center"/>
          </w:tcPr>
          <w:p w14:paraId="3E713BEB" w14:textId="7EAE0582" w:rsidR="00CE2A4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15D36301" w14:textId="77777777" w:rsidTr="00CE2A4D">
        <w:tc>
          <w:tcPr>
            <w:tcW w:w="244" w:type="pct"/>
            <w:vAlign w:val="center"/>
          </w:tcPr>
          <w:p w14:paraId="6C28F581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7A5F35D8" w14:textId="13D0D88F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32-33</w:t>
            </w:r>
          </w:p>
        </w:tc>
        <w:tc>
          <w:tcPr>
            <w:tcW w:w="1957" w:type="pct"/>
            <w:vAlign w:val="center"/>
          </w:tcPr>
          <w:p w14:paraId="0988CADA" w14:textId="77777777" w:rsidR="00CE2A4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cậy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31A19389" w14:textId="3954EE43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</w:t>
            </w:r>
          </w:p>
        </w:tc>
        <w:tc>
          <w:tcPr>
            <w:tcW w:w="2309" w:type="pct"/>
            <w:vAlign w:val="center"/>
          </w:tcPr>
          <w:p w14:paraId="1EA5B02F" w14:textId="4A753B92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cậy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E2A4D" w:rsidRPr="00621D0D" w14:paraId="36FF3098" w14:textId="77777777" w:rsidTr="00CE2A4D">
        <w:tc>
          <w:tcPr>
            <w:tcW w:w="244" w:type="pct"/>
            <w:vAlign w:val="center"/>
          </w:tcPr>
          <w:p w14:paraId="7EE2938F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09CFBDCA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33</w:t>
            </w:r>
          </w:p>
          <w:p w14:paraId="5543DD3E" w14:textId="5C7F65B8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957" w:type="pct"/>
            <w:vAlign w:val="center"/>
          </w:tcPr>
          <w:p w14:paraId="522C774C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Đối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riêng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cùng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v.v. </w:t>
            </w:r>
          </w:p>
          <w:p w14:paraId="278B7CF3" w14:textId="1E4B84A5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bởi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một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gây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rất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nhiều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khăn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biệt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tất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09" w:type="pct"/>
            <w:vAlign w:val="center"/>
          </w:tcPr>
          <w:p w14:paraId="2D453F8F" w14:textId="227D7070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TT&amp;TT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xem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xét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vì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mẹ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NHNN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đối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630/QĐ-NHNN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35/2001 / QĐ-NHNN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Nguyên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tắc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rủi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1789/2005/QĐ-NHNN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lựa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thỏa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thuận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nhau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cậy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trách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nhiệm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69224453" w14:textId="77777777" w:rsidTr="00CE2A4D">
        <w:tc>
          <w:tcPr>
            <w:tcW w:w="244" w:type="pct"/>
            <w:vAlign w:val="center"/>
          </w:tcPr>
          <w:p w14:paraId="2A79819E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7CC04D6E" w14:textId="77777777" w:rsidR="00CE2A4D" w:rsidRPr="00621D0D" w:rsidRDefault="00CE2A4D" w:rsidP="00A63801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33</w:t>
            </w:r>
          </w:p>
          <w:p w14:paraId="126E472B" w14:textId="304D682B" w:rsidR="00CE2A4D" w:rsidRPr="00621D0D" w:rsidRDefault="00CE2A4D" w:rsidP="00A63801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7" w:type="pct"/>
            <w:vAlign w:val="center"/>
          </w:tcPr>
          <w:p w14:paraId="2BACFC03" w14:textId="24AC011D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2309" w:type="pct"/>
            <w:vAlign w:val="center"/>
          </w:tcPr>
          <w:p w14:paraId="264CCC31" w14:textId="50D112B0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E2A4D" w:rsidRPr="00621D0D" w14:paraId="464DFC09" w14:textId="77777777" w:rsidTr="00CE2A4D">
        <w:tc>
          <w:tcPr>
            <w:tcW w:w="244" w:type="pct"/>
            <w:vAlign w:val="center"/>
          </w:tcPr>
          <w:p w14:paraId="78139971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22F28681" w14:textId="5B171F5C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35</w:t>
            </w:r>
          </w:p>
        </w:tc>
        <w:tc>
          <w:tcPr>
            <w:tcW w:w="1957" w:type="pct"/>
            <w:vAlign w:val="center"/>
          </w:tcPr>
          <w:p w14:paraId="062BEF63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tôi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rằng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những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nghĩa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D1EBF7B" w14:textId="7129B66F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bao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gồm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bởi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mẹ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Đăng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một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lần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UserID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PW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tuyến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09" w:type="pct"/>
            <w:vAlign w:val="center"/>
          </w:tcPr>
          <w:p w14:paraId="5BB56CDA" w14:textId="096D1F0D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Kính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TT&amp;TT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xem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xét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biệt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đối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nhánh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mẹ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NHNN. </w:t>
            </w:r>
          </w:p>
          <w:p w14:paraId="2FA4A980" w14:textId="00A3C59B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TT&amp;TT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xem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xét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phép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lựa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thỏa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thuận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nhau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muốn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A4D" w:rsidRPr="00621D0D" w14:paraId="426ED436" w14:textId="77777777" w:rsidTr="00CE2A4D">
        <w:tc>
          <w:tcPr>
            <w:tcW w:w="244" w:type="pct"/>
            <w:vAlign w:val="center"/>
          </w:tcPr>
          <w:p w14:paraId="3D195AC9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10BC9D90" w14:textId="404AD740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50</w:t>
            </w:r>
          </w:p>
        </w:tc>
        <w:tc>
          <w:tcPr>
            <w:tcW w:w="1957" w:type="pct"/>
            <w:vAlign w:val="center"/>
          </w:tcPr>
          <w:p w14:paraId="07807A96" w14:textId="7FC6D070" w:rsidR="00CE2A4D" w:rsidRPr="00621D0D" w:rsidRDefault="00CE2A4D" w:rsidP="00621D0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… =&gt;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ntn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55283" w14:textId="4738B233" w:rsidR="00CE2A4D" w:rsidRPr="00621D0D" w:rsidRDefault="00CE2A4D" w:rsidP="00621D0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vAlign w:val="center"/>
          </w:tcPr>
          <w:p w14:paraId="146B4415" w14:textId="199B7DCB" w:rsidR="00CE2A4D" w:rsidRPr="00621D0D" w:rsidRDefault="00CE2A4D" w:rsidP="00621D0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xuất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làm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nhóm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tiêu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chí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phân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loại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CE2A4D" w:rsidRPr="00621D0D" w14:paraId="5C90AA7A" w14:textId="77777777" w:rsidTr="00CE2A4D">
        <w:tc>
          <w:tcPr>
            <w:tcW w:w="244" w:type="pct"/>
            <w:vAlign w:val="center"/>
          </w:tcPr>
          <w:p w14:paraId="0B9C21AF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73C8278B" w14:textId="7777777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52</w:t>
            </w:r>
          </w:p>
          <w:p w14:paraId="7FC4E507" w14:textId="60A1FA2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53</w:t>
            </w:r>
          </w:p>
        </w:tc>
        <w:tc>
          <w:tcPr>
            <w:tcW w:w="1957" w:type="pct"/>
            <w:vAlign w:val="center"/>
          </w:tcPr>
          <w:p w14:paraId="3F932F0F" w14:textId="41069158" w:rsidR="00CE2A4D" w:rsidRPr="00621D0D" w:rsidRDefault="00CE2A4D" w:rsidP="00621D0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trì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lực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khả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mặt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sẽ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rất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khăn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mất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nhiều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vì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bình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(bao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gồm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Banking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62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2309" w:type="pct"/>
            <w:vAlign w:val="center"/>
          </w:tcPr>
          <w:p w14:paraId="0C81337C" w14:textId="3402BB61" w:rsidR="00CE2A4D" w:rsidRPr="00621D0D" w:rsidRDefault="00CE2A4D" w:rsidP="00621D0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  <w:proofErr w:type="spellStart"/>
            <w:r w:rsidRPr="00621D0D">
              <w:rPr>
                <w:color w:val="000000" w:themeColor="text1"/>
              </w:rPr>
              <w:t>Kính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đề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nghị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Bộ</w:t>
            </w:r>
            <w:proofErr w:type="spellEnd"/>
            <w:r w:rsidRPr="00621D0D">
              <w:rPr>
                <w:color w:val="000000" w:themeColor="text1"/>
              </w:rPr>
              <w:t xml:space="preserve"> TT&amp;TT </w:t>
            </w:r>
            <w:proofErr w:type="spellStart"/>
            <w:r w:rsidRPr="00621D0D">
              <w:rPr>
                <w:color w:val="000000" w:themeColor="text1"/>
              </w:rPr>
              <w:t>xem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xét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quy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định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cho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phép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ngân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hàng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và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khách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hàng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có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thể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lựa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chọn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và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thỏa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thuận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với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nhau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về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mức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độ</w:t>
            </w:r>
            <w:proofErr w:type="spellEnd"/>
            <w:r w:rsidRPr="00621D0D">
              <w:rPr>
                <w:color w:val="000000" w:themeColor="text1"/>
              </w:rPr>
              <w:t xml:space="preserve"> tin </w:t>
            </w:r>
            <w:proofErr w:type="spellStart"/>
            <w:r w:rsidRPr="00621D0D">
              <w:rPr>
                <w:color w:val="000000" w:themeColor="text1"/>
              </w:rPr>
              <w:t>cậy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của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tài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khoản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đối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với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giao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dịch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điện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tử</w:t>
            </w:r>
            <w:proofErr w:type="spellEnd"/>
            <w:r w:rsidRPr="00621D0D">
              <w:rPr>
                <w:color w:val="000000" w:themeColor="text1"/>
              </w:rPr>
              <w:t xml:space="preserve">, </w:t>
            </w:r>
            <w:proofErr w:type="spellStart"/>
            <w:r w:rsidRPr="00621D0D">
              <w:rPr>
                <w:color w:val="000000" w:themeColor="text1"/>
              </w:rPr>
              <w:t>không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nhất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thiết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phải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áp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dụng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tài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khoản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cấp</w:t>
            </w:r>
            <w:proofErr w:type="spellEnd"/>
            <w:r w:rsidRPr="00621D0D">
              <w:rPr>
                <w:color w:val="000000" w:themeColor="text1"/>
              </w:rPr>
              <w:t xml:space="preserve"> </w:t>
            </w:r>
            <w:proofErr w:type="spellStart"/>
            <w:r w:rsidRPr="00621D0D">
              <w:rPr>
                <w:color w:val="000000" w:themeColor="text1"/>
              </w:rPr>
              <w:t>độ</w:t>
            </w:r>
            <w:proofErr w:type="spellEnd"/>
            <w:r w:rsidRPr="00621D0D">
              <w:rPr>
                <w:color w:val="000000" w:themeColor="text1"/>
              </w:rPr>
              <w:t xml:space="preserve"> 3.</w:t>
            </w:r>
          </w:p>
        </w:tc>
      </w:tr>
      <w:tr w:rsidR="00CE2A4D" w:rsidRPr="00621D0D" w14:paraId="6413BB03" w14:textId="77777777" w:rsidTr="00CE2A4D">
        <w:tc>
          <w:tcPr>
            <w:tcW w:w="244" w:type="pct"/>
            <w:vAlign w:val="center"/>
          </w:tcPr>
          <w:p w14:paraId="0DBA79B2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45DB5930" w14:textId="1615F0BD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957" w:type="pct"/>
            <w:vAlign w:val="center"/>
          </w:tcPr>
          <w:p w14:paraId="0AF950C5" w14:textId="5B7FCE42" w:rsidR="00CE2A4D" w:rsidRPr="00621D0D" w:rsidRDefault="00CE2A4D" w:rsidP="00621D0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cậy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09" w:type="pct"/>
            <w:vAlign w:val="center"/>
          </w:tcPr>
          <w:p w14:paraId="199C503D" w14:textId="122BBE4E" w:rsidR="00CE2A4D" w:rsidRPr="00621D0D" w:rsidRDefault="00CE2A4D" w:rsidP="00621D0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xuất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bỏ</w:t>
            </w:r>
            <w:proofErr w:type="spellEnd"/>
          </w:p>
        </w:tc>
      </w:tr>
      <w:tr w:rsidR="00CE2A4D" w:rsidRPr="00621D0D" w14:paraId="3BAE3B43" w14:textId="77777777" w:rsidTr="00CE2A4D">
        <w:tc>
          <w:tcPr>
            <w:tcW w:w="244" w:type="pct"/>
            <w:vAlign w:val="center"/>
          </w:tcPr>
          <w:p w14:paraId="7373222A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22F2A10B" w14:textId="260CEF89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1.c</w:t>
            </w:r>
          </w:p>
        </w:tc>
        <w:tc>
          <w:tcPr>
            <w:tcW w:w="1957" w:type="pct"/>
            <w:vAlign w:val="center"/>
          </w:tcPr>
          <w:p w14:paraId="1ED1B008" w14:textId="3BC79569" w:rsidR="00CE2A4D" w:rsidRPr="00621D0D" w:rsidRDefault="00CE2A4D" w:rsidP="00CE2A4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TT&amp;TT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chặn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118D92B" w14:textId="7B5D41EF" w:rsidR="00CE2A4D" w:rsidRPr="00621D0D" w:rsidRDefault="00CE2A4D" w:rsidP="00621D0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vAlign w:val="center"/>
          </w:tcPr>
          <w:p w14:paraId="044D26A3" w14:textId="77777777" w:rsidR="00CE2A4D" w:rsidRDefault="00CE2A4D" w:rsidP="00621D0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NH </w:t>
            </w:r>
            <w:proofErr w:type="spellStart"/>
            <w:r>
              <w:rPr>
                <w:color w:val="000000" w:themeColor="text1"/>
              </w:rPr>
              <w:t>hiểu</w:t>
            </w:r>
            <w:proofErr w:type="spellEnd"/>
            <w:r>
              <w:rPr>
                <w:color w:val="000000" w:themeColor="text1"/>
              </w:rPr>
              <w:t xml:space="preserve"> ý </w:t>
            </w:r>
            <w:proofErr w:type="spellStart"/>
            <w:r>
              <w:rPr>
                <w:color w:val="000000" w:themeColor="text1"/>
              </w:rPr>
              <w:t>định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của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BộTT&amp;TT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là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để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quản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các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doanh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nghiệp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cung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cấp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các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dịch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vụ</w:t>
            </w:r>
            <w:proofErr w:type="spellEnd"/>
            <w:r>
              <w:rPr>
                <w:color w:val="000000" w:themeColor="text1"/>
              </w:rPr>
              <w:t xml:space="preserve"> tin </w:t>
            </w:r>
            <w:proofErr w:type="spellStart"/>
            <w:r>
              <w:rPr>
                <w:color w:val="000000" w:themeColor="text1"/>
              </w:rPr>
              <w:t>cậy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bên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thứ</w:t>
            </w:r>
            <w:proofErr w:type="spellEnd"/>
            <w:r>
              <w:rPr>
                <w:color w:val="000000" w:themeColor="text1"/>
              </w:rPr>
              <w:t xml:space="preserve"> 3 </w:t>
            </w:r>
            <w:proofErr w:type="spellStart"/>
            <w:r>
              <w:rPr>
                <w:color w:val="000000" w:themeColor="text1"/>
              </w:rPr>
              <w:t>thuộc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thẩm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quyền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quản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của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Bộ</w:t>
            </w:r>
            <w:proofErr w:type="spellEnd"/>
            <w:r>
              <w:rPr>
                <w:color w:val="000000" w:themeColor="text1"/>
              </w:rPr>
              <w:t xml:space="preserve"> TT&amp;TT. </w:t>
            </w:r>
            <w:proofErr w:type="spellStart"/>
            <w:r>
              <w:rPr>
                <w:color w:val="000000" w:themeColor="text1"/>
              </w:rPr>
              <w:t>Nhưng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nền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tảng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số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và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nền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tảng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điện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tử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của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Doanh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nghiệp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là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khác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nhau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14:paraId="29CB5090" w14:textId="77777777" w:rsidR="00CE2A4D" w:rsidRDefault="00CE2A4D" w:rsidP="00621D0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</w:p>
          <w:p w14:paraId="41502CF9" w14:textId="57B9D60B" w:rsidR="00CE2A4D" w:rsidRPr="00621D0D" w:rsidRDefault="00CE2A4D" w:rsidP="00621D0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xuất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Bộ</w:t>
            </w:r>
            <w:proofErr w:type="spellEnd"/>
            <w:r>
              <w:rPr>
                <w:color w:val="000000" w:themeColor="text1"/>
              </w:rPr>
              <w:t xml:space="preserve"> TT&amp;TT </w:t>
            </w:r>
            <w:proofErr w:type="spellStart"/>
            <w:r>
              <w:rPr>
                <w:color w:val="000000" w:themeColor="text1"/>
              </w:rPr>
              <w:t>làm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và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cân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nhắc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điều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chỉnh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hợp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CE2A4D" w:rsidRPr="00621D0D" w14:paraId="1472A6E0" w14:textId="77777777" w:rsidTr="00CE2A4D">
        <w:tc>
          <w:tcPr>
            <w:tcW w:w="244" w:type="pct"/>
            <w:vAlign w:val="center"/>
          </w:tcPr>
          <w:p w14:paraId="26245FC5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5C7AC7A8" w14:textId="175347F7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7" w:type="pct"/>
            <w:vAlign w:val="center"/>
          </w:tcPr>
          <w:p w14:paraId="6D4A4F9F" w14:textId="5E40E9FC" w:rsidR="00CE2A4D" w:rsidRPr="00621D0D" w:rsidRDefault="00CE2A4D" w:rsidP="00CE2A4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58: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dữ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kịp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</w:p>
        </w:tc>
        <w:tc>
          <w:tcPr>
            <w:tcW w:w="2309" w:type="pct"/>
            <w:vAlign w:val="center"/>
          </w:tcPr>
          <w:p w14:paraId="56DD6D90" w14:textId="396B4070" w:rsidR="00CE2A4D" w:rsidRPr="00621D0D" w:rsidRDefault="00CE2A4D" w:rsidP="00621D0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nghị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làm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rõ</w:t>
            </w:r>
            <w:proofErr w:type="spellEnd"/>
          </w:p>
        </w:tc>
      </w:tr>
      <w:tr w:rsidR="00CE2A4D" w:rsidRPr="00621D0D" w14:paraId="2D83E730" w14:textId="77777777" w:rsidTr="00CE2A4D">
        <w:tc>
          <w:tcPr>
            <w:tcW w:w="244" w:type="pct"/>
            <w:vAlign w:val="center"/>
          </w:tcPr>
          <w:p w14:paraId="45133075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0C36E1B5" w14:textId="7DF99772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Chương</w:t>
            </w:r>
            <w:proofErr w:type="spellEnd"/>
            <w:r w:rsidRPr="00621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957" w:type="pct"/>
            <w:vAlign w:val="center"/>
          </w:tcPr>
          <w:p w14:paraId="307D9121" w14:textId="0C2775E4" w:rsidR="00CE2A4D" w:rsidRPr="00621D0D" w:rsidRDefault="00CE2A4D" w:rsidP="00A63801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Chuơng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2309" w:type="pct"/>
            <w:vAlign w:val="center"/>
          </w:tcPr>
          <w:p w14:paraId="1E672DD8" w14:textId="77777777" w:rsidR="00CE2A4D" w:rsidRPr="00621D0D" w:rsidRDefault="00CE2A4D" w:rsidP="00A63801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xuyên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35778D" w14:textId="77777777" w:rsidR="00CE2A4D" w:rsidRPr="00621D0D" w:rsidRDefault="00CE2A4D" w:rsidP="00621D0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</w:p>
        </w:tc>
      </w:tr>
      <w:tr w:rsidR="00CE2A4D" w:rsidRPr="00621D0D" w14:paraId="243FDC28" w14:textId="77777777" w:rsidTr="00CE2A4D">
        <w:tc>
          <w:tcPr>
            <w:tcW w:w="244" w:type="pct"/>
            <w:vAlign w:val="center"/>
          </w:tcPr>
          <w:p w14:paraId="420EB626" w14:textId="77777777" w:rsidR="00CE2A4D" w:rsidRPr="00621D0D" w:rsidRDefault="00CE2A4D" w:rsidP="00621D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Lines="40" w:before="96" w:afterLines="40" w:after="96" w:line="264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  <w:vAlign w:val="center"/>
          </w:tcPr>
          <w:p w14:paraId="496EAB38" w14:textId="4C9E4779" w:rsidR="00CE2A4D" w:rsidRPr="00621D0D" w:rsidRDefault="00CE2A4D" w:rsidP="00621D0D">
            <w:pPr>
              <w:spacing w:beforeLines="40" w:before="96" w:afterLines="40" w:after="96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pct"/>
            <w:vAlign w:val="center"/>
          </w:tcPr>
          <w:p w14:paraId="41AB0FC4" w14:textId="01E9F239" w:rsidR="00CE2A4D" w:rsidRPr="00621D0D" w:rsidRDefault="00CE2A4D" w:rsidP="00621D0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gộp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AB4DE6" w14:textId="68887ECA" w:rsidR="00CE2A4D" w:rsidRPr="00621D0D" w:rsidRDefault="00CE2A4D" w:rsidP="00CE2A4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vAlign w:val="center"/>
          </w:tcPr>
          <w:p w14:paraId="5774F4CE" w14:textId="77777777" w:rsidR="00CE2A4D" w:rsidRPr="00621D0D" w:rsidRDefault="00CE2A4D" w:rsidP="00CE2A4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=&gt;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trộn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lẫn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Cân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nhắc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E0727B" w14:textId="77777777" w:rsidR="00CE2A4D" w:rsidRPr="00621D0D" w:rsidRDefault="00CE2A4D" w:rsidP="00CE2A4D">
            <w:pPr>
              <w:spacing w:before="40" w:after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Cho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tháo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dỡ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cài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54.4.c) -&gt;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0D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</w:p>
          <w:p w14:paraId="07D84022" w14:textId="0994A4E4" w:rsidR="00CE2A4D" w:rsidRPr="00621D0D" w:rsidRDefault="00CE2A4D" w:rsidP="00CE2A4D">
            <w:pPr>
              <w:pStyle w:val="m1899338768824247893msolistparagraph"/>
              <w:spacing w:beforeLines="40" w:before="96" w:beforeAutospacing="0" w:afterLines="40" w:after="96" w:afterAutospacing="0" w:line="264" w:lineRule="auto"/>
              <w:jc w:val="both"/>
              <w:rPr>
                <w:color w:val="000000" w:themeColor="text1"/>
              </w:rPr>
            </w:pPr>
            <w:r w:rsidRPr="00621D0D">
              <w:t xml:space="preserve"> - </w:t>
            </w:r>
            <w:proofErr w:type="spellStart"/>
            <w:r w:rsidRPr="00621D0D">
              <w:t>Công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bố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công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khai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bộ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quy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tắc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ứng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xử</w:t>
            </w:r>
            <w:proofErr w:type="spellEnd"/>
            <w:r w:rsidRPr="00621D0D">
              <w:t xml:space="preserve">: </w:t>
            </w:r>
            <w:proofErr w:type="spellStart"/>
            <w:r w:rsidRPr="00621D0D">
              <w:t>chỉ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phù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hợp</w:t>
            </w:r>
            <w:proofErr w:type="spellEnd"/>
            <w:r w:rsidRPr="00621D0D">
              <w:t xml:space="preserve"> vs 1 </w:t>
            </w:r>
            <w:proofErr w:type="spellStart"/>
            <w:r w:rsidRPr="00621D0D">
              <w:t>số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nền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tảng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mảng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xã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hội</w:t>
            </w:r>
            <w:proofErr w:type="spellEnd"/>
            <w:r w:rsidRPr="00621D0D">
              <w:t xml:space="preserve">, </w:t>
            </w:r>
            <w:proofErr w:type="spellStart"/>
            <w:r w:rsidRPr="00621D0D">
              <w:t>các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doanh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nghiệp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cung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cấp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dịch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vụ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khác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không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có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liên</w:t>
            </w:r>
            <w:proofErr w:type="spellEnd"/>
            <w:r w:rsidRPr="00621D0D">
              <w:t xml:space="preserve"> </w:t>
            </w:r>
            <w:proofErr w:type="spellStart"/>
            <w:r w:rsidRPr="00621D0D">
              <w:t>quan</w:t>
            </w:r>
            <w:proofErr w:type="spellEnd"/>
          </w:p>
        </w:tc>
      </w:tr>
    </w:tbl>
    <w:p w14:paraId="362F6ABA" w14:textId="77777777" w:rsidR="00E67149" w:rsidRPr="00621D0D" w:rsidRDefault="00E67149" w:rsidP="00621D0D">
      <w:pPr>
        <w:spacing w:beforeLines="40" w:before="96" w:afterLines="40" w:after="96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7149" w:rsidRPr="00621D0D" w:rsidSect="0048467D">
      <w:headerReference w:type="default" r:id="rId7"/>
      <w:footerReference w:type="default" r:id="rId8"/>
      <w:pgSz w:w="15840" w:h="12240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5C1E" w14:textId="77777777" w:rsidR="001F61F5" w:rsidRDefault="001F61F5">
      <w:pPr>
        <w:spacing w:after="0" w:line="240" w:lineRule="auto"/>
      </w:pPr>
      <w:r>
        <w:separator/>
      </w:r>
    </w:p>
  </w:endnote>
  <w:endnote w:type="continuationSeparator" w:id="0">
    <w:p w14:paraId="18981A34" w14:textId="77777777" w:rsidR="001F61F5" w:rsidRDefault="001F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75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93975B" w14:textId="10DC06D2" w:rsidR="00D75552" w:rsidRPr="00CF1801" w:rsidRDefault="008A3A52" w:rsidP="00CF1801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Trang</w:t>
            </w:r>
            <w:r w:rsidRPr="00CF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F1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F1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21D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F1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CF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F1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F1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21D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CF1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226F0D" w14:textId="77777777" w:rsidR="00D75552" w:rsidRDefault="001F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21C4" w14:textId="77777777" w:rsidR="001F61F5" w:rsidRDefault="001F61F5">
      <w:pPr>
        <w:spacing w:after="0" w:line="240" w:lineRule="auto"/>
      </w:pPr>
      <w:r>
        <w:separator/>
      </w:r>
    </w:p>
  </w:footnote>
  <w:footnote w:type="continuationSeparator" w:id="0">
    <w:p w14:paraId="5D308381" w14:textId="77777777" w:rsidR="001F61F5" w:rsidRDefault="001F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229B" w14:textId="4F9EC2F3" w:rsidR="00D75552" w:rsidRDefault="008A3A52" w:rsidP="00CF1801">
    <w:pPr>
      <w:pStyle w:val="Header"/>
      <w:pBdr>
        <w:bottom w:val="single" w:sz="6" w:space="1" w:color="auto"/>
      </w:pBdr>
      <w:tabs>
        <w:tab w:val="clear" w:pos="9360"/>
        <w:tab w:val="right" w:pos="8910"/>
      </w:tabs>
      <w:rPr>
        <w:rFonts w:ascii="Times New Roman" w:hAnsi="Times New Roman" w:cs="Times New Roman"/>
        <w:i/>
        <w:sz w:val="20"/>
        <w:szCs w:val="20"/>
        <w:lang w:val="en-GB"/>
      </w:rPr>
    </w:pPr>
    <w:proofErr w:type="spellStart"/>
    <w:r w:rsidRPr="00CF1801">
      <w:rPr>
        <w:rFonts w:ascii="Times New Roman" w:hAnsi="Times New Roman" w:cs="Times New Roman"/>
        <w:i/>
        <w:sz w:val="20"/>
        <w:szCs w:val="20"/>
        <w:lang w:val="en-GB"/>
      </w:rPr>
      <w:t>Diễn</w:t>
    </w:r>
    <w:proofErr w:type="spellEnd"/>
    <w:r w:rsidRPr="00CF1801">
      <w:rPr>
        <w:rFonts w:ascii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CF1801">
      <w:rPr>
        <w:rFonts w:ascii="Times New Roman" w:hAnsi="Times New Roman" w:cs="Times New Roman"/>
        <w:i/>
        <w:sz w:val="20"/>
        <w:szCs w:val="20"/>
        <w:lang w:val="en-GB"/>
      </w:rPr>
      <w:t>đàn</w:t>
    </w:r>
    <w:proofErr w:type="spellEnd"/>
    <w:r w:rsidRPr="00CF1801">
      <w:rPr>
        <w:rFonts w:ascii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CF1801">
      <w:rPr>
        <w:rFonts w:ascii="Times New Roman" w:hAnsi="Times New Roman" w:cs="Times New Roman"/>
        <w:i/>
        <w:sz w:val="20"/>
        <w:szCs w:val="20"/>
        <w:lang w:val="en-GB"/>
      </w:rPr>
      <w:t>Doanh</w:t>
    </w:r>
    <w:proofErr w:type="spellEnd"/>
    <w:r w:rsidRPr="00CF1801">
      <w:rPr>
        <w:rFonts w:ascii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CF1801">
      <w:rPr>
        <w:rFonts w:ascii="Times New Roman" w:hAnsi="Times New Roman" w:cs="Times New Roman"/>
        <w:i/>
        <w:sz w:val="20"/>
        <w:szCs w:val="20"/>
        <w:lang w:val="en-GB"/>
      </w:rPr>
      <w:t>Nghiệp</w:t>
    </w:r>
    <w:proofErr w:type="spellEnd"/>
    <w:r w:rsidRPr="00CF1801">
      <w:rPr>
        <w:rFonts w:ascii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CF1801">
      <w:rPr>
        <w:rFonts w:ascii="Times New Roman" w:hAnsi="Times New Roman" w:cs="Times New Roman"/>
        <w:i/>
        <w:sz w:val="20"/>
        <w:szCs w:val="20"/>
        <w:lang w:val="en-GB"/>
      </w:rPr>
      <w:t>Việt</w:t>
    </w:r>
    <w:proofErr w:type="spellEnd"/>
    <w:r w:rsidRPr="00CF1801">
      <w:rPr>
        <w:rFonts w:ascii="Times New Roman" w:hAnsi="Times New Roman" w:cs="Times New Roman"/>
        <w:i/>
        <w:sz w:val="20"/>
        <w:szCs w:val="20"/>
        <w:lang w:val="en-GB"/>
      </w:rPr>
      <w:t xml:space="preserve"> Nam </w:t>
    </w:r>
    <w:r w:rsidRPr="00CF1801">
      <w:rPr>
        <w:rFonts w:ascii="Times New Roman" w:hAnsi="Times New Roman" w:cs="Times New Roman"/>
        <w:i/>
        <w:sz w:val="20"/>
        <w:szCs w:val="20"/>
        <w:lang w:val="en-GB"/>
      </w:rPr>
      <w:tab/>
    </w:r>
    <w:r w:rsidRPr="00CF1801">
      <w:rPr>
        <w:rFonts w:ascii="Times New Roman" w:hAnsi="Times New Roman" w:cs="Times New Roman"/>
        <w:i/>
        <w:sz w:val="20"/>
        <w:szCs w:val="20"/>
        <w:lang w:val="en-GB"/>
      </w:rPr>
      <w:tab/>
    </w:r>
    <w:r w:rsidRPr="00CF1801">
      <w:rPr>
        <w:rFonts w:ascii="Times New Roman" w:hAnsi="Times New Roman" w:cs="Times New Roman"/>
        <w:i/>
        <w:sz w:val="20"/>
        <w:szCs w:val="20"/>
        <w:lang w:val="en-GB"/>
      </w:rPr>
      <w:tab/>
    </w:r>
    <w:r>
      <w:rPr>
        <w:rFonts w:ascii="Times New Roman" w:hAnsi="Times New Roman" w:cs="Times New Roman"/>
        <w:i/>
        <w:sz w:val="20"/>
        <w:szCs w:val="20"/>
        <w:lang w:val="en-GB"/>
      </w:rPr>
      <w:tab/>
    </w:r>
    <w:r>
      <w:rPr>
        <w:rFonts w:ascii="Times New Roman" w:hAnsi="Times New Roman" w:cs="Times New Roman"/>
        <w:i/>
        <w:sz w:val="20"/>
        <w:szCs w:val="20"/>
        <w:lang w:val="en-GB"/>
      </w:rPr>
      <w:tab/>
    </w:r>
    <w:r>
      <w:rPr>
        <w:rFonts w:ascii="Times New Roman" w:hAnsi="Times New Roman" w:cs="Times New Roman"/>
        <w:i/>
        <w:sz w:val="20"/>
        <w:szCs w:val="20"/>
        <w:lang w:val="en-GB"/>
      </w:rPr>
      <w:tab/>
    </w:r>
    <w:proofErr w:type="spellStart"/>
    <w:r w:rsidR="005A694F">
      <w:rPr>
        <w:rFonts w:ascii="Times New Roman" w:hAnsi="Times New Roman" w:cs="Times New Roman"/>
        <w:i/>
        <w:sz w:val="20"/>
        <w:szCs w:val="20"/>
        <w:lang w:val="en-GB"/>
      </w:rPr>
      <w:t>Nhóm</w:t>
    </w:r>
    <w:proofErr w:type="spellEnd"/>
    <w:r w:rsidR="005A694F">
      <w:rPr>
        <w:rFonts w:ascii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="005A694F">
      <w:rPr>
        <w:rFonts w:ascii="Times New Roman" w:hAnsi="Times New Roman" w:cs="Times New Roman"/>
        <w:i/>
        <w:sz w:val="20"/>
        <w:szCs w:val="20"/>
        <w:lang w:val="en-GB"/>
      </w:rPr>
      <w:t>công</w:t>
    </w:r>
    <w:proofErr w:type="spellEnd"/>
    <w:r w:rsidR="005A694F">
      <w:rPr>
        <w:rFonts w:ascii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="005A694F">
      <w:rPr>
        <w:rFonts w:ascii="Times New Roman" w:hAnsi="Times New Roman" w:cs="Times New Roman"/>
        <w:i/>
        <w:sz w:val="20"/>
        <w:szCs w:val="20"/>
        <w:lang w:val="en-GB"/>
      </w:rPr>
      <w:t>tác</w:t>
    </w:r>
    <w:proofErr w:type="spellEnd"/>
    <w:r w:rsidR="005A694F">
      <w:rPr>
        <w:rFonts w:ascii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="005A694F">
      <w:rPr>
        <w:rFonts w:ascii="Times New Roman" w:hAnsi="Times New Roman" w:cs="Times New Roman"/>
        <w:i/>
        <w:sz w:val="20"/>
        <w:szCs w:val="20"/>
        <w:lang w:val="en-GB"/>
      </w:rPr>
      <w:t>Ngân</w:t>
    </w:r>
    <w:proofErr w:type="spellEnd"/>
    <w:r w:rsidR="005A694F">
      <w:rPr>
        <w:rFonts w:ascii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="005A694F">
      <w:rPr>
        <w:rFonts w:ascii="Times New Roman" w:hAnsi="Times New Roman" w:cs="Times New Roman"/>
        <w:i/>
        <w:sz w:val="20"/>
        <w:szCs w:val="20"/>
        <w:lang w:val="en-GB"/>
      </w:rPr>
      <w:t>hàng</w:t>
    </w:r>
    <w:proofErr w:type="spellEnd"/>
    <w:r w:rsidR="005A694F">
      <w:rPr>
        <w:rFonts w:ascii="Times New Roman" w:hAnsi="Times New Roman" w:cs="Times New Roman"/>
        <w:i/>
        <w:sz w:val="20"/>
        <w:szCs w:val="20"/>
        <w:lang w:val="en-GB"/>
      </w:rPr>
      <w:t>, 2022</w:t>
    </w:r>
  </w:p>
  <w:p w14:paraId="7EB9CD81" w14:textId="19A4308C" w:rsidR="00D75552" w:rsidRPr="00CF1801" w:rsidRDefault="001F61F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D0"/>
    <w:multiLevelType w:val="hybridMultilevel"/>
    <w:tmpl w:val="DCFA1406"/>
    <w:lvl w:ilvl="0" w:tplc="32B4A468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CBF"/>
    <w:multiLevelType w:val="hybridMultilevel"/>
    <w:tmpl w:val="22547B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20F2"/>
    <w:multiLevelType w:val="hybridMultilevel"/>
    <w:tmpl w:val="3D1CAE34"/>
    <w:lvl w:ilvl="0" w:tplc="6338D7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F5792"/>
    <w:multiLevelType w:val="hybridMultilevel"/>
    <w:tmpl w:val="A3BE5408"/>
    <w:lvl w:ilvl="0" w:tplc="AFEA4D94">
      <w:start w:val="1"/>
      <w:numFmt w:val="lowerLetter"/>
      <w:lvlText w:val="%1)"/>
      <w:lvlJc w:val="left"/>
      <w:pPr>
        <w:ind w:left="13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7C13338B"/>
    <w:multiLevelType w:val="hybridMultilevel"/>
    <w:tmpl w:val="9AF40A9E"/>
    <w:lvl w:ilvl="0" w:tplc="A31C1390">
      <w:start w:val="1"/>
      <w:numFmt w:val="decimal"/>
      <w:lvlText w:val="%1."/>
      <w:lvlJc w:val="left"/>
      <w:pPr>
        <w:ind w:left="950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272E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855C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2590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45E9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2200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6380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414A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A375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2963010">
    <w:abstractNumId w:val="2"/>
  </w:num>
  <w:num w:numId="2" w16cid:durableId="259064758">
    <w:abstractNumId w:val="0"/>
  </w:num>
  <w:num w:numId="3" w16cid:durableId="1162886660">
    <w:abstractNumId w:val="1"/>
  </w:num>
  <w:num w:numId="4" w16cid:durableId="93793261">
    <w:abstractNumId w:val="4"/>
  </w:num>
  <w:num w:numId="5" w16cid:durableId="1236940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74"/>
    <w:rsid w:val="00044750"/>
    <w:rsid w:val="0007451B"/>
    <w:rsid w:val="00094EB2"/>
    <w:rsid w:val="000B3DB7"/>
    <w:rsid w:val="000C42E3"/>
    <w:rsid w:val="00122B8F"/>
    <w:rsid w:val="00125039"/>
    <w:rsid w:val="001315C5"/>
    <w:rsid w:val="001527AE"/>
    <w:rsid w:val="00156657"/>
    <w:rsid w:val="00173C89"/>
    <w:rsid w:val="001815F3"/>
    <w:rsid w:val="001A1B75"/>
    <w:rsid w:val="001C4DA2"/>
    <w:rsid w:val="001F3205"/>
    <w:rsid w:val="001F61F5"/>
    <w:rsid w:val="00212C97"/>
    <w:rsid w:val="002F3C08"/>
    <w:rsid w:val="00316667"/>
    <w:rsid w:val="003310F0"/>
    <w:rsid w:val="00334BA7"/>
    <w:rsid w:val="003517B2"/>
    <w:rsid w:val="00397777"/>
    <w:rsid w:val="003A28F9"/>
    <w:rsid w:val="003A680D"/>
    <w:rsid w:val="00423D27"/>
    <w:rsid w:val="00426295"/>
    <w:rsid w:val="00452999"/>
    <w:rsid w:val="00456482"/>
    <w:rsid w:val="0048467D"/>
    <w:rsid w:val="00486FF8"/>
    <w:rsid w:val="00492DA7"/>
    <w:rsid w:val="00493F7D"/>
    <w:rsid w:val="004B6CFD"/>
    <w:rsid w:val="004F39D9"/>
    <w:rsid w:val="005305C7"/>
    <w:rsid w:val="00540166"/>
    <w:rsid w:val="00553E73"/>
    <w:rsid w:val="005667DB"/>
    <w:rsid w:val="00570847"/>
    <w:rsid w:val="005A694F"/>
    <w:rsid w:val="005C480E"/>
    <w:rsid w:val="005D06DC"/>
    <w:rsid w:val="00621D0D"/>
    <w:rsid w:val="00642997"/>
    <w:rsid w:val="006B0344"/>
    <w:rsid w:val="0071790E"/>
    <w:rsid w:val="0072431A"/>
    <w:rsid w:val="00731F5F"/>
    <w:rsid w:val="007669AE"/>
    <w:rsid w:val="0077750B"/>
    <w:rsid w:val="007B3E3B"/>
    <w:rsid w:val="007E6416"/>
    <w:rsid w:val="007F1250"/>
    <w:rsid w:val="007F6820"/>
    <w:rsid w:val="00877381"/>
    <w:rsid w:val="00881503"/>
    <w:rsid w:val="00894805"/>
    <w:rsid w:val="008A3A52"/>
    <w:rsid w:val="008E796A"/>
    <w:rsid w:val="008F55FA"/>
    <w:rsid w:val="008F7B4E"/>
    <w:rsid w:val="0092106B"/>
    <w:rsid w:val="00925CED"/>
    <w:rsid w:val="00957BB5"/>
    <w:rsid w:val="009954BF"/>
    <w:rsid w:val="009A4B4A"/>
    <w:rsid w:val="009F0D76"/>
    <w:rsid w:val="00A0268F"/>
    <w:rsid w:val="00A5436B"/>
    <w:rsid w:val="00A63801"/>
    <w:rsid w:val="00A74416"/>
    <w:rsid w:val="00A87FE3"/>
    <w:rsid w:val="00AA176A"/>
    <w:rsid w:val="00AF126D"/>
    <w:rsid w:val="00B158E4"/>
    <w:rsid w:val="00B34B40"/>
    <w:rsid w:val="00B90CE4"/>
    <w:rsid w:val="00B93C86"/>
    <w:rsid w:val="00B93D86"/>
    <w:rsid w:val="00BD6095"/>
    <w:rsid w:val="00C451A9"/>
    <w:rsid w:val="00C51101"/>
    <w:rsid w:val="00C55276"/>
    <w:rsid w:val="00C6636C"/>
    <w:rsid w:val="00C94B7B"/>
    <w:rsid w:val="00C97BEB"/>
    <w:rsid w:val="00CA0619"/>
    <w:rsid w:val="00CC0084"/>
    <w:rsid w:val="00CC0DE5"/>
    <w:rsid w:val="00CE2A4D"/>
    <w:rsid w:val="00D21D72"/>
    <w:rsid w:val="00D33F33"/>
    <w:rsid w:val="00D40281"/>
    <w:rsid w:val="00D4449E"/>
    <w:rsid w:val="00D82934"/>
    <w:rsid w:val="00D86E63"/>
    <w:rsid w:val="00DF53BE"/>
    <w:rsid w:val="00E03361"/>
    <w:rsid w:val="00E13FD7"/>
    <w:rsid w:val="00E1520F"/>
    <w:rsid w:val="00E50D85"/>
    <w:rsid w:val="00E64812"/>
    <w:rsid w:val="00E65294"/>
    <w:rsid w:val="00E67149"/>
    <w:rsid w:val="00EC68A9"/>
    <w:rsid w:val="00EE4576"/>
    <w:rsid w:val="00F03B2A"/>
    <w:rsid w:val="00F32FE9"/>
    <w:rsid w:val="00F652B0"/>
    <w:rsid w:val="00F76E58"/>
    <w:rsid w:val="00F86E4F"/>
    <w:rsid w:val="00FB7F2A"/>
    <w:rsid w:val="00FD3174"/>
    <w:rsid w:val="00FD4E01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F907E"/>
  <w14:defaultImageDpi w14:val="300"/>
  <w15:docId w15:val="{6C735C31-0159-4B46-BC25-791750EB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7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7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74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D31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D3174"/>
    <w:pPr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3174"/>
    <w:rPr>
      <w:rFonts w:ascii="Arial" w:eastAsiaTheme="minorHAnsi" w:hAnsi="Arial" w:cs="Arial"/>
      <w:sz w:val="20"/>
      <w:szCs w:val="20"/>
      <w:lang w:val="en-GB" w:eastAsia="en-GB"/>
    </w:rPr>
  </w:style>
  <w:style w:type="paragraph" w:customStyle="1" w:styleId="m-1826724443504238800msolistparagraph">
    <w:name w:val="m_-1826724443504238800msolistparagraph"/>
    <w:basedOn w:val="Normal"/>
    <w:rsid w:val="00FD3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SG" w:eastAsia="en-SG"/>
    </w:rPr>
  </w:style>
  <w:style w:type="paragraph" w:styleId="ListParagraph">
    <w:name w:val="List Paragraph"/>
    <w:basedOn w:val="Normal"/>
    <w:uiPriority w:val="34"/>
    <w:qFormat/>
    <w:rsid w:val="005A694F"/>
    <w:pPr>
      <w:ind w:left="720"/>
      <w:contextualSpacing/>
    </w:pPr>
  </w:style>
  <w:style w:type="paragraph" w:customStyle="1" w:styleId="Default">
    <w:name w:val="Default"/>
    <w:rsid w:val="005A694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m1899338768824247893default">
    <w:name w:val="m_1899338768824247893default"/>
    <w:basedOn w:val="Normal"/>
    <w:rsid w:val="009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899338768824247893msolistparagraph">
    <w:name w:val="m_1899338768824247893msolistparagraph"/>
    <w:basedOn w:val="Normal"/>
    <w:rsid w:val="009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871313999879457783msolistparagraph">
    <w:name w:val="m_7871313999879457783msolistparagraph"/>
    <w:basedOn w:val="Normal"/>
    <w:rsid w:val="008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Thien Trung</dc:creator>
  <cp:keywords/>
  <dc:description/>
  <cp:lastModifiedBy>Hoàng Thùy Linh</cp:lastModifiedBy>
  <cp:revision>2</cp:revision>
  <dcterms:created xsi:type="dcterms:W3CDTF">2022-07-06T05:14:00Z</dcterms:created>
  <dcterms:modified xsi:type="dcterms:W3CDTF">2022-07-06T05:14:00Z</dcterms:modified>
</cp:coreProperties>
</file>