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DD98" w14:textId="18888B1B" w:rsidR="003D0F40" w:rsidRDefault="003D0F40" w:rsidP="003D0F40">
      <w:pPr>
        <w:spacing w:line="288" w:lineRule="auto"/>
        <w:jc w:val="center"/>
        <w:rPr>
          <w:rFonts w:ascii="Times New Roman" w:hAnsi="Times New Roman" w:cs="Times New Roman"/>
          <w:b/>
          <w:bCs/>
          <w:sz w:val="26"/>
          <w:szCs w:val="26"/>
          <w:lang w:val="vi-VN"/>
        </w:rPr>
      </w:pPr>
      <w:r w:rsidRPr="001A4E7B">
        <w:rPr>
          <w:rFonts w:ascii="Times New Roman" w:hAnsi="Times New Roman" w:cs="Times New Roman"/>
          <w:b/>
          <w:bCs/>
          <w:sz w:val="26"/>
          <w:szCs w:val="26"/>
          <w:lang w:val="vi-VN"/>
        </w:rPr>
        <w:t xml:space="preserve">TỔNG HỢP GÓP Ý CỦA VIỆN NGHIÊN CỨU CHÍNH SÁCH VÀ </w:t>
      </w:r>
      <w:r>
        <w:rPr>
          <w:rFonts w:ascii="Times New Roman" w:hAnsi="Times New Roman" w:cs="Times New Roman"/>
          <w:b/>
          <w:bCs/>
          <w:sz w:val="26"/>
          <w:szCs w:val="26"/>
          <w:lang w:val="vi-VN"/>
        </w:rPr>
        <w:br/>
      </w:r>
      <w:r w:rsidRPr="001A4E7B">
        <w:rPr>
          <w:rFonts w:ascii="Times New Roman" w:hAnsi="Times New Roman" w:cs="Times New Roman"/>
          <w:b/>
          <w:bCs/>
          <w:sz w:val="26"/>
          <w:szCs w:val="26"/>
          <w:lang w:val="vi-VN"/>
        </w:rPr>
        <w:t>PHÁT TRIỂN TRUYỀN THÔNG VỀ DỰ THẢO LUẬT GIAO DỊCH ĐIỆN TỬ (SỬA ĐỔI)</w:t>
      </w:r>
    </w:p>
    <w:p w14:paraId="494D41CE" w14:textId="3B186F33" w:rsidR="00F706DC" w:rsidRPr="00F706DC" w:rsidRDefault="00F706DC" w:rsidP="00F706DC">
      <w:pPr>
        <w:spacing w:line="288" w:lineRule="auto"/>
        <w:jc w:val="right"/>
        <w:rPr>
          <w:rFonts w:ascii="Times New Roman" w:hAnsi="Times New Roman" w:cs="Times New Roman"/>
          <w:b/>
          <w:bCs/>
          <w:i/>
          <w:iCs/>
          <w:sz w:val="26"/>
          <w:szCs w:val="26"/>
          <w:lang w:val="vi-VN"/>
        </w:rPr>
      </w:pPr>
      <w:r>
        <w:rPr>
          <w:rFonts w:ascii="Times New Roman" w:hAnsi="Times New Roman" w:cs="Times New Roman"/>
          <w:b/>
          <w:bCs/>
          <w:sz w:val="26"/>
          <w:szCs w:val="26"/>
          <w:lang w:val="vi-VN"/>
        </w:rPr>
        <w:t xml:space="preserve">- </w:t>
      </w:r>
      <w:r w:rsidRPr="00F706DC">
        <w:rPr>
          <w:rFonts w:ascii="Times New Roman" w:hAnsi="Times New Roman" w:cs="Times New Roman"/>
          <w:b/>
          <w:bCs/>
          <w:i/>
          <w:iCs/>
          <w:sz w:val="26"/>
          <w:szCs w:val="26"/>
          <w:lang w:val="vi-VN"/>
        </w:rPr>
        <w:t>Viện Nghiên cứu Chính sách và Phát triển Truyền thông -</w:t>
      </w:r>
    </w:p>
    <w:p w14:paraId="3D06D8F6" w14:textId="77777777" w:rsidR="00F706DC" w:rsidRDefault="00F706DC" w:rsidP="003D0F40">
      <w:pPr>
        <w:spacing w:line="288" w:lineRule="auto"/>
        <w:jc w:val="both"/>
        <w:rPr>
          <w:rFonts w:ascii="Times New Roman" w:hAnsi="Times New Roman" w:cs="Times New Roman"/>
          <w:b/>
          <w:bCs/>
          <w:sz w:val="26"/>
          <w:szCs w:val="26"/>
          <w:lang w:val="vi-VN"/>
        </w:rPr>
      </w:pPr>
    </w:p>
    <w:p w14:paraId="430681E2" w14:textId="336ECEF8" w:rsidR="003D0F40" w:rsidRDefault="003D0F40" w:rsidP="003D0F40">
      <w:pPr>
        <w:spacing w:line="288" w:lineRule="auto"/>
        <w:jc w:val="both"/>
        <w:rPr>
          <w:rFonts w:ascii="Times New Roman" w:hAnsi="Times New Roman" w:cs="Times New Roman"/>
          <w:b/>
          <w:bCs/>
          <w:sz w:val="26"/>
          <w:szCs w:val="26"/>
          <w:lang w:val="vi-VN"/>
        </w:rPr>
      </w:pPr>
      <w:r w:rsidRPr="001A4E7B">
        <w:rPr>
          <w:rFonts w:ascii="Times New Roman" w:hAnsi="Times New Roman" w:cs="Times New Roman"/>
          <w:b/>
          <w:bCs/>
          <w:sz w:val="26"/>
          <w:szCs w:val="26"/>
          <w:lang w:val="vi-VN"/>
        </w:rPr>
        <w:t>1.</w:t>
      </w:r>
      <w:r>
        <w:rPr>
          <w:rFonts w:ascii="Times New Roman" w:hAnsi="Times New Roman" w:cs="Times New Roman"/>
          <w:b/>
          <w:bCs/>
          <w:sz w:val="26"/>
          <w:szCs w:val="26"/>
          <w:lang w:val="vi-VN"/>
        </w:rPr>
        <w:t xml:space="preserve"> Bối cảnh</w:t>
      </w:r>
    </w:p>
    <w:p w14:paraId="6BB189B3" w14:textId="77777777" w:rsidR="003D0F40" w:rsidRPr="00DD7E66" w:rsidRDefault="003D0F40" w:rsidP="003D0F40">
      <w:pPr>
        <w:spacing w:line="288" w:lineRule="auto"/>
        <w:ind w:firstLine="720"/>
        <w:jc w:val="both"/>
        <w:rPr>
          <w:rFonts w:ascii="Times New Roman" w:hAnsi="Times New Roman" w:cs="Times New Roman"/>
          <w:sz w:val="26"/>
          <w:szCs w:val="26"/>
          <w:lang w:val="vi-VN"/>
        </w:rPr>
      </w:pPr>
      <w:r w:rsidRPr="00DD7E66">
        <w:rPr>
          <w:rFonts w:ascii="Times New Roman" w:hAnsi="Times New Roman" w:cs="Times New Roman"/>
          <w:sz w:val="26"/>
          <w:szCs w:val="26"/>
          <w:lang w:val="vi-VN"/>
        </w:rPr>
        <w:t xml:space="preserve">Đến hết tháng 6/2022, Bộ Thông tin và Truyền thông đã công bố 03 bản dự thảo Luật Giao dịch điện tử (sửa đổi). Trong đó, bản dự thảo mới nhất (bản dự thảo lần 03) được công bố ngày 24/06/2022. Theo đó, văn bản góp ý này của Viện Nghiên cứu Chính sách và Phát triển Truyền thông góp dựa trên phiên bản dự thảo lần 03. Các điểm bình luận tại mục </w:t>
      </w:r>
      <w:r>
        <w:rPr>
          <w:rFonts w:ascii="Times New Roman" w:hAnsi="Times New Roman" w:cs="Times New Roman"/>
          <w:sz w:val="26"/>
          <w:szCs w:val="26"/>
          <w:lang w:val="vi-VN"/>
        </w:rPr>
        <w:t>3</w:t>
      </w:r>
      <w:r w:rsidRPr="00DD7E66">
        <w:rPr>
          <w:rFonts w:ascii="Times New Roman" w:hAnsi="Times New Roman" w:cs="Times New Roman"/>
          <w:sz w:val="26"/>
          <w:szCs w:val="26"/>
          <w:lang w:val="vi-VN"/>
        </w:rPr>
        <w:t xml:space="preserve"> dựa trên sự so sánh giữa phiên bản lần 03 và các bản dự thảo trước đó.</w:t>
      </w:r>
    </w:p>
    <w:p w14:paraId="14FC86A0" w14:textId="77777777" w:rsidR="003D0F40" w:rsidRDefault="003D0F40" w:rsidP="003D0F40">
      <w:pPr>
        <w:spacing w:line="288" w:lineRule="auto"/>
        <w:jc w:val="both"/>
        <w:rPr>
          <w:rFonts w:ascii="Times New Roman" w:hAnsi="Times New Roman" w:cs="Times New Roman"/>
          <w:b/>
          <w:bCs/>
          <w:sz w:val="26"/>
          <w:szCs w:val="26"/>
          <w:lang w:val="vi-VN"/>
        </w:rPr>
      </w:pPr>
    </w:p>
    <w:p w14:paraId="36C55F7F" w14:textId="77777777" w:rsidR="003D0F40" w:rsidRPr="001A4E7B" w:rsidRDefault="003D0F40" w:rsidP="003D0F40">
      <w:pPr>
        <w:spacing w:line="288" w:lineRule="auto"/>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2. </w:t>
      </w:r>
      <w:r w:rsidRPr="001A4E7B">
        <w:rPr>
          <w:rFonts w:ascii="Times New Roman" w:hAnsi="Times New Roman" w:cs="Times New Roman"/>
          <w:b/>
          <w:bCs/>
          <w:sz w:val="26"/>
          <w:szCs w:val="26"/>
          <w:lang w:val="vi-VN"/>
        </w:rPr>
        <w:t>Một số điểm tích cực</w:t>
      </w:r>
    </w:p>
    <w:p w14:paraId="4CED6DE4"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So với các bản dự thảo trước, bản d</w:t>
      </w:r>
      <w:r w:rsidRPr="001A4E7B">
        <w:rPr>
          <w:rFonts w:ascii="Times New Roman" w:hAnsi="Times New Roman" w:cs="Times New Roman"/>
          <w:sz w:val="26"/>
          <w:szCs w:val="26"/>
          <w:lang w:val="vi-VN"/>
        </w:rPr>
        <w:t xml:space="preserve">ự thảo </w:t>
      </w:r>
      <w:r>
        <w:rPr>
          <w:rFonts w:ascii="Times New Roman" w:hAnsi="Times New Roman" w:cs="Times New Roman"/>
          <w:sz w:val="26"/>
          <w:szCs w:val="26"/>
          <w:lang w:val="vi-VN"/>
        </w:rPr>
        <w:t xml:space="preserve">lần 03 </w:t>
      </w:r>
      <w:r w:rsidRPr="001A4E7B">
        <w:rPr>
          <w:rFonts w:ascii="Times New Roman" w:hAnsi="Times New Roman" w:cs="Times New Roman"/>
          <w:sz w:val="26"/>
          <w:szCs w:val="26"/>
          <w:lang w:val="vi-VN"/>
        </w:rPr>
        <w:t>đã có những thay đổi mang tính tích cực như sau:</w:t>
      </w:r>
    </w:p>
    <w:p w14:paraId="4B9DAD1A"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xml:space="preserve">- Bổ sung </w:t>
      </w:r>
      <w:r>
        <w:rPr>
          <w:rFonts w:ascii="Times New Roman" w:hAnsi="Times New Roman" w:cs="Times New Roman"/>
          <w:sz w:val="26"/>
          <w:szCs w:val="26"/>
          <w:lang w:val="vi-VN"/>
        </w:rPr>
        <w:t xml:space="preserve">quy định về </w:t>
      </w:r>
      <w:r w:rsidRPr="001A4E7B">
        <w:rPr>
          <w:rFonts w:ascii="Times New Roman" w:hAnsi="Times New Roman" w:cs="Times New Roman"/>
          <w:sz w:val="26"/>
          <w:szCs w:val="26"/>
          <w:lang w:val="vi-VN"/>
        </w:rPr>
        <w:t>mức độ tin cậy của tài khoản giao dịch điện tử</w:t>
      </w:r>
      <w:r>
        <w:rPr>
          <w:rFonts w:ascii="Times New Roman" w:hAnsi="Times New Roman" w:cs="Times New Roman"/>
          <w:sz w:val="26"/>
          <w:szCs w:val="26"/>
          <w:lang w:val="vi-VN"/>
        </w:rPr>
        <w:t>.</w:t>
      </w:r>
    </w:p>
    <w:p w14:paraId="7B06A026"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Bổ sung</w:t>
      </w:r>
      <w:r w:rsidRPr="00647E05">
        <w:rPr>
          <w:rFonts w:ascii="Times New Roman" w:hAnsi="Times New Roman" w:cs="Times New Roman"/>
          <w:sz w:val="26"/>
          <w:szCs w:val="26"/>
          <w:lang w:val="vi-VN"/>
        </w:rPr>
        <w:t xml:space="preserve"> </w:t>
      </w:r>
      <w:r>
        <w:rPr>
          <w:rFonts w:ascii="Times New Roman" w:hAnsi="Times New Roman" w:cs="Times New Roman"/>
          <w:sz w:val="26"/>
          <w:szCs w:val="26"/>
          <w:lang w:val="vi-VN"/>
        </w:rPr>
        <w:t>quy định về</w:t>
      </w:r>
      <w:r w:rsidRPr="001A4E7B">
        <w:rPr>
          <w:rFonts w:ascii="Times New Roman" w:hAnsi="Times New Roman" w:cs="Times New Roman"/>
          <w:sz w:val="26"/>
          <w:szCs w:val="26"/>
          <w:lang w:val="vi-VN"/>
        </w:rPr>
        <w:t xml:space="preserve"> mức độ tin cậy của chữ ký điện tử</w:t>
      </w:r>
      <w:r>
        <w:rPr>
          <w:rFonts w:ascii="Times New Roman" w:hAnsi="Times New Roman" w:cs="Times New Roman"/>
          <w:sz w:val="26"/>
          <w:szCs w:val="26"/>
          <w:lang w:val="vi-VN"/>
        </w:rPr>
        <w:t>.</w:t>
      </w:r>
      <w:r w:rsidRPr="001A4E7B">
        <w:rPr>
          <w:rFonts w:ascii="Times New Roman" w:hAnsi="Times New Roman" w:cs="Times New Roman"/>
          <w:sz w:val="26"/>
          <w:szCs w:val="26"/>
          <w:lang w:val="vi-VN"/>
        </w:rPr>
        <w:t xml:space="preserve"> </w:t>
      </w:r>
    </w:p>
    <w:p w14:paraId="483ACC9D"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xml:space="preserve">- Bổ sung quy định mới tại </w:t>
      </w:r>
      <w:r>
        <w:rPr>
          <w:rFonts w:ascii="Times New Roman" w:hAnsi="Times New Roman" w:cs="Times New Roman"/>
          <w:sz w:val="26"/>
          <w:szCs w:val="26"/>
          <w:lang w:val="vi-VN"/>
        </w:rPr>
        <w:t>Đ</w:t>
      </w:r>
      <w:r w:rsidRPr="001A4E7B">
        <w:rPr>
          <w:rFonts w:ascii="Times New Roman" w:hAnsi="Times New Roman" w:cs="Times New Roman"/>
          <w:sz w:val="26"/>
          <w:szCs w:val="26"/>
          <w:lang w:val="vi-VN"/>
        </w:rPr>
        <w:t>iều 15 về chuyển đổi hình thức giữa văn bản giấy và thông điệp dữ liệu trong dự thảo mới là cần thiết tuy nhiên cần thêm hướng dẫn cho điều này.</w:t>
      </w:r>
    </w:p>
    <w:p w14:paraId="12C871CA"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xml:space="preserve">- Loại bỏ </w:t>
      </w:r>
      <w:r>
        <w:rPr>
          <w:rFonts w:ascii="Times New Roman" w:hAnsi="Times New Roman" w:cs="Times New Roman"/>
          <w:sz w:val="26"/>
          <w:szCs w:val="26"/>
          <w:lang w:val="vi-VN"/>
        </w:rPr>
        <w:t>q</w:t>
      </w:r>
      <w:r w:rsidRPr="001A4E7B">
        <w:rPr>
          <w:rFonts w:ascii="Times New Roman" w:hAnsi="Times New Roman" w:cs="Times New Roman"/>
          <w:sz w:val="26"/>
          <w:szCs w:val="26"/>
          <w:lang w:val="vi-VN"/>
        </w:rPr>
        <w:t xml:space="preserve">uy định tại </w:t>
      </w:r>
      <w:r>
        <w:rPr>
          <w:rFonts w:ascii="Times New Roman" w:hAnsi="Times New Roman" w:cs="Times New Roman"/>
          <w:sz w:val="26"/>
          <w:szCs w:val="26"/>
          <w:lang w:val="vi-VN"/>
        </w:rPr>
        <w:t>Đ</w:t>
      </w:r>
      <w:r w:rsidRPr="001A4E7B">
        <w:rPr>
          <w:rFonts w:ascii="Times New Roman" w:hAnsi="Times New Roman" w:cs="Times New Roman"/>
          <w:sz w:val="26"/>
          <w:szCs w:val="26"/>
          <w:lang w:val="vi-VN"/>
        </w:rPr>
        <w:t xml:space="preserve">iều 36 trong dự thảo </w:t>
      </w:r>
      <w:r>
        <w:rPr>
          <w:rFonts w:ascii="Times New Roman" w:hAnsi="Times New Roman" w:cs="Times New Roman"/>
          <w:sz w:val="26"/>
          <w:szCs w:val="26"/>
          <w:lang w:val="vi-VN"/>
        </w:rPr>
        <w:t>lần 02</w:t>
      </w:r>
      <w:r w:rsidRPr="001A4E7B">
        <w:rPr>
          <w:rFonts w:ascii="Times New Roman" w:hAnsi="Times New Roman" w:cs="Times New Roman"/>
          <w:sz w:val="26"/>
          <w:szCs w:val="26"/>
          <w:lang w:val="vi-VN"/>
        </w:rPr>
        <w:t xml:space="preserve"> về Giao kết hợp đồng điện tử, đề nghị giao kết, chấp nhận giao kết và hiệu lực hợp đồng điện tử, từ đó có thể tránh hiểu nhầm về các giao dịch có tính chất trên các sàn </w:t>
      </w:r>
      <w:r>
        <w:rPr>
          <w:rFonts w:ascii="Times New Roman" w:hAnsi="Times New Roman" w:cs="Times New Roman"/>
          <w:sz w:val="26"/>
          <w:szCs w:val="26"/>
          <w:lang w:val="vi-VN"/>
        </w:rPr>
        <w:t>thương mại điện tử.</w:t>
      </w:r>
    </w:p>
    <w:p w14:paraId="2EC20230"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Loại bỏ các quy định mang tính chính sách trong nhóm quy định về giao dịch điện tử của cơ quan nhà nước</w:t>
      </w:r>
      <w:r>
        <w:rPr>
          <w:rFonts w:ascii="Times New Roman" w:hAnsi="Times New Roman" w:cs="Times New Roman"/>
          <w:sz w:val="26"/>
          <w:szCs w:val="26"/>
          <w:lang w:val="vi-VN"/>
        </w:rPr>
        <w:t>.</w:t>
      </w:r>
    </w:p>
    <w:p w14:paraId="63DAC0EE"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xml:space="preserve">- </w:t>
      </w:r>
      <w:r>
        <w:rPr>
          <w:rFonts w:ascii="Times New Roman" w:hAnsi="Times New Roman" w:cs="Times New Roman"/>
          <w:sz w:val="26"/>
          <w:szCs w:val="26"/>
          <w:lang w:val="vi-VN"/>
        </w:rPr>
        <w:t>Loại b</w:t>
      </w:r>
      <w:r w:rsidRPr="001A4E7B">
        <w:rPr>
          <w:rFonts w:ascii="Times New Roman" w:hAnsi="Times New Roman" w:cs="Times New Roman"/>
          <w:sz w:val="26"/>
          <w:szCs w:val="26"/>
          <w:lang w:val="vi-VN"/>
        </w:rPr>
        <w:t>ỏ quy định về dịch vụ hỗ trợ giao dịch điện tử, dịch vụ tín nhiệm số; từ đó có thể giúp giảm bớt các giấy tờ, thủ tục cho doanh nghiệp, các giấy chứng nhận không cẩn thiết</w:t>
      </w:r>
    </w:p>
    <w:p w14:paraId="5A284DF7" w14:textId="77777777" w:rsidR="003D0F40" w:rsidRDefault="003D0F40" w:rsidP="003D0F40">
      <w:pPr>
        <w:spacing w:line="288" w:lineRule="auto"/>
        <w:jc w:val="both"/>
        <w:rPr>
          <w:rFonts w:ascii="Times New Roman" w:hAnsi="Times New Roman" w:cs="Times New Roman"/>
          <w:b/>
          <w:bCs/>
          <w:sz w:val="26"/>
          <w:szCs w:val="26"/>
          <w:lang w:val="vi-VN"/>
        </w:rPr>
      </w:pPr>
    </w:p>
    <w:p w14:paraId="5743DEF6" w14:textId="77777777" w:rsidR="003D0F40" w:rsidRPr="001A4E7B" w:rsidRDefault="003D0F40" w:rsidP="003D0F40">
      <w:pPr>
        <w:spacing w:line="288" w:lineRule="auto"/>
        <w:jc w:val="both"/>
        <w:rPr>
          <w:rFonts w:ascii="Times New Roman" w:hAnsi="Times New Roman" w:cs="Times New Roman"/>
          <w:b/>
          <w:bCs/>
          <w:sz w:val="26"/>
          <w:szCs w:val="26"/>
          <w:lang w:val="vi-VN"/>
        </w:rPr>
      </w:pPr>
      <w:r w:rsidRPr="001A4E7B">
        <w:rPr>
          <w:rFonts w:ascii="Times New Roman" w:hAnsi="Times New Roman" w:cs="Times New Roman"/>
          <w:b/>
          <w:bCs/>
          <w:sz w:val="26"/>
          <w:szCs w:val="26"/>
          <w:lang w:val="vi-VN"/>
        </w:rPr>
        <w:t>3. Một số điểm hạn chế</w:t>
      </w:r>
    </w:p>
    <w:tbl>
      <w:tblPr>
        <w:tblStyle w:val="TableGrid"/>
        <w:tblW w:w="0" w:type="auto"/>
        <w:tblLook w:val="04A0" w:firstRow="1" w:lastRow="0" w:firstColumn="1" w:lastColumn="0" w:noHBand="0" w:noVBand="1"/>
      </w:tblPr>
      <w:tblGrid>
        <w:gridCol w:w="708"/>
        <w:gridCol w:w="2548"/>
        <w:gridCol w:w="5799"/>
      </w:tblGrid>
      <w:tr w:rsidR="003D0F40" w:rsidRPr="001A4E7B" w14:paraId="5BA97338" w14:textId="77777777" w:rsidTr="003D0F40">
        <w:trPr>
          <w:trHeight w:val="391"/>
        </w:trPr>
        <w:tc>
          <w:tcPr>
            <w:tcW w:w="0" w:type="auto"/>
          </w:tcPr>
          <w:p w14:paraId="61CD623A" w14:textId="77777777" w:rsidR="003D0F40" w:rsidRPr="001A4E7B" w:rsidRDefault="003D0F40" w:rsidP="0083577B">
            <w:pPr>
              <w:spacing w:line="288" w:lineRule="auto"/>
              <w:jc w:val="center"/>
              <w:rPr>
                <w:rFonts w:ascii="Times New Roman" w:hAnsi="Times New Roman" w:cs="Times New Roman"/>
                <w:b/>
                <w:bCs/>
                <w:sz w:val="26"/>
                <w:szCs w:val="26"/>
                <w:lang w:val="vi-VN"/>
              </w:rPr>
            </w:pPr>
            <w:r w:rsidRPr="001A4E7B">
              <w:rPr>
                <w:rFonts w:ascii="Times New Roman" w:hAnsi="Times New Roman" w:cs="Times New Roman"/>
                <w:b/>
                <w:bCs/>
                <w:sz w:val="26"/>
                <w:szCs w:val="26"/>
                <w:lang w:val="vi-VN"/>
              </w:rPr>
              <w:t>STT</w:t>
            </w:r>
          </w:p>
        </w:tc>
        <w:tc>
          <w:tcPr>
            <w:tcW w:w="2548" w:type="dxa"/>
          </w:tcPr>
          <w:p w14:paraId="1F3E2343" w14:textId="77777777" w:rsidR="003D0F40" w:rsidRPr="001A4E7B" w:rsidRDefault="003D0F40" w:rsidP="0083577B">
            <w:pPr>
              <w:spacing w:line="288"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Quy định</w:t>
            </w:r>
          </w:p>
        </w:tc>
        <w:tc>
          <w:tcPr>
            <w:tcW w:w="5799" w:type="dxa"/>
          </w:tcPr>
          <w:p w14:paraId="2DDB932A" w14:textId="77777777" w:rsidR="003D0F40" w:rsidRPr="001A4E7B" w:rsidRDefault="003D0F40" w:rsidP="0083577B">
            <w:pPr>
              <w:spacing w:line="288"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Bình luận</w:t>
            </w:r>
          </w:p>
        </w:tc>
      </w:tr>
      <w:tr w:rsidR="003D0F40" w:rsidRPr="00C053AE" w14:paraId="47FDFC1C" w14:textId="77777777" w:rsidTr="003D0F40">
        <w:trPr>
          <w:trHeight w:val="391"/>
        </w:trPr>
        <w:tc>
          <w:tcPr>
            <w:tcW w:w="0" w:type="auto"/>
          </w:tcPr>
          <w:p w14:paraId="0EB617B2"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7AB7ADCD" w14:textId="77777777" w:rsidR="003D0F40"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Điều 54. Trách nhiệm của chủ quản hệ thống thông tin</w:t>
            </w:r>
          </w:p>
        </w:tc>
        <w:tc>
          <w:tcPr>
            <w:tcW w:w="5799" w:type="dxa"/>
          </w:tcPr>
          <w:p w14:paraId="73937CC4" w14:textId="77777777" w:rsidR="003D0F40"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T</w:t>
            </w:r>
            <w:r w:rsidRPr="000D77F5">
              <w:rPr>
                <w:rFonts w:ascii="Times New Roman" w:hAnsi="Times New Roman" w:cs="Times New Roman"/>
                <w:sz w:val="26"/>
                <w:szCs w:val="26"/>
                <w:lang w:val="vi-VN"/>
              </w:rPr>
              <w:t xml:space="preserve">ại dự thảo </w:t>
            </w:r>
            <w:r>
              <w:rPr>
                <w:rFonts w:ascii="Times New Roman" w:hAnsi="Times New Roman" w:cs="Times New Roman"/>
                <w:sz w:val="26"/>
                <w:szCs w:val="26"/>
                <w:lang w:val="vi-VN"/>
              </w:rPr>
              <w:t>lần 03</w:t>
            </w:r>
            <w:r w:rsidRPr="000D77F5">
              <w:rPr>
                <w:rFonts w:ascii="Times New Roman" w:hAnsi="Times New Roman" w:cs="Times New Roman"/>
                <w:sz w:val="26"/>
                <w:szCs w:val="26"/>
                <w:lang w:val="vi-VN"/>
              </w:rPr>
              <w:t xml:space="preserve">, mặc dù phần lớn các quy định về nền tảng số, dịch vụ số đã được loại bỏ, song vẫn </w:t>
            </w:r>
            <w:r>
              <w:rPr>
                <w:rFonts w:ascii="Times New Roman" w:hAnsi="Times New Roman" w:cs="Times New Roman"/>
                <w:sz w:val="26"/>
                <w:szCs w:val="26"/>
                <w:lang w:val="vi-VN"/>
              </w:rPr>
              <w:t>giữ lại</w:t>
            </w:r>
            <w:r w:rsidRPr="000D77F5">
              <w:rPr>
                <w:rFonts w:ascii="Times New Roman" w:hAnsi="Times New Roman" w:cs="Times New Roman"/>
                <w:sz w:val="26"/>
                <w:szCs w:val="26"/>
                <w:lang w:val="vi-VN"/>
              </w:rPr>
              <w:t xml:space="preserve"> một</w:t>
            </w:r>
            <w:r>
              <w:rPr>
                <w:rFonts w:ascii="Times New Roman" w:hAnsi="Times New Roman" w:cs="Times New Roman"/>
                <w:sz w:val="26"/>
                <w:szCs w:val="26"/>
                <w:lang w:val="vi-VN"/>
              </w:rPr>
              <w:t xml:space="preserve"> số</w:t>
            </w:r>
            <w:r w:rsidRPr="000D77F5">
              <w:rPr>
                <w:rFonts w:ascii="Times New Roman" w:hAnsi="Times New Roman" w:cs="Times New Roman"/>
                <w:sz w:val="26"/>
                <w:szCs w:val="26"/>
                <w:lang w:val="vi-VN"/>
              </w:rPr>
              <w:t xml:space="preserve"> quy định về nghĩa vụ của các nền tảng số dựa trên quy mô chưa thực sự phù hợp. Ví dụ như yêu cầu chủ quản nền tảng số có số lượng người sử dụng tại Việt Nam hoạt động hàng tháng từ 10 triệu trở lên hoặc có số lượng truy cập hàng tháng từ người sử dụng tại Việt Nam từ 100 triệu trở lên trong liên tục 06 </w:t>
            </w:r>
            <w:r w:rsidRPr="000D77F5">
              <w:rPr>
                <w:rFonts w:ascii="Times New Roman" w:hAnsi="Times New Roman" w:cs="Times New Roman"/>
                <w:sz w:val="26"/>
                <w:szCs w:val="26"/>
                <w:lang w:val="vi-VN"/>
              </w:rPr>
              <w:lastRenderedPageBreak/>
              <w:t>tháng có trách nhiệm công bố công khai thuật toán sử dụng để khuyến nghị, hiển thị nội dung, hiển thị quảng cáo cho người dùng và cho phép người dùng lựa chọn phương án không sử dụng khuyến nghị, hiển thị nội dung, hiển thị quảng cáo dựa trên phân tích dữ liệu về người dùng.</w:t>
            </w:r>
            <w:r>
              <w:rPr>
                <w:rFonts w:ascii="Times New Roman" w:hAnsi="Times New Roman" w:cs="Times New Roman"/>
                <w:sz w:val="26"/>
                <w:szCs w:val="26"/>
                <w:lang w:val="vi-VN"/>
              </w:rPr>
              <w:t xml:space="preserve"> Ban soạn thảo nên cân nhắc các quy định về nghĩa vụ sao cho phù hợp.</w:t>
            </w:r>
          </w:p>
          <w:p w14:paraId="7C266F99" w14:textId="77777777" w:rsidR="003D0F40" w:rsidRDefault="003D0F40" w:rsidP="0083577B">
            <w:pPr>
              <w:spacing w:line="288" w:lineRule="auto"/>
              <w:jc w:val="both"/>
              <w:rPr>
                <w:rFonts w:ascii="Times New Roman" w:hAnsi="Times New Roman" w:cs="Times New Roman"/>
                <w:sz w:val="26"/>
                <w:szCs w:val="26"/>
                <w:lang w:val="vi-VN"/>
              </w:rPr>
            </w:pPr>
          </w:p>
          <w:p w14:paraId="69943F49" w14:textId="77777777" w:rsidR="003D0F40"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1A4E7B">
              <w:rPr>
                <w:rFonts w:ascii="Times New Roman" w:hAnsi="Times New Roman" w:cs="Times New Roman"/>
                <w:sz w:val="26"/>
                <w:szCs w:val="26"/>
                <w:lang w:val="vi-VN"/>
              </w:rPr>
              <w:t xml:space="preserve">Nên bổ sung quy định về nghĩa vụ (cơ chế tiếp nhận báo cáo từ người dùng về thông tin vi phạm, gỡ bỏ thông tin vi phạm, bảo vệ dữ liệu cá nhân người sử dụng dịch vụ), giới hạn </w:t>
            </w:r>
            <w:r>
              <w:rPr>
                <w:rFonts w:ascii="Times New Roman" w:hAnsi="Times New Roman" w:cs="Times New Roman"/>
                <w:sz w:val="26"/>
                <w:szCs w:val="26"/>
                <w:lang w:val="vi-VN"/>
              </w:rPr>
              <w:t xml:space="preserve">trách </w:t>
            </w:r>
            <w:r w:rsidRPr="001A4E7B">
              <w:rPr>
                <w:rFonts w:ascii="Times New Roman" w:hAnsi="Times New Roman" w:cs="Times New Roman"/>
                <w:sz w:val="26"/>
                <w:szCs w:val="26"/>
                <w:lang w:val="vi-VN"/>
              </w:rPr>
              <w:t>nhiệm (không tiếp cận nội dung giao dịch)</w:t>
            </w:r>
            <w:r>
              <w:rPr>
                <w:rFonts w:ascii="Times New Roman" w:hAnsi="Times New Roman" w:cs="Times New Roman"/>
                <w:sz w:val="26"/>
                <w:szCs w:val="26"/>
                <w:lang w:val="vi-VN"/>
              </w:rPr>
              <w:t xml:space="preserve"> của chủ quản hệ thống thông tin.</w:t>
            </w:r>
          </w:p>
          <w:p w14:paraId="774CB35A" w14:textId="77777777" w:rsidR="003D0F40" w:rsidRDefault="003D0F40" w:rsidP="0083577B">
            <w:pPr>
              <w:spacing w:line="288" w:lineRule="auto"/>
              <w:jc w:val="both"/>
              <w:rPr>
                <w:rFonts w:ascii="Times New Roman" w:hAnsi="Times New Roman" w:cs="Times New Roman"/>
                <w:sz w:val="26"/>
                <w:szCs w:val="26"/>
                <w:lang w:val="vi-VN"/>
              </w:rPr>
            </w:pPr>
          </w:p>
          <w:p w14:paraId="548969BF" w14:textId="77777777" w:rsidR="003D0F40"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Nên tiếp cận cách quy định miễn trừ trách nhiệm cho chủ quản hệ thống thông tin (như dự thảo lần 02)</w:t>
            </w:r>
          </w:p>
          <w:p w14:paraId="36AAAD83" w14:textId="77777777" w:rsidR="003D0F40" w:rsidRDefault="003D0F40" w:rsidP="0083577B">
            <w:pPr>
              <w:spacing w:line="288" w:lineRule="auto"/>
              <w:jc w:val="both"/>
              <w:rPr>
                <w:rFonts w:ascii="Times New Roman" w:hAnsi="Times New Roman" w:cs="Times New Roman"/>
                <w:sz w:val="26"/>
                <w:szCs w:val="26"/>
                <w:lang w:val="vi-VN"/>
              </w:rPr>
            </w:pPr>
          </w:p>
          <w:p w14:paraId="4CCF4E5C" w14:textId="77777777" w:rsidR="003D0F40" w:rsidRPr="0033228E"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Trong trường hợp loại bỏ hoàn toàn các quy định về chủ quản hệ thống thông tin (hay ban đầu được quy định dưới tên gọi nền tảng số, dịch vụ số), các vấn đề liên quan đến chủ thể này có thể được cân nhắc đưa vào </w:t>
            </w:r>
            <w:r w:rsidRPr="00C53271">
              <w:rPr>
                <w:rFonts w:ascii="Times New Roman" w:hAnsi="Times New Roman" w:cs="Times New Roman"/>
                <w:sz w:val="26"/>
                <w:szCs w:val="26"/>
                <w:lang w:val="vi-VN"/>
              </w:rPr>
              <w:t>Nghị định 72/2013/NĐ-CP về quản lý, cung cấp, sử dụng dịch vụ Internet và thông tin trên mạng</w:t>
            </w:r>
            <w:r>
              <w:rPr>
                <w:rFonts w:ascii="Times New Roman" w:hAnsi="Times New Roman" w:cs="Times New Roman"/>
                <w:sz w:val="26"/>
                <w:szCs w:val="26"/>
                <w:lang w:val="vi-VN"/>
              </w:rPr>
              <w:t>.</w:t>
            </w:r>
          </w:p>
        </w:tc>
      </w:tr>
      <w:tr w:rsidR="003D0F40" w:rsidRPr="00C053AE" w14:paraId="23B99B4B" w14:textId="77777777" w:rsidTr="003D0F40">
        <w:trPr>
          <w:trHeight w:val="391"/>
        </w:trPr>
        <w:tc>
          <w:tcPr>
            <w:tcW w:w="0" w:type="auto"/>
          </w:tcPr>
          <w:p w14:paraId="75BD8C18"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03B47154" w14:textId="77777777" w:rsidR="003D0F40" w:rsidRPr="001A4E7B"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Điều 11.</w:t>
            </w:r>
            <w:r w:rsidRPr="001A4E7B">
              <w:rPr>
                <w:rFonts w:ascii="Times New Roman" w:hAnsi="Times New Roman" w:cs="Times New Roman"/>
                <w:sz w:val="26"/>
                <w:szCs w:val="26"/>
                <w:lang w:val="vi-VN"/>
              </w:rPr>
              <w:t xml:space="preserve"> </w:t>
            </w:r>
            <w:r>
              <w:rPr>
                <w:rFonts w:ascii="Times New Roman" w:hAnsi="Times New Roman" w:cs="Times New Roman"/>
                <w:sz w:val="26"/>
                <w:szCs w:val="26"/>
                <w:lang w:val="vi-VN"/>
              </w:rPr>
              <w:t>G</w:t>
            </w:r>
            <w:r w:rsidRPr="001A4E7B">
              <w:rPr>
                <w:rFonts w:ascii="Times New Roman" w:hAnsi="Times New Roman" w:cs="Times New Roman"/>
                <w:sz w:val="26"/>
                <w:szCs w:val="26"/>
                <w:lang w:val="vi-VN"/>
              </w:rPr>
              <w:t>iá trị pháp lý của thông điệp dữ liệu dựa trên mức độ tin cậy</w:t>
            </w:r>
          </w:p>
        </w:tc>
        <w:tc>
          <w:tcPr>
            <w:tcW w:w="5799" w:type="dxa"/>
          </w:tcPr>
          <w:p w14:paraId="3C6C59B0" w14:textId="77777777" w:rsidR="003D0F40" w:rsidRPr="001A4E7B" w:rsidRDefault="003D0F40" w:rsidP="0083577B">
            <w:pPr>
              <w:spacing w:line="288" w:lineRule="auto"/>
              <w:jc w:val="both"/>
              <w:rPr>
                <w:rFonts w:ascii="Times New Roman" w:hAnsi="Times New Roman" w:cs="Times New Roman"/>
                <w:sz w:val="26"/>
                <w:szCs w:val="26"/>
                <w:lang w:val="vi-VN"/>
              </w:rPr>
            </w:pPr>
            <w:r w:rsidRPr="0033228E">
              <w:rPr>
                <w:rFonts w:ascii="Times New Roman" w:hAnsi="Times New Roman" w:cs="Times New Roman"/>
                <w:sz w:val="26"/>
                <w:szCs w:val="26"/>
                <w:lang w:val="vi-VN"/>
              </w:rPr>
              <w:t>Việc thay đổi này khiến các quy định trong dự thảo mới trở nên chung chung, không cụ thể bằng phiên bản lần 2. Điều này dẫn đến các Điều 12, Điều 13, Điều 14 trong dự thảo mới không rõ ràng. Trong trường hợp giữ lại cách tiếp cận như phiên bản lần 2 thì cần chú ý về tính thống nhất giữa Điều 11, Điều 15, Điều 23 và Điều 32.</w:t>
            </w:r>
          </w:p>
        </w:tc>
      </w:tr>
      <w:tr w:rsidR="003D0F40" w:rsidRPr="00C053AE" w14:paraId="78E00378" w14:textId="77777777" w:rsidTr="003D0F40">
        <w:trPr>
          <w:trHeight w:val="391"/>
        </w:trPr>
        <w:tc>
          <w:tcPr>
            <w:tcW w:w="0" w:type="auto"/>
          </w:tcPr>
          <w:p w14:paraId="2287445F"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3A56A5DD" w14:textId="77777777" w:rsidR="003D0F40" w:rsidRPr="001A4E7B" w:rsidRDefault="003D0F40" w:rsidP="0083577B">
            <w:pPr>
              <w:spacing w:line="288" w:lineRule="auto"/>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Điều 17 và Điều 19</w:t>
            </w:r>
          </w:p>
        </w:tc>
        <w:tc>
          <w:tcPr>
            <w:tcW w:w="5799" w:type="dxa"/>
          </w:tcPr>
          <w:p w14:paraId="2925CF5A" w14:textId="77777777" w:rsidR="003D0F40" w:rsidRDefault="003D0F40" w:rsidP="0083577B">
            <w:pPr>
              <w:spacing w:line="288" w:lineRule="auto"/>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Sửa đổi tên điều 17 và điều 19 trong dự thảo mới cho thống nhất</w:t>
            </w:r>
          </w:p>
          <w:p w14:paraId="2A906EC9" w14:textId="77777777" w:rsidR="003D0F40" w:rsidRPr="001A4E7B" w:rsidRDefault="003D0F40" w:rsidP="0083577B">
            <w:pPr>
              <w:spacing w:line="288" w:lineRule="auto"/>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Điều 17</w:t>
            </w:r>
            <w:r>
              <w:rPr>
                <w:rFonts w:ascii="Times New Roman" w:hAnsi="Times New Roman" w:cs="Times New Roman"/>
                <w:sz w:val="26"/>
                <w:szCs w:val="26"/>
                <w:lang w:val="vi-VN"/>
              </w:rPr>
              <w:t xml:space="preserve">. </w:t>
            </w:r>
            <w:r w:rsidRPr="001A4E7B">
              <w:rPr>
                <w:rFonts w:ascii="Times New Roman" w:hAnsi="Times New Roman" w:cs="Times New Roman"/>
                <w:sz w:val="26"/>
                <w:szCs w:val="26"/>
                <w:lang w:val="vi-VN"/>
              </w:rPr>
              <w:t>Khởi tạo thông điệp dữ liệu</w:t>
            </w:r>
          </w:p>
          <w:p w14:paraId="01F6EC9D" w14:textId="77777777" w:rsidR="003D0F40" w:rsidRPr="001A4E7B" w:rsidRDefault="003D0F40" w:rsidP="0083577B">
            <w:pPr>
              <w:spacing w:line="288" w:lineRule="auto"/>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Điều 19</w:t>
            </w:r>
            <w:r>
              <w:rPr>
                <w:rFonts w:ascii="Times New Roman" w:hAnsi="Times New Roman" w:cs="Times New Roman"/>
                <w:sz w:val="26"/>
                <w:szCs w:val="26"/>
                <w:lang w:val="vi-VN"/>
              </w:rPr>
              <w:t xml:space="preserve">. </w:t>
            </w:r>
            <w:r w:rsidRPr="001A4E7B">
              <w:rPr>
                <w:rFonts w:ascii="Times New Roman" w:hAnsi="Times New Roman" w:cs="Times New Roman"/>
                <w:sz w:val="26"/>
                <w:szCs w:val="26"/>
                <w:lang w:val="vi-VN"/>
              </w:rPr>
              <w:t>Nhận thông điệp dữ liệu</w:t>
            </w:r>
          </w:p>
        </w:tc>
      </w:tr>
      <w:tr w:rsidR="003D0F40" w:rsidRPr="00C053AE" w14:paraId="7E5DCBEA" w14:textId="77777777" w:rsidTr="003D0F40">
        <w:trPr>
          <w:trHeight w:val="391"/>
        </w:trPr>
        <w:tc>
          <w:tcPr>
            <w:tcW w:w="0" w:type="auto"/>
          </w:tcPr>
          <w:p w14:paraId="44F21AE4"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16FE76D2" w14:textId="77777777" w:rsidR="003D0F40" w:rsidRPr="001A4E7B" w:rsidRDefault="003D0F40" w:rsidP="0083577B">
            <w:pPr>
              <w:spacing w:line="288" w:lineRule="auto"/>
              <w:jc w:val="both"/>
              <w:rPr>
                <w:rFonts w:ascii="Times New Roman" w:hAnsi="Times New Roman" w:cs="Times New Roman"/>
                <w:sz w:val="26"/>
                <w:szCs w:val="26"/>
                <w:lang w:val="vi-VN"/>
              </w:rPr>
            </w:pPr>
            <w:r w:rsidRPr="0033228E">
              <w:rPr>
                <w:rFonts w:ascii="Times New Roman" w:hAnsi="Times New Roman" w:cs="Times New Roman"/>
                <w:sz w:val="26"/>
                <w:szCs w:val="26"/>
                <w:lang w:val="vi-VN"/>
              </w:rPr>
              <w:t xml:space="preserve">Các quy định chi tiết về tài khoản giao dịch điện tử được cấu trúc lại thành các quy định tại phần hệ thống </w:t>
            </w:r>
            <w:r w:rsidRPr="0033228E">
              <w:rPr>
                <w:rFonts w:ascii="Times New Roman" w:hAnsi="Times New Roman" w:cs="Times New Roman"/>
                <w:sz w:val="26"/>
                <w:szCs w:val="26"/>
                <w:lang w:val="vi-VN"/>
              </w:rPr>
              <w:lastRenderedPageBreak/>
              <w:t>thông tin phục vụ giao dịch điện tử</w:t>
            </w:r>
          </w:p>
        </w:tc>
        <w:tc>
          <w:tcPr>
            <w:tcW w:w="5799" w:type="dxa"/>
          </w:tcPr>
          <w:p w14:paraId="3B210F89" w14:textId="77777777" w:rsidR="003D0F40" w:rsidRPr="001A4E7B" w:rsidRDefault="003D0F40" w:rsidP="0083577B">
            <w:pPr>
              <w:spacing w:line="288" w:lineRule="auto"/>
              <w:jc w:val="both"/>
              <w:rPr>
                <w:rFonts w:ascii="Times New Roman" w:hAnsi="Times New Roman" w:cs="Times New Roman"/>
                <w:sz w:val="26"/>
                <w:szCs w:val="26"/>
                <w:lang w:val="vi-VN"/>
              </w:rPr>
            </w:pPr>
            <w:r w:rsidRPr="0033228E">
              <w:rPr>
                <w:rFonts w:ascii="Times New Roman" w:hAnsi="Times New Roman" w:cs="Times New Roman"/>
                <w:sz w:val="26"/>
                <w:szCs w:val="26"/>
                <w:lang w:val="vi-VN"/>
              </w:rPr>
              <w:lastRenderedPageBreak/>
              <w:t>Việc loại bỏ và cấu trúc lại các quy định này đã loại bỏ các quy định về quyền và nghĩa vụ của chủ tài khoản giao dịch điện tử, khiến chủ thể này thiếu cơ sở pháp lý để tuân thủ và bảo vệ quyền và lợi ích của mình.</w:t>
            </w:r>
          </w:p>
        </w:tc>
      </w:tr>
      <w:tr w:rsidR="003D0F40" w:rsidRPr="00C053AE" w14:paraId="68A7C2E7" w14:textId="77777777" w:rsidTr="003D0F40">
        <w:trPr>
          <w:trHeight w:val="391"/>
        </w:trPr>
        <w:tc>
          <w:tcPr>
            <w:tcW w:w="0" w:type="auto"/>
          </w:tcPr>
          <w:p w14:paraId="6F64C558"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07F3AC32" w14:textId="77777777" w:rsidR="003D0F40" w:rsidRPr="001A4E7B" w:rsidRDefault="003D0F40" w:rsidP="0083577B">
            <w:pPr>
              <w:spacing w:line="288" w:lineRule="auto"/>
              <w:jc w:val="both"/>
              <w:rPr>
                <w:rFonts w:ascii="Times New Roman" w:hAnsi="Times New Roman" w:cs="Times New Roman"/>
                <w:sz w:val="26"/>
                <w:szCs w:val="26"/>
                <w:lang w:val="vi-VN"/>
              </w:rPr>
            </w:pPr>
            <w:r w:rsidRPr="001F15BD">
              <w:rPr>
                <w:rFonts w:ascii="Times New Roman" w:hAnsi="Times New Roman" w:cs="Times New Roman"/>
                <w:sz w:val="26"/>
                <w:szCs w:val="26"/>
                <w:lang w:val="vi-VN"/>
              </w:rPr>
              <w:t>Giá trị pháp lý của hợp đồng điện tử căn cứ theo mức độ tin cậy của các thực thể trong hợp đồng điện tử và quá trình giao kết hợp đồng</w:t>
            </w:r>
          </w:p>
        </w:tc>
        <w:tc>
          <w:tcPr>
            <w:tcW w:w="5799" w:type="dxa"/>
          </w:tcPr>
          <w:p w14:paraId="2A21AAF2" w14:textId="77777777" w:rsidR="003D0F40" w:rsidRPr="001A4E7B" w:rsidRDefault="003D0F40" w:rsidP="0083577B">
            <w:pPr>
              <w:spacing w:line="288" w:lineRule="auto"/>
              <w:jc w:val="both"/>
              <w:rPr>
                <w:rFonts w:ascii="Times New Roman" w:hAnsi="Times New Roman" w:cs="Times New Roman"/>
                <w:sz w:val="26"/>
                <w:szCs w:val="26"/>
                <w:lang w:val="vi-VN"/>
              </w:rPr>
            </w:pPr>
            <w:r w:rsidRPr="001F15BD">
              <w:rPr>
                <w:rFonts w:ascii="Times New Roman" w:hAnsi="Times New Roman" w:cs="Times New Roman"/>
                <w:sz w:val="26"/>
                <w:szCs w:val="26"/>
                <w:lang w:val="vi-VN"/>
              </w:rPr>
              <w:t>Trong dự thảo lần 2, Giá trị pháp lý của hợp đồng điện tử căn cứ theo mức độ tin cậy của các thực thể trong hợp đồng điện tử và quá trình giao kết hợp đồng, bao gồm: a) Chủ thể giao dịch (tài khoản giao dịch điện tử); b) Thông điệp dữ liệu hợp đồng; c) Chứng từ điện tử kèm theo hợp đồng (nếu có); d) Các thực thể khác gắn liền với hợp đồng điện tử và quá trình giao kết hợp đồng điện tử. Nếu loại bỏ các quy định này có thể khiến các quy định về giao kết và thực hiện hợp đồng trong dự thảo mới trở nên chung chung, không cụ thể.</w:t>
            </w:r>
          </w:p>
        </w:tc>
      </w:tr>
      <w:tr w:rsidR="003D0F40" w:rsidRPr="00C053AE" w14:paraId="1524BD34" w14:textId="77777777" w:rsidTr="003D0F40">
        <w:trPr>
          <w:trHeight w:val="391"/>
        </w:trPr>
        <w:tc>
          <w:tcPr>
            <w:tcW w:w="0" w:type="auto"/>
          </w:tcPr>
          <w:p w14:paraId="06ED1294"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4FEE7881" w14:textId="77777777" w:rsidR="003D0F40" w:rsidRPr="001A4E7B"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Quy</w:t>
            </w:r>
            <w:r w:rsidRPr="001A4E7B">
              <w:rPr>
                <w:rFonts w:ascii="Times New Roman" w:hAnsi="Times New Roman" w:cs="Times New Roman"/>
                <w:sz w:val="26"/>
                <w:szCs w:val="26"/>
                <w:lang w:val="vi-VN"/>
              </w:rPr>
              <w:t xml:space="preserve"> định tại Điều 39 trong dự thảo </w:t>
            </w:r>
            <w:r>
              <w:rPr>
                <w:rFonts w:ascii="Times New Roman" w:hAnsi="Times New Roman" w:cs="Times New Roman"/>
                <w:sz w:val="26"/>
                <w:szCs w:val="26"/>
                <w:lang w:val="vi-VN"/>
              </w:rPr>
              <w:t>lần 02</w:t>
            </w:r>
            <w:r w:rsidRPr="001A4E7B">
              <w:rPr>
                <w:rFonts w:ascii="Times New Roman" w:hAnsi="Times New Roman" w:cs="Times New Roman"/>
                <w:sz w:val="26"/>
                <w:szCs w:val="26"/>
                <w:lang w:val="vi-VN"/>
              </w:rPr>
              <w:t xml:space="preserve"> về hợp đồng điện tử và hợp đồng điện tử mẫu</w:t>
            </w:r>
            <w:r>
              <w:rPr>
                <w:rFonts w:ascii="Times New Roman" w:hAnsi="Times New Roman" w:cs="Times New Roman"/>
                <w:sz w:val="26"/>
                <w:szCs w:val="26"/>
                <w:lang w:val="vi-VN"/>
              </w:rPr>
              <w:t xml:space="preserve"> </w:t>
            </w:r>
            <w:r w:rsidRPr="001F15BD">
              <w:rPr>
                <w:rFonts w:ascii="Times New Roman" w:hAnsi="Times New Roman" w:cs="Times New Roman"/>
                <w:i/>
                <w:iCs/>
                <w:sz w:val="26"/>
                <w:szCs w:val="26"/>
                <w:lang w:val="vi-VN"/>
              </w:rPr>
              <w:t xml:space="preserve">“1. Các hợp đồng điện tử mẫu được các nền tảng áp dụng chung với tất cả người sử dụng thì phải tuân theo các quy định về bảo vệ người tiêu dùng theo pháp luật về cạnh tranh và bảo vệ người tiêu dùng. 2. Trong nội dung hợp đồng mẫu hoặc các quy định quản lý được các nền tảng ban hành làm cơ sở áp dụng cho các giao dịch giữa những người sử dụng với nhau trên các nền tảng thì cần phải dẫn chiếu đến tổ chức hòa giải và trọng tà i cung cấp nền tảng hòa giải </w:t>
            </w:r>
            <w:r w:rsidRPr="001F15BD">
              <w:rPr>
                <w:rFonts w:ascii="Times New Roman" w:hAnsi="Times New Roman" w:cs="Times New Roman"/>
                <w:i/>
                <w:iCs/>
                <w:sz w:val="26"/>
                <w:szCs w:val="26"/>
                <w:lang w:val="vi-VN"/>
              </w:rPr>
              <w:lastRenderedPageBreak/>
              <w:t>và/hoặc trọng tài trực tuyến được cấp phép.”</w:t>
            </w:r>
          </w:p>
        </w:tc>
        <w:tc>
          <w:tcPr>
            <w:tcW w:w="5799" w:type="dxa"/>
          </w:tcPr>
          <w:p w14:paraId="0A91C44F" w14:textId="77777777" w:rsidR="003D0F40" w:rsidRPr="001A4E7B" w:rsidRDefault="003D0F40" w:rsidP="0083577B">
            <w:pPr>
              <w:spacing w:line="288" w:lineRule="auto"/>
              <w:jc w:val="both"/>
              <w:rPr>
                <w:rFonts w:ascii="Times New Roman" w:hAnsi="Times New Roman" w:cs="Times New Roman"/>
                <w:sz w:val="26"/>
                <w:szCs w:val="26"/>
                <w:lang w:val="vi-VN"/>
              </w:rPr>
            </w:pPr>
            <w:r w:rsidRPr="001F15BD">
              <w:rPr>
                <w:rFonts w:ascii="Times New Roman" w:hAnsi="Times New Roman" w:cs="Times New Roman"/>
                <w:sz w:val="26"/>
                <w:szCs w:val="26"/>
                <w:lang w:val="vi-VN"/>
              </w:rPr>
              <w:lastRenderedPageBreak/>
              <w:t>Việc loại bỏ điều này làm thiếu cơ sở pháp lý để bảo vệ người dùng.</w:t>
            </w:r>
          </w:p>
        </w:tc>
      </w:tr>
      <w:tr w:rsidR="003D0F40" w:rsidRPr="00C053AE" w14:paraId="69CCBCA3" w14:textId="77777777" w:rsidTr="003D0F40">
        <w:trPr>
          <w:trHeight w:val="391"/>
        </w:trPr>
        <w:tc>
          <w:tcPr>
            <w:tcW w:w="0" w:type="auto"/>
          </w:tcPr>
          <w:p w14:paraId="3D7B37B4"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3B14B6A1" w14:textId="77777777" w:rsidR="003D0F40" w:rsidRPr="001A4E7B"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Q</w:t>
            </w:r>
            <w:r w:rsidRPr="001A4E7B">
              <w:rPr>
                <w:rFonts w:ascii="Times New Roman" w:hAnsi="Times New Roman" w:cs="Times New Roman"/>
                <w:sz w:val="26"/>
                <w:szCs w:val="26"/>
                <w:lang w:val="vi-VN"/>
              </w:rPr>
              <w:t xml:space="preserve">uy định tại Điều 79 trong dự thảo </w:t>
            </w:r>
            <w:r>
              <w:rPr>
                <w:rFonts w:ascii="Times New Roman" w:hAnsi="Times New Roman" w:cs="Times New Roman"/>
                <w:sz w:val="26"/>
                <w:szCs w:val="26"/>
                <w:lang w:val="vi-VN"/>
              </w:rPr>
              <w:t xml:space="preserve">lần 02 </w:t>
            </w:r>
            <w:r w:rsidRPr="001A4E7B">
              <w:rPr>
                <w:rFonts w:ascii="Times New Roman" w:hAnsi="Times New Roman" w:cs="Times New Roman"/>
                <w:sz w:val="26"/>
                <w:szCs w:val="26"/>
                <w:lang w:val="vi-VN"/>
              </w:rPr>
              <w:t>về giá trị pháp lý của kết quả giao dịch điện tử với cơ quan nhà nước và trách nhiệm của cơ quan, tổ chức, cá nhân liên quan</w:t>
            </w:r>
          </w:p>
        </w:tc>
        <w:tc>
          <w:tcPr>
            <w:tcW w:w="5799" w:type="dxa"/>
          </w:tcPr>
          <w:p w14:paraId="24AF07D8" w14:textId="77777777" w:rsidR="003D0F40" w:rsidRPr="001A4E7B" w:rsidRDefault="003D0F40" w:rsidP="0083577B">
            <w:pPr>
              <w:spacing w:line="288" w:lineRule="auto"/>
              <w:jc w:val="both"/>
              <w:rPr>
                <w:rFonts w:ascii="Times New Roman" w:hAnsi="Times New Roman" w:cs="Times New Roman"/>
                <w:sz w:val="26"/>
                <w:szCs w:val="26"/>
                <w:lang w:val="vi-VN"/>
              </w:rPr>
            </w:pPr>
            <w:r w:rsidRPr="001F15BD">
              <w:rPr>
                <w:rFonts w:ascii="Times New Roman" w:hAnsi="Times New Roman" w:cs="Times New Roman"/>
                <w:sz w:val="26"/>
                <w:szCs w:val="26"/>
                <w:lang w:val="vi-VN"/>
              </w:rPr>
              <w:t>Việc loại b</w:t>
            </w:r>
            <w:r>
              <w:rPr>
                <w:rFonts w:ascii="Times New Roman" w:hAnsi="Times New Roman" w:cs="Times New Roman"/>
                <w:sz w:val="26"/>
                <w:szCs w:val="26"/>
                <w:lang w:val="vi-VN"/>
              </w:rPr>
              <w:t>ỏ</w:t>
            </w:r>
            <w:r w:rsidRPr="001F15BD">
              <w:rPr>
                <w:rFonts w:ascii="Times New Roman" w:hAnsi="Times New Roman" w:cs="Times New Roman"/>
                <w:sz w:val="26"/>
                <w:szCs w:val="26"/>
                <w:lang w:val="vi-VN"/>
              </w:rPr>
              <w:t xml:space="preserve"> quy định này làm thiếu cơ sở pháp lý cho người dân đảm bảo lợi ích của họ khi giao dịch với cơ quan nhà nước.</w:t>
            </w:r>
          </w:p>
        </w:tc>
      </w:tr>
      <w:tr w:rsidR="003D0F40" w:rsidRPr="00C053AE" w14:paraId="527F94DB" w14:textId="77777777" w:rsidTr="003D0F40">
        <w:trPr>
          <w:trHeight w:val="391"/>
        </w:trPr>
        <w:tc>
          <w:tcPr>
            <w:tcW w:w="0" w:type="auto"/>
          </w:tcPr>
          <w:p w14:paraId="6E6DAAE1"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004168A3" w14:textId="77777777" w:rsidR="003D0F40" w:rsidRPr="001A4E7B" w:rsidRDefault="003D0F40" w:rsidP="0083577B">
            <w:pPr>
              <w:spacing w:line="288" w:lineRule="auto"/>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 xml:space="preserve">Các quy định trong chương V - Giao dịch điện tử của cơ quan nhà nước </w:t>
            </w:r>
          </w:p>
        </w:tc>
        <w:tc>
          <w:tcPr>
            <w:tcW w:w="5799" w:type="dxa"/>
          </w:tcPr>
          <w:p w14:paraId="6857E218" w14:textId="77777777" w:rsidR="003D0F40" w:rsidRDefault="003D0F40" w:rsidP="0083577B">
            <w:pPr>
              <w:spacing w:line="288" w:lineRule="auto"/>
              <w:jc w:val="both"/>
              <w:rPr>
                <w:rFonts w:ascii="Times New Roman" w:hAnsi="Times New Roman" w:cs="Times New Roman"/>
                <w:sz w:val="26"/>
                <w:szCs w:val="26"/>
                <w:lang w:val="vi-VN"/>
              </w:rPr>
            </w:pPr>
            <w:r w:rsidRPr="001A4E7B">
              <w:rPr>
                <w:rFonts w:ascii="Times New Roman" w:hAnsi="Times New Roman" w:cs="Times New Roman"/>
                <w:sz w:val="26"/>
                <w:szCs w:val="26"/>
                <w:lang w:val="vi-VN"/>
              </w:rPr>
              <w:t>Các quy định chưa phù hợp với nội dung tiêu đề, vì các quy định chỉ tập trung vào quản lý và kết nối, chia sẻ dữ liệu của cơ quan nhà nước.</w:t>
            </w:r>
            <w:r>
              <w:rPr>
                <w:rFonts w:ascii="Times New Roman" w:hAnsi="Times New Roman" w:cs="Times New Roman"/>
                <w:sz w:val="26"/>
                <w:szCs w:val="26"/>
                <w:lang w:val="vi-VN"/>
              </w:rPr>
              <w:t xml:space="preserve"> Trong khi đó, </w:t>
            </w:r>
            <w:r w:rsidRPr="00B73648">
              <w:rPr>
                <w:rFonts w:ascii="Times New Roman" w:hAnsi="Times New Roman" w:cs="Times New Roman"/>
                <w:sz w:val="26"/>
                <w:szCs w:val="26"/>
                <w:lang w:val="vi-VN"/>
              </w:rPr>
              <w:t>tại phiên bản dự thảo lần 2 đã có các quy định về Nguyên tắc tiến hành giao dịch điện tử của cơ quan nhà nước, Giá trị pháp lý của kết quả giao dịch điện tử với cơ quan nhà nước và trách nhiệm của cơ quan, tổ chức, cá nhân liên quan</w:t>
            </w:r>
            <w:r>
              <w:rPr>
                <w:rFonts w:ascii="Times New Roman" w:hAnsi="Times New Roman" w:cs="Times New Roman"/>
                <w:sz w:val="26"/>
                <w:szCs w:val="26"/>
                <w:lang w:val="vi-VN"/>
              </w:rPr>
              <w:t xml:space="preserve"> </w:t>
            </w:r>
          </w:p>
          <w:p w14:paraId="0E89AB5C" w14:textId="77777777" w:rsidR="003D0F40" w:rsidRPr="001A4E7B"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Do đó, nên loại bỏ các quy định về quản lý và kết nối, chia sẻ dữ liệu của cơ quan nhà nước thay vào đó là một số quy định đã có tại dự thảo lần 02 để luật điều chỉnh trọng tâm các vấn đề kỹ thuật liên quan trực tiếp đến giao dịch điện tử.  </w:t>
            </w:r>
          </w:p>
        </w:tc>
      </w:tr>
      <w:tr w:rsidR="003D0F40" w:rsidRPr="00C053AE" w14:paraId="62ED0AC9" w14:textId="77777777" w:rsidTr="003D0F40">
        <w:trPr>
          <w:trHeight w:val="391"/>
        </w:trPr>
        <w:tc>
          <w:tcPr>
            <w:tcW w:w="0" w:type="auto"/>
          </w:tcPr>
          <w:p w14:paraId="037E6463" w14:textId="77777777" w:rsidR="003D0F40" w:rsidRPr="000D77F5"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22DDE0BD" w14:textId="77777777" w:rsidR="003D0F40" w:rsidRPr="001A4E7B" w:rsidRDefault="003D0F40" w:rsidP="0083577B">
            <w:pPr>
              <w:spacing w:line="288" w:lineRule="auto"/>
              <w:jc w:val="both"/>
              <w:rPr>
                <w:rFonts w:ascii="Times New Roman" w:hAnsi="Times New Roman" w:cs="Times New Roman"/>
                <w:sz w:val="26"/>
                <w:szCs w:val="26"/>
                <w:lang w:val="vi-VN"/>
              </w:rPr>
            </w:pPr>
            <w:r>
              <w:rPr>
                <w:rFonts w:ascii="Times New Roman" w:hAnsi="Times New Roman" w:cs="Times New Roman"/>
                <w:sz w:val="26"/>
                <w:szCs w:val="26"/>
                <w:lang w:val="vi-VN"/>
              </w:rPr>
              <w:t>C</w:t>
            </w:r>
            <w:r w:rsidRPr="001A4E7B">
              <w:rPr>
                <w:rFonts w:ascii="Times New Roman" w:hAnsi="Times New Roman" w:cs="Times New Roman"/>
                <w:sz w:val="26"/>
                <w:szCs w:val="26"/>
                <w:lang w:val="vi-VN"/>
              </w:rPr>
              <w:t>ác quy định về giải quyết tranh chấp và xử lý vi phạm</w:t>
            </w:r>
          </w:p>
        </w:tc>
        <w:tc>
          <w:tcPr>
            <w:tcW w:w="5799" w:type="dxa"/>
          </w:tcPr>
          <w:p w14:paraId="35038409" w14:textId="77777777" w:rsidR="003D0F40" w:rsidRPr="001A4E7B" w:rsidRDefault="003D0F40" w:rsidP="0083577B">
            <w:pPr>
              <w:spacing w:line="288" w:lineRule="auto"/>
              <w:jc w:val="both"/>
              <w:rPr>
                <w:rFonts w:ascii="Times New Roman" w:hAnsi="Times New Roman" w:cs="Times New Roman"/>
                <w:sz w:val="26"/>
                <w:szCs w:val="26"/>
                <w:lang w:val="vi-VN"/>
              </w:rPr>
            </w:pPr>
            <w:r w:rsidRPr="000D77F5">
              <w:rPr>
                <w:rFonts w:ascii="Times New Roman" w:hAnsi="Times New Roman" w:cs="Times New Roman"/>
                <w:sz w:val="26"/>
                <w:szCs w:val="26"/>
                <w:lang w:val="vi-VN"/>
              </w:rPr>
              <w:t>Việc loại bỏ điều này làm thiếu cơ sở pháp lý cho việc giải quyết tranh chấp và xử lý vi phạm liên quan đến giao dịch điện tử.</w:t>
            </w:r>
          </w:p>
        </w:tc>
      </w:tr>
      <w:tr w:rsidR="003D0F40" w:rsidRPr="00C053AE" w14:paraId="16AF7F3B" w14:textId="77777777" w:rsidTr="003D0F40">
        <w:trPr>
          <w:trHeight w:val="391"/>
        </w:trPr>
        <w:tc>
          <w:tcPr>
            <w:tcW w:w="0" w:type="auto"/>
          </w:tcPr>
          <w:p w14:paraId="3AC39FBB" w14:textId="77777777" w:rsidR="003D0F40" w:rsidRPr="00C64FD8" w:rsidRDefault="003D0F40" w:rsidP="003D0F40">
            <w:pPr>
              <w:pStyle w:val="ListParagraph"/>
              <w:numPr>
                <w:ilvl w:val="0"/>
                <w:numId w:val="2"/>
              </w:numPr>
              <w:spacing w:line="288" w:lineRule="auto"/>
              <w:jc w:val="both"/>
              <w:rPr>
                <w:rFonts w:ascii="Times New Roman" w:hAnsi="Times New Roman" w:cs="Times New Roman"/>
                <w:sz w:val="26"/>
                <w:szCs w:val="26"/>
                <w:lang w:val="vi-VN"/>
              </w:rPr>
            </w:pPr>
          </w:p>
        </w:tc>
        <w:tc>
          <w:tcPr>
            <w:tcW w:w="2548" w:type="dxa"/>
          </w:tcPr>
          <w:p w14:paraId="7DD3932F" w14:textId="77777777" w:rsidR="003D0F40" w:rsidRPr="00C64FD8" w:rsidRDefault="003D0F40" w:rsidP="0083577B">
            <w:pPr>
              <w:spacing w:line="288" w:lineRule="auto"/>
              <w:jc w:val="both"/>
              <w:rPr>
                <w:rFonts w:ascii="Times New Roman" w:hAnsi="Times New Roman" w:cs="Times New Roman"/>
                <w:sz w:val="26"/>
                <w:szCs w:val="26"/>
                <w:lang w:val="vi-VN"/>
              </w:rPr>
            </w:pPr>
            <w:r w:rsidRPr="00C64FD8">
              <w:rPr>
                <w:rFonts w:ascii="Times New Roman" w:hAnsi="Times New Roman" w:cs="Times New Roman"/>
                <w:sz w:val="26"/>
                <w:szCs w:val="26"/>
                <w:lang w:val="vi-VN"/>
              </w:rPr>
              <w:t>Đối với các quy định về ngành nghề kinh doanh có điều kiện</w:t>
            </w:r>
          </w:p>
        </w:tc>
        <w:tc>
          <w:tcPr>
            <w:tcW w:w="5799" w:type="dxa"/>
          </w:tcPr>
          <w:p w14:paraId="38C27281" w14:textId="77777777" w:rsidR="003D0F40" w:rsidRPr="0096177A" w:rsidRDefault="003D0F40" w:rsidP="0083577B">
            <w:pPr>
              <w:spacing w:line="288" w:lineRule="auto"/>
              <w:jc w:val="both"/>
              <w:rPr>
                <w:rFonts w:ascii="Times New Roman" w:hAnsi="Times New Roman" w:cs="Times New Roman"/>
                <w:sz w:val="26"/>
                <w:szCs w:val="26"/>
                <w:highlight w:val="yellow"/>
                <w:lang w:val="vi-VN"/>
              </w:rPr>
            </w:pPr>
            <w:r>
              <w:rPr>
                <w:rFonts w:ascii="Times New Roman" w:hAnsi="Times New Roman" w:cs="Times New Roman"/>
                <w:sz w:val="26"/>
                <w:szCs w:val="26"/>
                <w:lang w:val="vi-VN"/>
              </w:rPr>
              <w:t>B</w:t>
            </w:r>
            <w:r w:rsidRPr="00C64FD8">
              <w:rPr>
                <w:rFonts w:ascii="Times New Roman" w:hAnsi="Times New Roman" w:cs="Times New Roman"/>
                <w:sz w:val="26"/>
                <w:szCs w:val="26"/>
                <w:lang w:val="vi-VN"/>
              </w:rPr>
              <w:t>an soạn thảo có thể cân nhắc việc nhóm các quy định về quyền và nghĩa vụ của các tổ chức tách biệt với nhóm quy định về điều kiện kinh doanh. Thêm vào đó, ban soạn thảo cần đánh giá tác động của các quy định này đối với các loại chủ thể chịu tác động.</w:t>
            </w:r>
          </w:p>
        </w:tc>
      </w:tr>
    </w:tbl>
    <w:p w14:paraId="65B0AF08" w14:textId="77777777" w:rsidR="003D0F40" w:rsidRPr="001A4E7B" w:rsidRDefault="003D0F40" w:rsidP="003D0F40">
      <w:pPr>
        <w:spacing w:line="288" w:lineRule="auto"/>
        <w:ind w:firstLine="720"/>
        <w:jc w:val="both"/>
        <w:rPr>
          <w:rFonts w:ascii="Times New Roman" w:hAnsi="Times New Roman" w:cs="Times New Roman"/>
          <w:sz w:val="26"/>
          <w:szCs w:val="26"/>
          <w:lang w:val="vi-VN"/>
        </w:rPr>
      </w:pPr>
    </w:p>
    <w:p w14:paraId="56D57200" w14:textId="2A1BA1F4" w:rsidR="00037F26" w:rsidRPr="003D0F40" w:rsidRDefault="00037F26" w:rsidP="003D0F40">
      <w:pPr>
        <w:rPr>
          <w:lang w:val="vi-VN"/>
        </w:rPr>
      </w:pPr>
    </w:p>
    <w:sectPr w:rsidR="00037F26" w:rsidRPr="003D0F40" w:rsidSect="007B17BD">
      <w:headerReference w:type="default" r:id="rId7"/>
      <w:footerReference w:type="even" r:id="rId8"/>
      <w:footerReference w:type="default" r:id="rId9"/>
      <w:pgSz w:w="11900" w:h="16840"/>
      <w:pgMar w:top="1134" w:right="1134" w:bottom="1134" w:left="1701" w:header="44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4A19" w14:textId="77777777" w:rsidR="00372EF5" w:rsidRDefault="00372EF5" w:rsidP="007B17BD">
      <w:r>
        <w:separator/>
      </w:r>
    </w:p>
  </w:endnote>
  <w:endnote w:type="continuationSeparator" w:id="0">
    <w:p w14:paraId="5A561DF8" w14:textId="77777777" w:rsidR="00372EF5" w:rsidRDefault="00372EF5" w:rsidP="007B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o">
    <w:altName w:val="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216506"/>
      <w:docPartObj>
        <w:docPartGallery w:val="Page Numbers (Bottom of Page)"/>
        <w:docPartUnique/>
      </w:docPartObj>
    </w:sdtPr>
    <w:sdtContent>
      <w:p w14:paraId="1D97876D" w14:textId="1BC61E57" w:rsidR="007B17BD" w:rsidRDefault="007B17BD" w:rsidP="00C800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E628D" w14:textId="77777777" w:rsidR="007B17BD" w:rsidRDefault="007B1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251203342"/>
      <w:docPartObj>
        <w:docPartGallery w:val="Page Numbers (Bottom of Page)"/>
        <w:docPartUnique/>
      </w:docPartObj>
    </w:sdtPr>
    <w:sdtContent>
      <w:p w14:paraId="796B13DE" w14:textId="79F3AC14" w:rsidR="007B17BD" w:rsidRPr="007B17BD" w:rsidRDefault="007B17BD" w:rsidP="00C80082">
        <w:pPr>
          <w:pStyle w:val="Footer"/>
          <w:framePr w:wrap="none" w:vAnchor="text" w:hAnchor="margin" w:xAlign="center" w:y="1"/>
          <w:rPr>
            <w:rStyle w:val="PageNumber"/>
            <w:rFonts w:ascii="Times New Roman" w:hAnsi="Times New Roman" w:cs="Times New Roman"/>
            <w:sz w:val="26"/>
            <w:szCs w:val="26"/>
          </w:rPr>
        </w:pPr>
        <w:r w:rsidRPr="007B17BD">
          <w:rPr>
            <w:rStyle w:val="PageNumber"/>
            <w:rFonts w:ascii="Times New Roman" w:hAnsi="Times New Roman" w:cs="Times New Roman"/>
            <w:sz w:val="26"/>
            <w:szCs w:val="26"/>
          </w:rPr>
          <w:fldChar w:fldCharType="begin"/>
        </w:r>
        <w:r w:rsidRPr="007B17BD">
          <w:rPr>
            <w:rStyle w:val="PageNumber"/>
            <w:rFonts w:ascii="Times New Roman" w:hAnsi="Times New Roman" w:cs="Times New Roman"/>
            <w:sz w:val="26"/>
            <w:szCs w:val="26"/>
          </w:rPr>
          <w:instrText xml:space="preserve"> PAGE </w:instrText>
        </w:r>
        <w:r w:rsidRPr="007B17BD">
          <w:rPr>
            <w:rStyle w:val="PageNumber"/>
            <w:rFonts w:ascii="Times New Roman" w:hAnsi="Times New Roman" w:cs="Times New Roman"/>
            <w:sz w:val="26"/>
            <w:szCs w:val="26"/>
          </w:rPr>
          <w:fldChar w:fldCharType="separate"/>
        </w:r>
        <w:r w:rsidRPr="007B17BD">
          <w:rPr>
            <w:rStyle w:val="PageNumber"/>
            <w:rFonts w:ascii="Times New Roman" w:hAnsi="Times New Roman" w:cs="Times New Roman"/>
            <w:noProof/>
            <w:sz w:val="26"/>
            <w:szCs w:val="26"/>
          </w:rPr>
          <w:t>1</w:t>
        </w:r>
        <w:r w:rsidRPr="007B17BD">
          <w:rPr>
            <w:rStyle w:val="PageNumber"/>
            <w:rFonts w:ascii="Times New Roman" w:hAnsi="Times New Roman" w:cs="Times New Roman"/>
            <w:sz w:val="26"/>
            <w:szCs w:val="26"/>
          </w:rPr>
          <w:fldChar w:fldCharType="end"/>
        </w:r>
      </w:p>
    </w:sdtContent>
  </w:sdt>
  <w:p w14:paraId="34A6ADEC" w14:textId="77777777" w:rsidR="007B17BD" w:rsidRDefault="007B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3B44" w14:textId="77777777" w:rsidR="00372EF5" w:rsidRDefault="00372EF5" w:rsidP="007B17BD">
      <w:r>
        <w:separator/>
      </w:r>
    </w:p>
  </w:footnote>
  <w:footnote w:type="continuationSeparator" w:id="0">
    <w:p w14:paraId="6B9C8CAE" w14:textId="77777777" w:rsidR="00372EF5" w:rsidRDefault="00372EF5" w:rsidP="007B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F66D" w14:textId="271524A2" w:rsidR="007B17BD" w:rsidRPr="007B17BD" w:rsidRDefault="007B17BD" w:rsidP="007B17BD">
    <w:pPr>
      <w:ind w:left="4820"/>
      <w:rPr>
        <w:rFonts w:ascii="Lato" w:hAnsi="Lato" w:cs="Lato"/>
        <w:color w:val="056333"/>
        <w:spacing w:val="-4"/>
        <w:sz w:val="18"/>
        <w:szCs w:val="18"/>
      </w:rPr>
    </w:pPr>
    <w:r>
      <w:rPr>
        <w:noProof/>
      </w:rPr>
      <w:drawing>
        <wp:anchor distT="0" distB="0" distL="114300" distR="114300" simplePos="0" relativeHeight="251660288" behindDoc="1" locked="0" layoutInCell="1" allowOverlap="1" wp14:anchorId="59651DBC" wp14:editId="64996399">
          <wp:simplePos x="0" y="0"/>
          <wp:positionH relativeFrom="column">
            <wp:posOffset>-135890</wp:posOffset>
          </wp:positionH>
          <wp:positionV relativeFrom="paragraph">
            <wp:posOffset>-134357</wp:posOffset>
          </wp:positionV>
          <wp:extent cx="2484120" cy="603885"/>
          <wp:effectExtent l="0" t="0" r="0" b="0"/>
          <wp:wrapTight wrapText="bothSides">
            <wp:wrapPolygon edited="0">
              <wp:start x="5632" y="3634"/>
              <wp:lineTo x="1767" y="6814"/>
              <wp:lineTo x="1215" y="7722"/>
              <wp:lineTo x="1215" y="16353"/>
              <wp:lineTo x="16233" y="17716"/>
              <wp:lineTo x="17006" y="17716"/>
              <wp:lineTo x="19656" y="16353"/>
              <wp:lineTo x="19656" y="12265"/>
              <wp:lineTo x="20429" y="11811"/>
              <wp:lineTo x="20098" y="7722"/>
              <wp:lineTo x="7399" y="3634"/>
              <wp:lineTo x="5632" y="3634"/>
            </wp:wrapPolygon>
          </wp:wrapTight>
          <wp:docPr id="3" name="Picture 3" descr="identit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84120" cy="603885"/>
                  </a:xfrm>
                  <a:prstGeom prst="rect">
                    <a:avLst/>
                  </a:prstGeom>
                </pic:spPr>
              </pic:pic>
            </a:graphicData>
          </a:graphic>
          <wp14:sizeRelH relativeFrom="page">
            <wp14:pctWidth>0</wp14:pctWidth>
          </wp14:sizeRelH>
          <wp14:sizeRelV relativeFrom="page">
            <wp14:pctHeight>0</wp14:pctHeight>
          </wp14:sizeRelV>
        </wp:anchor>
      </w:drawing>
    </w:r>
    <w:r w:rsidRPr="00590524">
      <w:rPr>
        <w:rFonts w:ascii="Lato" w:hAnsi="Lato" w:cs="Lato"/>
        <w:color w:val="056333"/>
        <w:spacing w:val="-4"/>
        <w:sz w:val="18"/>
        <w:szCs w:val="18"/>
      </w:rPr>
      <w:t xml:space="preserve">A: </w:t>
    </w:r>
    <w:r w:rsidRPr="00590524">
      <w:rPr>
        <w:rFonts w:ascii="Lato Light" w:hAnsi="Lato Light" w:cs="Lato Light"/>
        <w:color w:val="056333"/>
        <w:spacing w:val="-4"/>
        <w:sz w:val="18"/>
        <w:szCs w:val="18"/>
      </w:rPr>
      <w:t xml:space="preserve">  </w:t>
    </w:r>
    <w:r w:rsidRPr="00590524">
      <w:rPr>
        <w:rFonts w:ascii="Lato Light" w:hAnsi="Lato Light" w:cs="Lato Light"/>
        <w:spacing w:val="-4"/>
        <w:sz w:val="18"/>
        <w:szCs w:val="18"/>
      </w:rPr>
      <w:t>1</w:t>
    </w:r>
    <w:r>
      <w:rPr>
        <w:rFonts w:ascii="Lato Light" w:hAnsi="Lato Light" w:cs="Lato Light"/>
        <w:spacing w:val="-4"/>
        <w:sz w:val="18"/>
        <w:szCs w:val="18"/>
      </w:rPr>
      <w:t>8</w:t>
    </w:r>
    <w:r>
      <w:rPr>
        <w:rFonts w:ascii="Lato Light" w:hAnsi="Lato Light" w:cs="Lato Light"/>
        <w:spacing w:val="-4"/>
        <w:sz w:val="18"/>
        <w:szCs w:val="18"/>
        <w:vertAlign w:val="superscript"/>
      </w:rPr>
      <w:t>th</w:t>
    </w:r>
    <w:r w:rsidRPr="00590524">
      <w:rPr>
        <w:rFonts w:ascii="Lato Light" w:hAnsi="Lato Light" w:cs="Lato Light"/>
        <w:spacing w:val="-4"/>
        <w:sz w:val="18"/>
        <w:szCs w:val="18"/>
      </w:rPr>
      <w:t xml:space="preserve"> Floor, VTC Online Building, 18 Tam Trinh, Hanoi</w:t>
    </w:r>
    <w:r>
      <w:rPr>
        <w:rFonts w:ascii="Lato Light" w:hAnsi="Lato Light" w:cs="Lato Light"/>
        <w:spacing w:val="-4"/>
        <w:sz w:val="18"/>
        <w:szCs w:val="18"/>
        <w:lang w:val="vi-VN"/>
      </w:rPr>
      <w:t xml:space="preserve"> </w:t>
    </w:r>
    <w:r>
      <w:rPr>
        <w:rFonts w:ascii="Lato Light" w:hAnsi="Lato Light" w:cs="Lato Light"/>
        <w:spacing w:val="-4"/>
        <w:sz w:val="18"/>
        <w:szCs w:val="18"/>
        <w:lang w:val="vi-VN"/>
      </w:rPr>
      <w:br/>
    </w:r>
    <w:r w:rsidRPr="00590524">
      <w:rPr>
        <w:rFonts w:ascii="Lato" w:hAnsi="Lato" w:cs="Lato"/>
        <w:color w:val="056333"/>
        <w:spacing w:val="-4"/>
        <w:sz w:val="18"/>
        <w:szCs w:val="18"/>
      </w:rPr>
      <w:t xml:space="preserve">T: </w:t>
    </w:r>
    <w:r w:rsidRPr="00590524">
      <w:rPr>
        <w:rFonts w:ascii="Lato Light" w:hAnsi="Lato Light" w:cs="Lato Light"/>
        <w:spacing w:val="-4"/>
        <w:sz w:val="18"/>
        <w:szCs w:val="18"/>
      </w:rPr>
      <w:t xml:space="preserve">(+84) </w:t>
    </w:r>
    <w:r>
      <w:rPr>
        <w:rFonts w:ascii="Lato Light" w:hAnsi="Lato Light" w:cs="Lato Light"/>
        <w:spacing w:val="-4"/>
        <w:sz w:val="18"/>
        <w:szCs w:val="18"/>
      </w:rPr>
      <w:t xml:space="preserve">772 </w:t>
    </w:r>
    <w:r w:rsidRPr="00590524">
      <w:rPr>
        <w:rFonts w:ascii="Lato Light" w:hAnsi="Lato Light" w:cs="Lato Light"/>
        <w:spacing w:val="-4"/>
        <w:sz w:val="18"/>
        <w:szCs w:val="18"/>
      </w:rPr>
      <w:t xml:space="preserve">452 </w:t>
    </w:r>
    <w:proofErr w:type="gramStart"/>
    <w:r w:rsidRPr="00590524">
      <w:rPr>
        <w:rFonts w:ascii="Lato Light" w:hAnsi="Lato Light" w:cs="Lato Light"/>
        <w:spacing w:val="-4"/>
        <w:sz w:val="18"/>
        <w:szCs w:val="18"/>
      </w:rPr>
      <w:t>775</w:t>
    </w:r>
    <w:r>
      <w:rPr>
        <w:rFonts w:ascii="Lato Light" w:hAnsi="Lato Light" w:cs="Lato Light"/>
        <w:spacing w:val="-4"/>
        <w:sz w:val="18"/>
        <w:szCs w:val="18"/>
      </w:rPr>
      <w:t xml:space="preserve">  |</w:t>
    </w:r>
    <w:proofErr w:type="gramEnd"/>
    <w:r>
      <w:rPr>
        <w:rFonts w:ascii="Lato Light" w:hAnsi="Lato Light" w:cs="Lato Light"/>
        <w:spacing w:val="-4"/>
        <w:sz w:val="18"/>
        <w:szCs w:val="18"/>
      </w:rPr>
      <w:t xml:space="preserve">  </w:t>
    </w:r>
    <w:r w:rsidRPr="00590524">
      <w:rPr>
        <w:rFonts w:ascii="Lato" w:hAnsi="Lato" w:cs="Lato"/>
        <w:color w:val="056333"/>
        <w:spacing w:val="-4"/>
        <w:sz w:val="18"/>
        <w:szCs w:val="18"/>
      </w:rPr>
      <w:t>E:</w:t>
    </w:r>
    <w:r w:rsidRPr="00590524">
      <w:rPr>
        <w:rFonts w:ascii="Lato SemiBold" w:hAnsi="Lato SemiBold" w:cs="Lato SemiBold"/>
        <w:b/>
        <w:color w:val="043C24"/>
        <w:spacing w:val="-4"/>
        <w:sz w:val="18"/>
        <w:szCs w:val="18"/>
      </w:rPr>
      <w:t xml:space="preserve">  </w:t>
    </w:r>
    <w:r w:rsidRPr="00590524">
      <w:rPr>
        <w:rFonts w:ascii="Lato Light" w:hAnsi="Lato Light" w:cs="Lato Light"/>
        <w:spacing w:val="-4"/>
        <w:sz w:val="18"/>
        <w:szCs w:val="18"/>
      </w:rPr>
      <w:t>contact@ips.org.vn</w:t>
    </w:r>
    <w:r>
      <w:rPr>
        <w:rFonts w:ascii="Lato Light" w:hAnsi="Lato Light" w:cs="Lato Light"/>
        <w:spacing w:val="-4"/>
        <w:sz w:val="18"/>
        <w:szCs w:val="18"/>
      </w:rPr>
      <w:t xml:space="preserve">  |  </w:t>
    </w:r>
    <w:r>
      <w:rPr>
        <w:rFonts w:ascii="Lato Light" w:hAnsi="Lato Light" w:cs="Lato Light"/>
        <w:spacing w:val="-4"/>
        <w:sz w:val="18"/>
        <w:szCs w:val="18"/>
      </w:rPr>
      <w:br/>
    </w:r>
    <w:r w:rsidRPr="00590524">
      <w:rPr>
        <w:rFonts w:ascii="Lato" w:hAnsi="Lato" w:cs="Lato"/>
        <w:color w:val="056333"/>
        <w:spacing w:val="-4"/>
        <w:sz w:val="18"/>
        <w:szCs w:val="18"/>
      </w:rPr>
      <w:t>W:</w:t>
    </w:r>
    <w:r w:rsidRPr="00590524">
      <w:rPr>
        <w:rFonts w:ascii="Lato Light" w:hAnsi="Lato Light" w:cs="Lato Light"/>
        <w:spacing w:val="-4"/>
        <w:sz w:val="18"/>
        <w:szCs w:val="18"/>
      </w:rPr>
      <w:t xml:space="preserve">  http://ips.org.vn/</w:t>
    </w:r>
  </w:p>
  <w:p w14:paraId="2A2AD162" w14:textId="712B354A" w:rsidR="007B17BD" w:rsidRDefault="007B17BD" w:rsidP="007B17BD">
    <w:pPr>
      <w:pStyle w:val="Header"/>
    </w:pPr>
    <w:r>
      <w:rPr>
        <w:noProof/>
      </w:rPr>
      <mc:AlternateContent>
        <mc:Choice Requires="wps">
          <w:drawing>
            <wp:anchor distT="0" distB="0" distL="114300" distR="114300" simplePos="0" relativeHeight="251662336" behindDoc="0" locked="0" layoutInCell="1" allowOverlap="1" wp14:anchorId="09C5AEEA" wp14:editId="15C17890">
              <wp:simplePos x="0" y="0"/>
              <wp:positionH relativeFrom="margin">
                <wp:posOffset>3810</wp:posOffset>
              </wp:positionH>
              <wp:positionV relativeFrom="paragraph">
                <wp:posOffset>56873</wp:posOffset>
              </wp:positionV>
              <wp:extent cx="5741581"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5741581" cy="0"/>
                      </a:xfrm>
                      <a:prstGeom prst="line">
                        <a:avLst/>
                      </a:prstGeom>
                      <a:ln w="12700">
                        <a:solidFill>
                          <a:srgbClr val="0563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72BD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5pt" to="45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" strokecolor="#056333"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799"/>
    <w:multiLevelType w:val="hybridMultilevel"/>
    <w:tmpl w:val="8850F474"/>
    <w:lvl w:ilvl="0" w:tplc="9BB88444">
      <w:start w:val="1"/>
      <w:numFmt w:val="decimal"/>
      <w:lvlText w:val="%1."/>
      <w:lvlJc w:val="left"/>
      <w:pPr>
        <w:ind w:left="720" w:hanging="4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85902"/>
    <w:multiLevelType w:val="hybridMultilevel"/>
    <w:tmpl w:val="F7AE507C"/>
    <w:lvl w:ilvl="0" w:tplc="4712D3D4">
      <w:start w:val="1"/>
      <w:numFmt w:val="bullet"/>
      <w:lvlText w:val="-"/>
      <w:lvlJc w:val="left"/>
      <w:pPr>
        <w:ind w:left="1440" w:hanging="360"/>
      </w:pPr>
      <w:rPr>
        <w:rFonts w:ascii="Times New Roman" w:hAnsi="Times New Roman" w:cs="Times New Roman" w:hint="default"/>
      </w:rPr>
    </w:lvl>
    <w:lvl w:ilvl="1" w:tplc="4712D3D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555638">
    <w:abstractNumId w:val="1"/>
  </w:num>
  <w:num w:numId="2" w16cid:durableId="213602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F2"/>
    <w:rsid w:val="00037F26"/>
    <w:rsid w:val="000673BA"/>
    <w:rsid w:val="00372EF5"/>
    <w:rsid w:val="003D0F40"/>
    <w:rsid w:val="00445221"/>
    <w:rsid w:val="004F1297"/>
    <w:rsid w:val="006E13C7"/>
    <w:rsid w:val="007B17BD"/>
    <w:rsid w:val="008E00E7"/>
    <w:rsid w:val="009A11C1"/>
    <w:rsid w:val="009E01AB"/>
    <w:rsid w:val="00A13CB8"/>
    <w:rsid w:val="00A4294E"/>
    <w:rsid w:val="00A9512F"/>
    <w:rsid w:val="00AE7641"/>
    <w:rsid w:val="00B05847"/>
    <w:rsid w:val="00CC1C53"/>
    <w:rsid w:val="00D04689"/>
    <w:rsid w:val="00EF4AF2"/>
    <w:rsid w:val="00F7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8BCC4"/>
  <w15:chartTrackingRefBased/>
  <w15:docId w15:val="{7ABB22FB-B943-3B44-8F88-393CA4B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1AB"/>
    <w:pPr>
      <w:ind w:left="720"/>
      <w:contextualSpacing/>
    </w:pPr>
  </w:style>
  <w:style w:type="paragraph" w:styleId="Footer">
    <w:name w:val="footer"/>
    <w:basedOn w:val="Normal"/>
    <w:link w:val="FooterChar"/>
    <w:uiPriority w:val="99"/>
    <w:unhideWhenUsed/>
    <w:rsid w:val="007B17BD"/>
    <w:pPr>
      <w:tabs>
        <w:tab w:val="center" w:pos="4680"/>
        <w:tab w:val="right" w:pos="9360"/>
      </w:tabs>
    </w:pPr>
  </w:style>
  <w:style w:type="character" w:customStyle="1" w:styleId="FooterChar">
    <w:name w:val="Footer Char"/>
    <w:basedOn w:val="DefaultParagraphFont"/>
    <w:link w:val="Footer"/>
    <w:uiPriority w:val="99"/>
    <w:rsid w:val="007B17BD"/>
  </w:style>
  <w:style w:type="character" w:styleId="PageNumber">
    <w:name w:val="page number"/>
    <w:basedOn w:val="DefaultParagraphFont"/>
    <w:uiPriority w:val="99"/>
    <w:semiHidden/>
    <w:unhideWhenUsed/>
    <w:rsid w:val="007B17BD"/>
  </w:style>
  <w:style w:type="paragraph" w:styleId="Header">
    <w:name w:val="header"/>
    <w:basedOn w:val="Normal"/>
    <w:link w:val="HeaderChar"/>
    <w:uiPriority w:val="99"/>
    <w:unhideWhenUsed/>
    <w:rsid w:val="007B17BD"/>
    <w:pPr>
      <w:tabs>
        <w:tab w:val="center" w:pos="4680"/>
        <w:tab w:val="right" w:pos="9360"/>
      </w:tabs>
    </w:pPr>
  </w:style>
  <w:style w:type="character" w:customStyle="1" w:styleId="HeaderChar">
    <w:name w:val="Header Char"/>
    <w:basedOn w:val="DefaultParagraphFont"/>
    <w:link w:val="Header"/>
    <w:uiPriority w:val="99"/>
    <w:rsid w:val="007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Tran Dang</dc:creator>
  <cp:keywords/>
  <dc:description/>
  <cp:lastModifiedBy>Thanh Hoang</cp:lastModifiedBy>
  <cp:revision>4</cp:revision>
  <cp:lastPrinted>2022-06-30T03:15:00Z</cp:lastPrinted>
  <dcterms:created xsi:type="dcterms:W3CDTF">2022-06-30T02:33:00Z</dcterms:created>
  <dcterms:modified xsi:type="dcterms:W3CDTF">2022-07-13T10:08:00Z</dcterms:modified>
</cp:coreProperties>
</file>