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0FC0BC" w14:textId="2165DBE1" w:rsidR="00B21918" w:rsidRPr="006A36A9" w:rsidRDefault="001D15E5" w:rsidP="00B21918">
      <w:pPr>
        <w:spacing w:before="120" w:after="120"/>
        <w:jc w:val="center"/>
        <w:rPr>
          <w:b/>
          <w:bCs/>
          <w:lang w:val="vi-VN"/>
        </w:rPr>
      </w:pPr>
      <w:r w:rsidRPr="006A36A9">
        <w:rPr>
          <w:b/>
          <w:bCs/>
          <w:lang w:val="vi-VN"/>
        </w:rPr>
        <w:t xml:space="preserve">GÓP Ý DỰ THẢO NGHỊ ĐỊNH QUY ĐỊNH CHI TIẾT VÀ HƯỚNG DẪN THI HÀNH </w:t>
      </w:r>
    </w:p>
    <w:p w14:paraId="60DAF4FC" w14:textId="3061D74F" w:rsidR="00B21918" w:rsidRPr="006A36A9" w:rsidRDefault="001D15E5" w:rsidP="00B21918">
      <w:pPr>
        <w:spacing w:before="120" w:after="120"/>
        <w:jc w:val="center"/>
        <w:rPr>
          <w:b/>
          <w:bCs/>
          <w:lang w:val="vi-VN"/>
        </w:rPr>
      </w:pPr>
      <w:r w:rsidRPr="006A36A9">
        <w:rPr>
          <w:b/>
          <w:bCs/>
          <w:lang w:val="vi-VN"/>
        </w:rPr>
        <w:t>MỘT SỐ ĐIỀU CỦA LUẬT ĐẦU TƯ</w:t>
      </w:r>
    </w:p>
    <w:p w14:paraId="4D0EF1F9" w14:textId="63B365AE" w:rsidR="00B21918" w:rsidRPr="006A36A9" w:rsidRDefault="00B21918" w:rsidP="00B21918">
      <w:pPr>
        <w:spacing w:before="120" w:after="120"/>
        <w:jc w:val="center"/>
        <w:rPr>
          <w:b/>
          <w:bCs/>
          <w:lang w:val="vi-VN"/>
        </w:rPr>
      </w:pPr>
    </w:p>
    <w:p w14:paraId="6634A04A" w14:textId="449BBFBB" w:rsidR="000144CA" w:rsidRDefault="000144CA" w:rsidP="00F16A9D">
      <w:pPr>
        <w:spacing w:before="120" w:after="120"/>
        <w:jc w:val="right"/>
        <w:rPr>
          <w:b/>
          <w:bCs/>
          <w:lang w:val="vi-VN"/>
        </w:rPr>
      </w:pPr>
      <w:r>
        <w:rPr>
          <w:b/>
          <w:bCs/>
          <w:lang w:val="vi-VN"/>
        </w:rPr>
        <w:t>Ls. Nguyễn Hưng Quang</w:t>
      </w:r>
    </w:p>
    <w:p w14:paraId="261740FA" w14:textId="438653F2" w:rsidR="000144CA" w:rsidRDefault="000144CA" w:rsidP="00F16A9D">
      <w:pPr>
        <w:spacing w:before="120" w:after="120"/>
        <w:jc w:val="right"/>
        <w:rPr>
          <w:b/>
          <w:bCs/>
          <w:lang w:val="vi-VN"/>
        </w:rPr>
      </w:pPr>
      <w:r>
        <w:rPr>
          <w:b/>
          <w:bCs/>
          <w:lang w:val="vi-VN"/>
        </w:rPr>
        <w:t>Ls. Trần Thị Thanh Huyền</w:t>
      </w:r>
    </w:p>
    <w:p w14:paraId="7E134F4B" w14:textId="77777777" w:rsidR="00B652EA" w:rsidRPr="006A36A9" w:rsidRDefault="00F16A9D" w:rsidP="00F16A9D">
      <w:pPr>
        <w:spacing w:before="120" w:after="120"/>
        <w:jc w:val="right"/>
        <w:rPr>
          <w:b/>
          <w:bCs/>
          <w:lang w:val="vi-VN"/>
        </w:rPr>
      </w:pPr>
      <w:r w:rsidRPr="006A36A9">
        <w:rPr>
          <w:b/>
          <w:bCs/>
          <w:lang w:val="vi-VN"/>
        </w:rPr>
        <w:t>Văn phòng luật sư NHQuang&amp;Cộng sự</w:t>
      </w:r>
    </w:p>
    <w:p w14:paraId="7450B7F9" w14:textId="184A866A" w:rsidR="00F16A9D" w:rsidRPr="006A36A9" w:rsidRDefault="00F16A9D" w:rsidP="00F16A9D">
      <w:pPr>
        <w:spacing w:before="120" w:after="120"/>
        <w:jc w:val="right"/>
        <w:rPr>
          <w:b/>
          <w:bCs/>
          <w:lang w:val="vi-VN"/>
        </w:rPr>
      </w:pPr>
      <w:r w:rsidRPr="006A36A9">
        <w:rPr>
          <w:b/>
          <w:bCs/>
          <w:lang w:val="vi-VN"/>
        </w:rPr>
        <w:t xml:space="preserve"> </w:t>
      </w:r>
    </w:p>
    <w:p w14:paraId="6E11AEB0" w14:textId="15145E0E" w:rsidR="009E2850" w:rsidRPr="006A36A9" w:rsidRDefault="009E2850" w:rsidP="009E2850">
      <w:pPr>
        <w:spacing w:before="120" w:after="120"/>
        <w:jc w:val="both"/>
        <w:rPr>
          <w:lang w:val="vi-VN"/>
        </w:rPr>
      </w:pPr>
      <w:r w:rsidRPr="006A36A9">
        <w:rPr>
          <w:lang w:val="vi-VN"/>
        </w:rPr>
        <w:t xml:space="preserve">Dự thảo Nghị định quy định chi tiết và hướng dẫn thi hành một số điều của Luật Đầu tư được gửi lấy ý kiến của VCCI </w:t>
      </w:r>
      <w:r w:rsidR="008C2AF6" w:rsidRPr="006A36A9">
        <w:rPr>
          <w:lang w:val="vi-VN"/>
        </w:rPr>
        <w:t xml:space="preserve">còn có một số nội dung mà Luật Đầu tư 2020 cần Chính phủ quy định chi tiết </w:t>
      </w:r>
      <w:r w:rsidR="006842B6" w:rsidRPr="006A36A9">
        <w:rPr>
          <w:lang w:val="vi-VN"/>
        </w:rPr>
        <w:t>(“</w:t>
      </w:r>
      <w:r w:rsidR="006842B6" w:rsidRPr="006A36A9">
        <w:rPr>
          <w:b/>
          <w:bCs/>
          <w:i/>
          <w:iCs/>
          <w:lang w:val="vi-VN"/>
        </w:rPr>
        <w:t>Dự thảo Nghị định</w:t>
      </w:r>
      <w:r w:rsidR="006842B6" w:rsidRPr="006A36A9">
        <w:rPr>
          <w:lang w:val="vi-VN"/>
        </w:rPr>
        <w:t xml:space="preserve">”) </w:t>
      </w:r>
      <w:r w:rsidR="008C2AF6" w:rsidRPr="006A36A9">
        <w:rPr>
          <w:lang w:val="vi-VN"/>
        </w:rPr>
        <w:t>để tổ chức thực hiện nhưng dự thảo Nghị định chưa quy định và cũng chưa có văn bản dự kiến ban hành khác hướng dẫn Luật Đầu tư quy định như</w:t>
      </w:r>
      <w:r w:rsidRPr="006A36A9">
        <w:rPr>
          <w:lang w:val="vi-VN"/>
        </w:rPr>
        <w:t>:</w:t>
      </w:r>
    </w:p>
    <w:p w14:paraId="4502995E" w14:textId="0FC281FE" w:rsidR="009E2850" w:rsidRPr="006A36A9" w:rsidRDefault="009E2850" w:rsidP="009E2850">
      <w:pPr>
        <w:spacing w:before="120" w:after="120"/>
        <w:jc w:val="both"/>
        <w:rPr>
          <w:lang w:val="vi-VN"/>
        </w:rPr>
      </w:pPr>
    </w:p>
    <w:p w14:paraId="1E474174" w14:textId="5FF303C1" w:rsidR="00B132BC" w:rsidRPr="006A36A9" w:rsidRDefault="009E2850" w:rsidP="00A620B9">
      <w:pPr>
        <w:pStyle w:val="ListParagraph"/>
        <w:numPr>
          <w:ilvl w:val="0"/>
          <w:numId w:val="1"/>
        </w:numPr>
        <w:spacing w:before="120" w:after="120"/>
        <w:jc w:val="both"/>
        <w:rPr>
          <w:lang w:val="vi-VN"/>
        </w:rPr>
      </w:pPr>
      <w:r w:rsidRPr="006A36A9">
        <w:rPr>
          <w:b/>
          <w:lang w:val="vi-VN"/>
        </w:rPr>
        <w:t>Điều 20 Luật Đầu tư quy định về ưu đãi và hỗ trợ đầu tư đặc biệt và giao “Chính phủ quy định chi tiết Điều này” nhưng nội dung này chưa được hướng dẫn</w:t>
      </w:r>
      <w:r w:rsidR="008C2AF6" w:rsidRPr="006A36A9">
        <w:rPr>
          <w:b/>
          <w:lang w:val="vi-VN"/>
        </w:rPr>
        <w:t xml:space="preserve"> tại Dự thảo</w:t>
      </w:r>
      <w:r w:rsidRPr="006A36A9">
        <w:rPr>
          <w:lang w:val="vi-VN"/>
        </w:rPr>
        <w:t xml:space="preserve">. </w:t>
      </w:r>
      <w:r w:rsidR="000E6DE5" w:rsidRPr="006A36A9">
        <w:rPr>
          <w:lang w:val="vi-VN"/>
        </w:rPr>
        <w:t xml:space="preserve">Nội dung này </w:t>
      </w:r>
      <w:r w:rsidR="00B132BC" w:rsidRPr="006A36A9">
        <w:rPr>
          <w:lang w:val="vi-VN"/>
        </w:rPr>
        <w:t>cần thiết phải có hướng dẫn thi hành sớm để có thể thu hút các nhà đầu tư lớn (trong và ngoài nước) tham gia thực hiện các dự án trọng điểm, dự án có tác động lớn đến phát triển kinh tế - xã hội</w:t>
      </w:r>
      <w:r w:rsidR="00E51765" w:rsidRPr="006A36A9">
        <w:rPr>
          <w:lang w:val="vi-VN"/>
        </w:rPr>
        <w:t xml:space="preserve">. </w:t>
      </w:r>
      <w:r w:rsidR="00916EA8" w:rsidRPr="006A36A9">
        <w:rPr>
          <w:lang w:val="vi-VN"/>
        </w:rPr>
        <w:t>Nghị quyết số 50-NQ/TW của Bộ Chính trị về định hướng hoàn thiện thể chế, chính sách, nâng cao chất lượng, hiệu quả hợp tác </w:t>
      </w:r>
      <w:r w:rsidR="00A620B9" w:rsidRPr="006A36A9">
        <w:fldChar w:fldCharType="begin"/>
      </w:r>
      <w:r w:rsidR="00A620B9" w:rsidRPr="006A36A9">
        <w:instrText xml:space="preserve"> HYPERLINK "https://bnews.vn/tag/dau-tu-nuoc-ngoai/128740/1.html" \t "_blank" </w:instrText>
      </w:r>
      <w:r w:rsidR="00A620B9" w:rsidRPr="006A36A9">
        <w:fldChar w:fldCharType="separate"/>
      </w:r>
      <w:r w:rsidR="00916EA8" w:rsidRPr="006A36A9">
        <w:rPr>
          <w:lang w:val="vi-VN"/>
        </w:rPr>
        <w:t>đầu tư nước ngoài</w:t>
      </w:r>
      <w:r w:rsidR="00A620B9" w:rsidRPr="006A36A9">
        <w:rPr>
          <w:lang w:val="vi-VN"/>
        </w:rPr>
        <w:fldChar w:fldCharType="end"/>
      </w:r>
      <w:r w:rsidR="00916EA8" w:rsidRPr="006A36A9">
        <w:rPr>
          <w:lang w:val="vi-VN"/>
        </w:rPr>
        <w:t> đến năm 2030</w:t>
      </w:r>
      <w:r w:rsidR="00E51765" w:rsidRPr="006A36A9">
        <w:rPr>
          <w:lang w:val="vi-VN"/>
        </w:rPr>
        <w:t xml:space="preserve"> đã nêu rõ</w:t>
      </w:r>
      <w:r w:rsidR="00916EA8" w:rsidRPr="006A36A9">
        <w:rPr>
          <w:lang w:val="vi-VN"/>
        </w:rPr>
        <w:t xml:space="preserve"> cần phải </w:t>
      </w:r>
      <w:r w:rsidR="00E51765" w:rsidRPr="006A36A9">
        <w:rPr>
          <w:i/>
          <w:iCs/>
          <w:lang w:val="vi-VN"/>
        </w:rPr>
        <w:t>“</w:t>
      </w:r>
      <w:r w:rsidR="00916EA8" w:rsidRPr="006A36A9">
        <w:rPr>
          <w:i/>
          <w:iCs/>
          <w:lang w:val="vi-VN"/>
        </w:rPr>
        <w:t>x</w:t>
      </w:r>
      <w:r w:rsidR="00E51765" w:rsidRPr="006A36A9">
        <w:rPr>
          <w:i/>
          <w:iCs/>
          <w:lang w:val="vi-VN"/>
        </w:rPr>
        <w:t>ây dựng thể chế, chính sách ưu đãi vượt trội, cạnh tranh quốc tế tạo điều kiện kinh doanh thuận lợi thu hút các dự án lớn, trọng điểm quốc gia, dự án công nghệ cao..., thu hút các nhà đầu tư chiến lược, các tập đoàn đa quốc gia đầu tư, đặt trụ sở và thành lập các trung tâm nghiên cứu - phát triển (R&amp;D), trung tâm đổi mới sáng tạo tại Việt Nam.”</w:t>
      </w:r>
      <w:r w:rsidR="00E51765" w:rsidRPr="006A36A9">
        <w:rPr>
          <w:lang w:val="vi-VN"/>
        </w:rPr>
        <w:t> </w:t>
      </w:r>
      <w:r w:rsidR="00783617" w:rsidRPr="006A36A9">
        <w:rPr>
          <w:lang w:val="vi-VN"/>
        </w:rPr>
        <w:t>Trong bối cảnh dòng vốn đầu tư nước ngoài trên thế giới đang có xu hướng dịch chuyển, biến động theo hướng có lợi cho Việt Nam</w:t>
      </w:r>
      <w:r w:rsidR="005C3399" w:rsidRPr="006A36A9">
        <w:rPr>
          <w:rStyle w:val="FootnoteReference"/>
          <w:lang w:val="vi-VN"/>
        </w:rPr>
        <w:footnoteReference w:id="1"/>
      </w:r>
      <w:r w:rsidR="00783617" w:rsidRPr="006A36A9">
        <w:rPr>
          <w:lang w:val="vi-VN"/>
        </w:rPr>
        <w:t xml:space="preserve"> thì v</w:t>
      </w:r>
      <w:r w:rsidR="004248C1" w:rsidRPr="006A36A9">
        <w:rPr>
          <w:lang w:val="vi-VN"/>
        </w:rPr>
        <w:t>iệc chậm trễ hướng dẫn cụ thể vấn đề này sẽ làm giảm kh</w:t>
      </w:r>
      <w:r w:rsidR="005E706D" w:rsidRPr="006A36A9">
        <w:rPr>
          <w:lang w:val="vi-VN"/>
        </w:rPr>
        <w:t xml:space="preserve">ả năng thu hút hoạt động đầu tư của các tập đoàn lớn, hay </w:t>
      </w:r>
      <w:r w:rsidR="00813EBF" w:rsidRPr="006A36A9">
        <w:rPr>
          <w:lang w:val="vi-VN"/>
        </w:rPr>
        <w:t xml:space="preserve">đầu tư vào </w:t>
      </w:r>
      <w:r w:rsidR="00804A95" w:rsidRPr="006A36A9">
        <w:rPr>
          <w:lang w:val="vi-VN"/>
        </w:rPr>
        <w:t xml:space="preserve">hoạt động có hàm lượng tri thức cao. </w:t>
      </w:r>
    </w:p>
    <w:p w14:paraId="6ACD1BAA" w14:textId="77777777" w:rsidR="00804A95" w:rsidRPr="006A36A9" w:rsidRDefault="00804A95" w:rsidP="00804A95">
      <w:pPr>
        <w:pStyle w:val="ListParagraph"/>
        <w:spacing w:before="120" w:after="120"/>
        <w:jc w:val="both"/>
        <w:rPr>
          <w:lang w:val="vi-VN"/>
        </w:rPr>
      </w:pPr>
    </w:p>
    <w:p w14:paraId="4F5BA643" w14:textId="6EE4C28A" w:rsidR="006E7E1F" w:rsidRPr="006A36A9" w:rsidRDefault="00B21918" w:rsidP="009F3A6F">
      <w:pPr>
        <w:pStyle w:val="ListParagraph"/>
        <w:numPr>
          <w:ilvl w:val="0"/>
          <w:numId w:val="1"/>
        </w:numPr>
        <w:spacing w:before="120" w:after="120"/>
        <w:jc w:val="both"/>
        <w:rPr>
          <w:color w:val="000000" w:themeColor="text1"/>
        </w:rPr>
      </w:pPr>
      <w:r w:rsidRPr="006A36A9">
        <w:rPr>
          <w:b/>
          <w:lang w:val="vi-VN"/>
        </w:rPr>
        <w:t>Khoản 2, điểm (đ) Điều 69 Luật Đầu tư 2020</w:t>
      </w:r>
      <w:r w:rsidR="00244110" w:rsidRPr="006A36A9">
        <w:rPr>
          <w:b/>
          <w:lang w:val="vi-VN"/>
        </w:rPr>
        <w:t xml:space="preserve"> </w:t>
      </w:r>
      <w:r w:rsidR="00702818" w:rsidRPr="006A36A9">
        <w:rPr>
          <w:b/>
          <w:lang w:val="vi-VN"/>
        </w:rPr>
        <w:t xml:space="preserve">đã quy định trách nhiệm quản lý nhà nước về </w:t>
      </w:r>
      <w:r w:rsidR="00702818" w:rsidRPr="006A36A9">
        <w:rPr>
          <w:b/>
          <w:color w:val="000000" w:themeColor="text1"/>
          <w:lang w:val="vi-VN"/>
        </w:rPr>
        <w:t>đầu tư</w:t>
      </w:r>
      <w:r w:rsidR="00BD1488" w:rsidRPr="006A36A9">
        <w:rPr>
          <w:b/>
          <w:color w:val="000000" w:themeColor="text1"/>
          <w:lang w:val="vi-VN"/>
        </w:rPr>
        <w:t xml:space="preserve"> có đặt ra trách nhiệm </w:t>
      </w:r>
      <w:r w:rsidR="009B297A" w:rsidRPr="006A36A9">
        <w:rPr>
          <w:b/>
          <w:color w:val="000000" w:themeColor="text1"/>
          <w:lang w:val="vi-VN"/>
        </w:rPr>
        <w:t xml:space="preserve">Bộ Kế hoạch và Đầu tư </w:t>
      </w:r>
      <w:r w:rsidR="00807A6A" w:rsidRPr="006A36A9">
        <w:rPr>
          <w:b/>
          <w:color w:val="000000" w:themeColor="text1"/>
          <w:lang w:val="vi-VN"/>
        </w:rPr>
        <w:t xml:space="preserve">trong việc </w:t>
      </w:r>
      <w:r w:rsidR="00807A6A" w:rsidRPr="006A36A9">
        <w:rPr>
          <w:b/>
          <w:i/>
          <w:iCs/>
          <w:color w:val="000000" w:themeColor="text1"/>
          <w:lang w:val="vi-VN"/>
        </w:rPr>
        <w:t>“</w:t>
      </w:r>
      <w:r w:rsidR="00681B13" w:rsidRPr="006A36A9">
        <w:rPr>
          <w:b/>
          <w:i/>
          <w:iCs/>
          <w:color w:val="000000" w:themeColor="text1"/>
          <w:lang w:val="vi-VN"/>
        </w:rPr>
        <w:t>x</w:t>
      </w:r>
      <w:r w:rsidR="009B297A" w:rsidRPr="006A36A9">
        <w:rPr>
          <w:b/>
          <w:i/>
          <w:iCs/>
          <w:color w:val="000000" w:themeColor="text1"/>
          <w:lang w:val="vi-VN"/>
        </w:rPr>
        <w:t>ây dựng và trình cơ quan có thẩm quyền ban hành cơ chế giải quyết vướng mắc của nhà đầu tư, phòng ngừa tranh chấp giữa Nhà nước và nhà đầu tư</w:t>
      </w:r>
      <w:r w:rsidR="008A3F43" w:rsidRPr="006A36A9">
        <w:rPr>
          <w:b/>
          <w:i/>
          <w:iCs/>
          <w:color w:val="000000" w:themeColor="text1"/>
          <w:lang w:val="vi-VN"/>
        </w:rPr>
        <w:t>”</w:t>
      </w:r>
      <w:r w:rsidR="008A3F43" w:rsidRPr="006A36A9">
        <w:rPr>
          <w:color w:val="000000" w:themeColor="text1"/>
          <w:lang w:val="vi-VN"/>
        </w:rPr>
        <w:t xml:space="preserve"> (điểm đ).</w:t>
      </w:r>
      <w:r w:rsidR="008A3F43" w:rsidRPr="006A36A9">
        <w:rPr>
          <w:i/>
          <w:iCs/>
          <w:color w:val="000000" w:themeColor="text1"/>
          <w:lang w:val="vi-VN"/>
        </w:rPr>
        <w:t xml:space="preserve"> </w:t>
      </w:r>
      <w:r w:rsidR="00772A4F" w:rsidRPr="006A36A9">
        <w:rPr>
          <w:color w:val="000000" w:themeColor="text1"/>
          <w:lang w:val="vi-VN"/>
        </w:rPr>
        <w:t xml:space="preserve">Vấn đề này cũng phù hợp với </w:t>
      </w:r>
      <w:r w:rsidR="00EA4142" w:rsidRPr="006A36A9">
        <w:rPr>
          <w:lang w:val="vi-VN"/>
        </w:rPr>
        <w:t xml:space="preserve">Nghị quyết </w:t>
      </w:r>
      <w:r w:rsidR="00EA4142" w:rsidRPr="006A36A9">
        <w:t>50-NQ/TW</w:t>
      </w:r>
      <w:r w:rsidR="00EA4142" w:rsidRPr="006A36A9">
        <w:rPr>
          <w:lang w:val="vi-VN"/>
        </w:rPr>
        <w:t xml:space="preserve"> của Bộ Chính trị về định hướng hoàn thiện thể chế, chính sách, nâng cao chất lượng, hiệu quả hợp tác đầu tư nước ngoài đến năm 2030 có đặt ra một nhiệm vụ, giải pháp chủ yếu là: </w:t>
      </w:r>
      <w:r w:rsidR="00EA4142" w:rsidRPr="006A36A9">
        <w:rPr>
          <w:i/>
          <w:iCs/>
          <w:lang w:val="vi-VN"/>
        </w:rPr>
        <w:t>“</w:t>
      </w:r>
      <w:r w:rsidR="00EA4142" w:rsidRPr="006A36A9">
        <w:rPr>
          <w:i/>
          <w:iCs/>
        </w:rPr>
        <w:t>Xây dựng cơ chế phòng ngừa và giải quyết vướng mắc, khiếu nại, khiếu kiện của nhà đầu tư</w:t>
      </w:r>
      <w:r w:rsidR="00EA4142" w:rsidRPr="006A36A9">
        <w:rPr>
          <w:i/>
          <w:iCs/>
          <w:lang w:val="vi-VN"/>
        </w:rPr>
        <w:t xml:space="preserve">” </w:t>
      </w:r>
      <w:r w:rsidR="00782CAA" w:rsidRPr="006A36A9">
        <w:rPr>
          <w:i/>
          <w:iCs/>
          <w:lang w:val="vi-VN"/>
        </w:rPr>
        <w:t xml:space="preserve">và </w:t>
      </w:r>
      <w:r w:rsidR="00772A4F" w:rsidRPr="006A36A9">
        <w:rPr>
          <w:lang w:val="vi-VN"/>
        </w:rPr>
        <w:t xml:space="preserve">Chỉ thị 27/2020 của Thủ tướng Chính phủ về </w:t>
      </w:r>
      <w:r w:rsidR="00772A4F" w:rsidRPr="006A36A9">
        <w:t>tăng cường công tác quản lý nhà nước về đầu tư và phòng ngừa việc phát sinh các vụ việc tranh chấp đầu tư quốc tế</w:t>
      </w:r>
      <w:r w:rsidR="006E7E1F" w:rsidRPr="006A36A9">
        <w:rPr>
          <w:lang w:val="vi-VN"/>
        </w:rPr>
        <w:t>:</w:t>
      </w:r>
    </w:p>
    <w:p w14:paraId="045E0198" w14:textId="5E066E47" w:rsidR="006E7E1F" w:rsidRPr="006A36A9" w:rsidRDefault="00643388" w:rsidP="00DA3F65">
      <w:pPr>
        <w:autoSpaceDE w:val="0"/>
        <w:autoSpaceDN w:val="0"/>
        <w:spacing w:before="100" w:beforeAutospacing="1" w:after="120"/>
        <w:ind w:left="720"/>
        <w:rPr>
          <w:i/>
          <w:iCs/>
        </w:rPr>
      </w:pPr>
      <w:r w:rsidRPr="006A36A9">
        <w:rPr>
          <w:i/>
          <w:iCs/>
          <w:lang w:val="vi-VN"/>
        </w:rPr>
        <w:t>“</w:t>
      </w:r>
      <w:r w:rsidR="006E7E1F" w:rsidRPr="006A36A9">
        <w:rPr>
          <w:i/>
          <w:iCs/>
        </w:rPr>
        <w:t>2. Phòng ngừa tranh chấp đầu tư quốc tế</w:t>
      </w:r>
    </w:p>
    <w:p w14:paraId="256FC856" w14:textId="6248FD06" w:rsidR="006E7E1F" w:rsidRPr="006A36A9" w:rsidRDefault="006E7E1F" w:rsidP="00DA3F65">
      <w:pPr>
        <w:autoSpaceDE w:val="0"/>
        <w:autoSpaceDN w:val="0"/>
        <w:spacing w:before="100" w:beforeAutospacing="1" w:after="120"/>
        <w:ind w:left="720"/>
        <w:rPr>
          <w:i/>
          <w:iCs/>
          <w:color w:val="000000" w:themeColor="text1"/>
        </w:rPr>
      </w:pPr>
      <w:r w:rsidRPr="006A36A9">
        <w:rPr>
          <w:i/>
          <w:iCs/>
          <w:lang w:val="vi-VN"/>
        </w:rPr>
        <w:lastRenderedPageBreak/>
        <w:t>“</w:t>
      </w:r>
      <w:r w:rsidRPr="006A36A9">
        <w:rPr>
          <w:i/>
          <w:iCs/>
        </w:rPr>
        <w:t>a) Bộ Kế hoạch và Đầu tư chủ trì, phối hợp với các bộ</w:t>
      </w:r>
      <w:r w:rsidRPr="006A36A9">
        <w:rPr>
          <w:i/>
          <w:iCs/>
          <w:color w:val="000000" w:themeColor="text1"/>
        </w:rPr>
        <w:t>, ngành và địa phương:</w:t>
      </w:r>
    </w:p>
    <w:p w14:paraId="4C6553D9" w14:textId="77777777" w:rsidR="006E7E1F" w:rsidRPr="006A36A9" w:rsidRDefault="006E7E1F" w:rsidP="00DA3F65">
      <w:pPr>
        <w:autoSpaceDE w:val="0"/>
        <w:autoSpaceDN w:val="0"/>
        <w:spacing w:before="100" w:beforeAutospacing="1" w:after="120"/>
        <w:ind w:left="720"/>
        <w:rPr>
          <w:i/>
          <w:iCs/>
          <w:color w:val="000000" w:themeColor="text1"/>
        </w:rPr>
      </w:pPr>
      <w:r w:rsidRPr="006A36A9">
        <w:rPr>
          <w:i/>
          <w:iCs/>
          <w:color w:val="000000" w:themeColor="text1"/>
        </w:rPr>
        <w:t>- Rà soát, đánh giá việc thực hiện các cơ chế lựa chọn, sàng lọc nhà đầu tư nước ngoài ngay từ khi nhà đầu tư nước ngoài tìm kiếm cơ hội đầu tư tại Việt Nam; tập hợp, lưu giữ đầy đủ thông tin về hoạt động đầu tư nước ngoài tại Việt Nam, đề xuất các giải pháp hoàn thiện, báo cáo Thủ tướng Chính phủ trong năm 2021.</w:t>
      </w:r>
    </w:p>
    <w:p w14:paraId="28437FF3" w14:textId="18B1EF97" w:rsidR="00772A4F" w:rsidRPr="006A36A9" w:rsidRDefault="006E7E1F" w:rsidP="00DA3F65">
      <w:pPr>
        <w:autoSpaceDE w:val="0"/>
        <w:autoSpaceDN w:val="0"/>
        <w:spacing w:before="100" w:beforeAutospacing="1" w:after="120"/>
        <w:ind w:left="720"/>
        <w:rPr>
          <w:i/>
          <w:iCs/>
          <w:color w:val="FF0000"/>
        </w:rPr>
      </w:pPr>
      <w:r w:rsidRPr="006A36A9">
        <w:rPr>
          <w:i/>
          <w:iCs/>
          <w:color w:val="000000" w:themeColor="text1"/>
        </w:rPr>
        <w:t>- Nghiên cứu, xây dựng cơ chế phối hợp giữa các bộ, ngành và địa phương trong rà soát, cảnh báo sớm nguy cơ phát sinh tranh chấp giữa nhà đầu tư nước ngoài và Nhà nước, báo cáo Thủ tướng Chính phủ trong tháng 12 năm 2020.</w:t>
      </w:r>
      <w:r w:rsidR="001C5D63" w:rsidRPr="006A36A9">
        <w:rPr>
          <w:i/>
          <w:iCs/>
          <w:lang w:val="vi-VN"/>
        </w:rPr>
        <w:t>”</w:t>
      </w:r>
    </w:p>
    <w:p w14:paraId="40BD8C12" w14:textId="705AED5B" w:rsidR="00456AAF" w:rsidRPr="006A36A9" w:rsidRDefault="00220E71" w:rsidP="002552CE">
      <w:pPr>
        <w:shd w:val="clear" w:color="auto" w:fill="FFFFFF"/>
        <w:tabs>
          <w:tab w:val="left" w:pos="567"/>
        </w:tabs>
        <w:spacing w:after="40"/>
        <w:ind w:left="567"/>
        <w:jc w:val="both"/>
        <w:rPr>
          <w:lang w:val="vi-VN"/>
        </w:rPr>
      </w:pPr>
      <w:r w:rsidRPr="006A36A9">
        <w:rPr>
          <w:lang w:val="vi-VN"/>
        </w:rPr>
        <w:t xml:space="preserve">Như vậy, có thể thấy trách nhiệm cần phải có một quy định </w:t>
      </w:r>
      <w:r w:rsidR="004A6A3E" w:rsidRPr="006A36A9">
        <w:rPr>
          <w:lang w:val="vi-VN"/>
        </w:rPr>
        <w:t xml:space="preserve">của Chính phủ xác định trách nhiệm, vai trò của Bộ Kế hoạch và Đầu tư và các bộ, ngành liên quan trong việc xây dựng và ban hành cơ chế phối hợp để giải quyết vướng mắc của nhà đầu tư và phòng ngừa tranh chấp đầu tư quốc tế. </w:t>
      </w:r>
      <w:r w:rsidR="00456AAF" w:rsidRPr="006A36A9">
        <w:rPr>
          <w:lang w:val="vi-VN"/>
        </w:rPr>
        <w:t xml:space="preserve">Đây cũng là các yêu cầu được nêu tại </w:t>
      </w:r>
      <w:r w:rsidR="00456AAF" w:rsidRPr="006A36A9">
        <w:rPr>
          <w:color w:val="000000" w:themeColor="text1"/>
          <w:lang w:val="vi-VN"/>
        </w:rPr>
        <w:t xml:space="preserve">Quyết định số </w:t>
      </w:r>
      <w:r w:rsidR="00456AAF" w:rsidRPr="006A36A9">
        <w:t>14/2020</w:t>
      </w:r>
      <w:r w:rsidR="00456AAF" w:rsidRPr="006A36A9">
        <w:rPr>
          <w:lang w:val="vi-VN"/>
        </w:rPr>
        <w:t>/QĐ-TTg của Thủ tướng Chính phủ ngày 08/04/2020 ban hành quy chế phối hợp giải quyết tranh chấp đầu tư quốc tế, Nghị quyết 01/NQ-CP của Chính phủ về nhiệm vụ, giải pháp chủ yếu thực hiện kế hoạch phát triển kinh tế - xã hội và dự toán ngân sách nhà nước năm 2020</w:t>
      </w:r>
      <w:r w:rsidR="00456AAF" w:rsidRPr="006A36A9">
        <w:rPr>
          <w:rStyle w:val="FootnoteReference"/>
          <w:lang w:val="vi-VN"/>
        </w:rPr>
        <w:footnoteReference w:id="2"/>
      </w:r>
    </w:p>
    <w:p w14:paraId="748D8761" w14:textId="77777777" w:rsidR="00456AAF" w:rsidRPr="006A36A9" w:rsidRDefault="00456AAF" w:rsidP="00EF5EF3">
      <w:pPr>
        <w:shd w:val="clear" w:color="auto" w:fill="FFFFFF"/>
        <w:tabs>
          <w:tab w:val="left" w:pos="567"/>
        </w:tabs>
        <w:spacing w:after="40"/>
        <w:jc w:val="both"/>
        <w:rPr>
          <w:lang w:val="vi-VN"/>
        </w:rPr>
      </w:pPr>
    </w:p>
    <w:p w14:paraId="4C918BA9" w14:textId="122DC3B1" w:rsidR="005931CD" w:rsidRPr="006A36A9" w:rsidRDefault="00107AF5" w:rsidP="005931CD">
      <w:pPr>
        <w:shd w:val="clear" w:color="auto" w:fill="FFFFFF"/>
        <w:tabs>
          <w:tab w:val="left" w:pos="567"/>
        </w:tabs>
        <w:spacing w:after="40"/>
        <w:ind w:left="567"/>
        <w:jc w:val="both"/>
        <w:rPr>
          <w:color w:val="000000" w:themeColor="text1"/>
          <w:lang w:val="vi-VN"/>
        </w:rPr>
      </w:pPr>
      <w:r w:rsidRPr="006A36A9">
        <w:rPr>
          <w:lang w:val="vi-VN"/>
        </w:rPr>
        <w:t xml:space="preserve">Tuy nhiên, Dự thảo Nghị định </w:t>
      </w:r>
      <w:r w:rsidR="00783604" w:rsidRPr="006A36A9">
        <w:rPr>
          <w:lang w:val="vi-VN"/>
        </w:rPr>
        <w:t xml:space="preserve">chưa có bất kỳ một điều khoản nào hướng dẫn </w:t>
      </w:r>
      <w:r w:rsidR="00053107" w:rsidRPr="006A36A9">
        <w:rPr>
          <w:lang w:val="vi-VN"/>
        </w:rPr>
        <w:t xml:space="preserve">cụ thể về </w:t>
      </w:r>
      <w:r w:rsidR="00053107" w:rsidRPr="006A36A9">
        <w:rPr>
          <w:i/>
          <w:iCs/>
          <w:color w:val="000000" w:themeColor="text1"/>
          <w:lang w:val="vi-VN"/>
        </w:rPr>
        <w:t>cơ chế giải quyết vướng mắc của nhà đầu tư, phòng ngừa tranh chấp giữa Nhà nước và nhà đầu tư.</w:t>
      </w:r>
      <w:r w:rsidR="0025111C" w:rsidRPr="006A36A9">
        <w:rPr>
          <w:color w:val="000000" w:themeColor="text1"/>
          <w:lang w:val="vi-VN"/>
        </w:rPr>
        <w:t xml:space="preserve"> Việc không </w:t>
      </w:r>
      <w:r w:rsidR="007A61E1" w:rsidRPr="006A36A9">
        <w:rPr>
          <w:color w:val="000000" w:themeColor="text1"/>
          <w:lang w:val="vi-VN"/>
        </w:rPr>
        <w:t xml:space="preserve">quy định nội dung này tại Dự thảo Nghị định </w:t>
      </w:r>
      <w:r w:rsidR="005650C0" w:rsidRPr="006A36A9">
        <w:rPr>
          <w:color w:val="000000" w:themeColor="text1"/>
          <w:lang w:val="vi-VN"/>
        </w:rPr>
        <w:t xml:space="preserve">lần này sẽ làm chậm lại quá trình xây dựng cơ chế phòng ngừa tranh chấp đầu tư </w:t>
      </w:r>
      <w:r w:rsidR="008A0619" w:rsidRPr="006A36A9">
        <w:rPr>
          <w:color w:val="000000" w:themeColor="text1"/>
          <w:lang w:val="vi-VN"/>
        </w:rPr>
        <w:t xml:space="preserve">quốc tế </w:t>
      </w:r>
      <w:r w:rsidR="005650C0" w:rsidRPr="006A36A9">
        <w:rPr>
          <w:color w:val="000000" w:themeColor="text1"/>
          <w:lang w:val="vi-VN"/>
        </w:rPr>
        <w:t xml:space="preserve">trong khi </w:t>
      </w:r>
      <w:r w:rsidR="005C318F" w:rsidRPr="006A36A9">
        <w:rPr>
          <w:color w:val="000000" w:themeColor="text1"/>
          <w:lang w:val="vi-VN"/>
        </w:rPr>
        <w:t xml:space="preserve">nguy cơ về xảy ra các tranh chấp đầu tư </w:t>
      </w:r>
      <w:r w:rsidR="00F11D5B" w:rsidRPr="006A36A9">
        <w:rPr>
          <w:color w:val="000000" w:themeColor="text1"/>
          <w:lang w:val="vi-VN"/>
        </w:rPr>
        <w:t>quốc tế ngày một gia tăng</w:t>
      </w:r>
      <w:r w:rsidR="00FB4C97" w:rsidRPr="006A36A9">
        <w:rPr>
          <w:rStyle w:val="FootnoteReference"/>
          <w:lang w:val="vi-VN"/>
        </w:rPr>
        <w:footnoteReference w:id="3"/>
      </w:r>
      <w:r w:rsidR="00F11D5B" w:rsidRPr="006A36A9">
        <w:rPr>
          <w:color w:val="000000" w:themeColor="text1"/>
          <w:lang w:val="vi-VN"/>
        </w:rPr>
        <w:t xml:space="preserve">. </w:t>
      </w:r>
    </w:p>
    <w:p w14:paraId="2811CBE4" w14:textId="77777777" w:rsidR="00A85061" w:rsidRPr="006A36A9" w:rsidRDefault="00A85061" w:rsidP="00F137D3">
      <w:pPr>
        <w:spacing w:before="120" w:after="120"/>
        <w:ind w:left="567"/>
        <w:jc w:val="both"/>
        <w:rPr>
          <w:lang w:val="vi-VN"/>
        </w:rPr>
      </w:pPr>
      <w:r w:rsidRPr="006A36A9">
        <w:rPr>
          <w:lang w:val="vi-VN"/>
        </w:rPr>
        <w:t>Như vậy, Dự thảo Nghị định mới chỉ tập trung nhiều vào việc cải thiện công tác quản lý nhà nước về đầu tư mà chưa quy định hay hướng dẫn những vấn đề cấp thiết đối với hoạt động đầu tư để tạo ra một môi trường đầu tư có tính cạnh tranh, ổn định, công bằng và an toàn cho nhà đầu tư, đặc biệt là nhà đầu tư nước ngoài./.</w:t>
      </w:r>
    </w:p>
    <w:p w14:paraId="4E679F1C" w14:textId="77777777" w:rsidR="005931CD" w:rsidRPr="006A36A9" w:rsidRDefault="005931CD" w:rsidP="005931CD">
      <w:pPr>
        <w:shd w:val="clear" w:color="auto" w:fill="FFFFFF"/>
        <w:tabs>
          <w:tab w:val="left" w:pos="567"/>
        </w:tabs>
        <w:spacing w:after="40"/>
        <w:ind w:left="567"/>
        <w:jc w:val="both"/>
        <w:rPr>
          <w:color w:val="000000" w:themeColor="text1"/>
          <w:lang w:val="vi-VN"/>
        </w:rPr>
      </w:pPr>
    </w:p>
    <w:p w14:paraId="69CFC4DC" w14:textId="20F89C21" w:rsidR="00C1002A" w:rsidRPr="00DD4D20" w:rsidRDefault="000144CA" w:rsidP="000144CA">
      <w:pPr>
        <w:pStyle w:val="ListParagraph"/>
        <w:numPr>
          <w:ilvl w:val="0"/>
          <w:numId w:val="1"/>
        </w:numPr>
        <w:spacing w:before="120" w:after="120"/>
        <w:jc w:val="both"/>
        <w:rPr>
          <w:lang w:val="vi-VN"/>
        </w:rPr>
      </w:pPr>
      <w:r w:rsidRPr="000144CA">
        <w:rPr>
          <w:b/>
          <w:lang w:val="vi-VN"/>
        </w:rPr>
        <w:t xml:space="preserve">Điều 34 quy định về </w:t>
      </w:r>
      <w:r w:rsidR="00F137D3">
        <w:rPr>
          <w:b/>
          <w:lang w:val="vi-VN"/>
        </w:rPr>
        <w:t>t</w:t>
      </w:r>
      <w:r w:rsidR="005931CD" w:rsidRPr="000144CA">
        <w:rPr>
          <w:b/>
          <w:lang w:val="vi-VN"/>
        </w:rPr>
        <w:t>rình tự, thủ tục cấp, điều chỉnh Giấy chứng nhận đăng ký đầu tư trực tuyến trên Hệ thố</w:t>
      </w:r>
      <w:r w:rsidR="00F137D3">
        <w:rPr>
          <w:b/>
          <w:lang w:val="vi-VN"/>
        </w:rPr>
        <w:t>ng thông tin quốc gia về đầu tư</w:t>
      </w:r>
      <w:r w:rsidRPr="000144CA">
        <w:rPr>
          <w:b/>
          <w:lang w:val="vi-VN"/>
        </w:rPr>
        <w:t xml:space="preserve">, </w:t>
      </w:r>
      <w:r w:rsidRPr="00DD4D20">
        <w:rPr>
          <w:lang w:val="vi-VN"/>
        </w:rPr>
        <w:t>tuy nhiên, c</w:t>
      </w:r>
      <w:r w:rsidR="00A620B9" w:rsidRPr="00DD4D20">
        <w:rPr>
          <w:lang w:val="vi-VN"/>
        </w:rPr>
        <w:t xml:space="preserve">hưa quy định thời gian cụ thể thực hiện thủ tục </w:t>
      </w:r>
      <w:r w:rsidR="002228C3" w:rsidRPr="00DD4D20">
        <w:rPr>
          <w:lang w:val="vi-VN"/>
        </w:rPr>
        <w:t>tại</w:t>
      </w:r>
      <w:r w:rsidR="00A620B9" w:rsidRPr="00DD4D20">
        <w:rPr>
          <w:lang w:val="vi-VN"/>
        </w:rPr>
        <w:t xml:space="preserve"> cơ quan</w:t>
      </w:r>
      <w:bookmarkStart w:id="0" w:name="_GoBack"/>
      <w:bookmarkEnd w:id="0"/>
      <w:r w:rsidR="00A620B9" w:rsidRPr="00DD4D20">
        <w:rPr>
          <w:lang w:val="vi-VN"/>
        </w:rPr>
        <w:t xml:space="preserve"> cấp </w:t>
      </w:r>
      <w:r w:rsidR="002228C3" w:rsidRPr="00DD4D20">
        <w:rPr>
          <w:lang w:val="vi-VN"/>
        </w:rPr>
        <w:t>Giấy chứng nhận đầu tư (GCNĐT)</w:t>
      </w:r>
      <w:r w:rsidR="00252827">
        <w:rPr>
          <w:lang w:val="vi-VN"/>
        </w:rPr>
        <w:t xml:space="preserve"> như</w:t>
      </w:r>
      <w:r w:rsidR="002228C3" w:rsidRPr="00DD4D20">
        <w:rPr>
          <w:lang w:val="vi-VN"/>
        </w:rPr>
        <w:t xml:space="preserve">: </w:t>
      </w:r>
      <w:r w:rsidR="00F96269" w:rsidRPr="00DD4D20">
        <w:rPr>
          <w:lang w:val="vi-VN"/>
        </w:rPr>
        <w:t>Trong thời hạn bao lâu</w:t>
      </w:r>
      <w:r w:rsidR="00A620B9" w:rsidRPr="00DD4D20">
        <w:rPr>
          <w:lang w:val="vi-VN"/>
        </w:rPr>
        <w:t xml:space="preserve"> thì </w:t>
      </w:r>
      <w:r w:rsidR="0072658A" w:rsidRPr="00DD4D20">
        <w:rPr>
          <w:lang w:val="vi-VN"/>
        </w:rPr>
        <w:t xml:space="preserve">cơ quan đăng ký đầu tư gửi thông báo cho nhà đầu tư để hoàn thiện hồ sơ trên Hệ thống? </w:t>
      </w:r>
      <w:r w:rsidR="00F96269" w:rsidRPr="00DD4D20">
        <w:rPr>
          <w:lang w:val="vi-VN"/>
        </w:rPr>
        <w:t>Trong thời hạn bao lâu thì cơ quan đăng ký đầu tư gửi thông báo hồ sơ đã hợp lệ để cấp GNCĐT</w:t>
      </w:r>
      <w:r w:rsidR="002228C3" w:rsidRPr="00DD4D20">
        <w:rPr>
          <w:lang w:val="vi-VN"/>
        </w:rPr>
        <w:t xml:space="preserve"> trên hệ thống</w:t>
      </w:r>
      <w:r w:rsidR="00F96269" w:rsidRPr="00DD4D20">
        <w:rPr>
          <w:lang w:val="vi-VN"/>
        </w:rPr>
        <w:t xml:space="preserve">? </w:t>
      </w:r>
      <w:r w:rsidR="002228C3" w:rsidRPr="00DD4D20">
        <w:rPr>
          <w:lang w:val="vi-VN"/>
        </w:rPr>
        <w:t>Và t</w:t>
      </w:r>
      <w:r w:rsidR="00F96269" w:rsidRPr="00DD4D20">
        <w:rPr>
          <w:lang w:val="vi-VN"/>
        </w:rPr>
        <w:t xml:space="preserve">rong thời hạn bao lâu kể từ ngày nhà đầu tư nộp bản giấy hồ sơ thì sẽ </w:t>
      </w:r>
      <w:r w:rsidR="00CE2595" w:rsidRPr="00DD4D20">
        <w:rPr>
          <w:lang w:val="vi-VN"/>
        </w:rPr>
        <w:t xml:space="preserve">được </w:t>
      </w:r>
      <w:r w:rsidR="00F96269" w:rsidRPr="00DD4D20">
        <w:rPr>
          <w:lang w:val="vi-VN"/>
        </w:rPr>
        <w:t xml:space="preserve">cấp </w:t>
      </w:r>
      <w:r w:rsidR="00C1002A" w:rsidRPr="00DD4D20">
        <w:rPr>
          <w:lang w:val="vi-VN"/>
        </w:rPr>
        <w:t xml:space="preserve">GCNĐT? </w:t>
      </w:r>
    </w:p>
    <w:p w14:paraId="3E10FA4A" w14:textId="6FBDEDE5" w:rsidR="005931CD" w:rsidRPr="006A36A9" w:rsidRDefault="00C1002A" w:rsidP="00CE2595">
      <w:pPr>
        <w:spacing w:before="120" w:after="120"/>
        <w:ind w:firstLine="720"/>
        <w:jc w:val="both"/>
        <w:rPr>
          <w:lang w:val="vi-VN"/>
        </w:rPr>
      </w:pPr>
      <w:r w:rsidRPr="006A36A9">
        <w:rPr>
          <w:lang w:val="vi-VN"/>
        </w:rPr>
        <w:t>Đề nghị có quy định rõ ràng làm căn cứ thực hiện trên thực tế.</w:t>
      </w:r>
    </w:p>
    <w:p w14:paraId="645C527D" w14:textId="77777777" w:rsidR="00C1002A" w:rsidRPr="006A36A9" w:rsidRDefault="00C1002A" w:rsidP="00AC4A31">
      <w:pPr>
        <w:spacing w:before="120" w:after="120"/>
        <w:jc w:val="both"/>
        <w:rPr>
          <w:lang w:val="vi-VN"/>
        </w:rPr>
      </w:pPr>
    </w:p>
    <w:p w14:paraId="51FAC8AD" w14:textId="33862AF3" w:rsidR="004472E8" w:rsidRPr="004B0C75" w:rsidRDefault="004B0C75" w:rsidP="004B0C75">
      <w:pPr>
        <w:pStyle w:val="ListParagraph"/>
        <w:numPr>
          <w:ilvl w:val="0"/>
          <w:numId w:val="1"/>
        </w:numPr>
        <w:spacing w:before="120" w:after="120"/>
        <w:jc w:val="both"/>
        <w:rPr>
          <w:b/>
          <w:lang w:val="vi-VN"/>
        </w:rPr>
      </w:pPr>
      <w:r>
        <w:rPr>
          <w:b/>
          <w:lang w:val="vi-VN"/>
        </w:rPr>
        <w:t>Điều 46 quy định về việc đ</w:t>
      </w:r>
      <w:r w:rsidR="004472E8" w:rsidRPr="004B0C75">
        <w:rPr>
          <w:b/>
          <w:lang w:val="vi-VN"/>
        </w:rPr>
        <w:t>iều chỉnh dự án đầu tư trong trường hợp nhận chuyển nhượng dự án đầu tư là khoản nợ xấu của tổ chức tín dụng</w:t>
      </w:r>
      <w:r>
        <w:rPr>
          <w:b/>
          <w:lang w:val="vi-VN"/>
        </w:rPr>
        <w:t>, tại khoản 3 có quy định:</w:t>
      </w:r>
    </w:p>
    <w:p w14:paraId="55B3135D" w14:textId="44BEA1A0" w:rsidR="004472E8" w:rsidRPr="004B0C75" w:rsidRDefault="004B0C75" w:rsidP="004B0C75">
      <w:pPr>
        <w:spacing w:before="120" w:after="120"/>
        <w:ind w:left="720"/>
        <w:jc w:val="both"/>
        <w:rPr>
          <w:b/>
          <w:i/>
          <w:lang w:val="vi-VN"/>
        </w:rPr>
      </w:pPr>
      <w:r w:rsidRPr="004B0C75">
        <w:rPr>
          <w:b/>
          <w:i/>
          <w:lang w:val="vi-VN"/>
        </w:rPr>
        <w:lastRenderedPageBreak/>
        <w:t>“</w:t>
      </w:r>
      <w:r w:rsidR="004472E8" w:rsidRPr="004B0C75">
        <w:rPr>
          <w:b/>
          <w:i/>
          <w:lang w:val="vi-VN"/>
        </w:rPr>
        <w:t>Cơ quan đăng ký đầu tư đánh giá các điều kiện xử lý nợ xấu theo quy định của pháp luật về xử lý nợ xấu, pháp luật dân sự và pháp luật có liên quan để điều chỉnh dự án đầu tư”.</w:t>
      </w:r>
    </w:p>
    <w:p w14:paraId="0B0B9908" w14:textId="35086425" w:rsidR="00B43702" w:rsidRPr="006A36A9" w:rsidRDefault="00137F1A" w:rsidP="004230C4">
      <w:pPr>
        <w:shd w:val="clear" w:color="auto" w:fill="FFFFFF"/>
        <w:spacing w:before="120" w:after="120" w:line="250" w:lineRule="auto"/>
        <w:ind w:left="720"/>
        <w:jc w:val="both"/>
        <w:rPr>
          <w:shd w:val="clear" w:color="auto" w:fill="FFFFFF"/>
        </w:rPr>
      </w:pPr>
      <w:r w:rsidRPr="006A36A9">
        <w:rPr>
          <w:lang w:val="vi-VN"/>
        </w:rPr>
        <w:t xml:space="preserve">Quy định </w:t>
      </w:r>
      <w:r w:rsidR="004230C4">
        <w:rPr>
          <w:lang w:val="vi-VN"/>
        </w:rPr>
        <w:t>yêu cầu cơ quan đăng ký đầu tư phải đánh giá điều kiện xử lý nợ xấu theo quy định của pháp luật có liên quan</w:t>
      </w:r>
      <w:r w:rsidRPr="006A36A9">
        <w:rPr>
          <w:lang w:val="vi-VN"/>
        </w:rPr>
        <w:t xml:space="preserve"> </w:t>
      </w:r>
      <w:r w:rsidR="004230C4">
        <w:rPr>
          <w:lang w:val="vi-VN"/>
        </w:rPr>
        <w:t xml:space="preserve">là </w:t>
      </w:r>
      <w:r w:rsidR="006A36A9">
        <w:rPr>
          <w:lang w:val="vi-VN"/>
        </w:rPr>
        <w:t>quá</w:t>
      </w:r>
      <w:r w:rsidR="004C4DA1" w:rsidRPr="006A36A9">
        <w:rPr>
          <w:lang w:val="vi-VN"/>
        </w:rPr>
        <w:t xml:space="preserve"> thách thức đối với cơ quan đăng ký đầu tư và </w:t>
      </w:r>
      <w:r w:rsidR="006E324A">
        <w:rPr>
          <w:lang w:val="vi-VN"/>
        </w:rPr>
        <w:t xml:space="preserve">thật sự </w:t>
      </w:r>
      <w:r w:rsidR="004230C4">
        <w:rPr>
          <w:lang w:val="vi-VN"/>
        </w:rPr>
        <w:t>không cần thiết</w:t>
      </w:r>
      <w:r w:rsidR="00B43702" w:rsidRPr="006A36A9">
        <w:rPr>
          <w:lang w:val="vi-VN"/>
        </w:rPr>
        <w:t xml:space="preserve"> </w:t>
      </w:r>
      <w:r w:rsidR="006E324A">
        <w:rPr>
          <w:lang w:val="vi-VN"/>
        </w:rPr>
        <w:t xml:space="preserve">khi </w:t>
      </w:r>
      <w:r w:rsidR="00B43702" w:rsidRPr="006A36A9">
        <w:rPr>
          <w:lang w:val="vi-VN"/>
        </w:rPr>
        <w:t>trước đó</w:t>
      </w:r>
      <w:r w:rsidR="00173227" w:rsidRPr="006A36A9">
        <w:rPr>
          <w:lang w:val="vi-VN"/>
        </w:rPr>
        <w:t xml:space="preserve"> tại khoản 1 Điều 46</w:t>
      </w:r>
      <w:r w:rsidR="00B43702" w:rsidRPr="006A36A9">
        <w:rPr>
          <w:lang w:val="vi-VN"/>
        </w:rPr>
        <w:t xml:space="preserve"> nhà đầu tư đã t</w:t>
      </w:r>
      <w:r w:rsidR="00564A00">
        <w:rPr>
          <w:lang w:val="vi-VN"/>
        </w:rPr>
        <w:t xml:space="preserve">hực hiện xong thủ tục: </w:t>
      </w:r>
      <w:r w:rsidR="00B43702" w:rsidRPr="006A36A9">
        <w:rPr>
          <w:shd w:val="clear" w:color="auto" w:fill="FFFFFF"/>
        </w:rPr>
        <w:t>Đăng ký quyền sở hữu đối với tài sản, quyền sử dụng đất gắn liền với dự án đầu tư sau khi nhận chuyển nhượng dự án đầu tư từ tổ chức xử lý nợ xấu tại cơ quan nhà nước có thẩm quyền;</w:t>
      </w:r>
      <w:r w:rsidR="00173227" w:rsidRPr="006A36A9">
        <w:rPr>
          <w:shd w:val="clear" w:color="auto" w:fill="FFFFFF"/>
        </w:rPr>
        <w:t xml:space="preserve"> </w:t>
      </w:r>
      <w:r w:rsidR="00B43702" w:rsidRPr="006A36A9">
        <w:rPr>
          <w:shd w:val="clear" w:color="auto" w:fill="FFFFFF"/>
        </w:rPr>
        <w:t>Thực hiện nghĩa vụ thu</w:t>
      </w:r>
      <w:r w:rsidR="00173227" w:rsidRPr="006A36A9">
        <w:rPr>
          <w:shd w:val="clear" w:color="auto" w:fill="FFFFFF"/>
        </w:rPr>
        <w:t>ế phát sinh (nếu có) và họ được kế thừa quyền và nghĩa vụ.</w:t>
      </w:r>
      <w:r w:rsidR="005507FE">
        <w:rPr>
          <w:shd w:val="clear" w:color="auto" w:fill="FFFFFF"/>
        </w:rPr>
        <w:t xml:space="preserve"> Bởi vấn đề đặt ra, nếu cơ quan đăng ký đầu tư phát hiện có vấn đề phát sinh trong quá trình xử lý nợ xấu thì sẽ giải quyết như thế nào?</w:t>
      </w:r>
      <w:r w:rsidR="0094365A">
        <w:rPr>
          <w:shd w:val="clear" w:color="auto" w:fill="FFFFFF"/>
        </w:rPr>
        <w:t xml:space="preserve"> Trường hợp giữ nguyên quy định yêu cầu cơ quan đăng ký đầu tư phải đánh giá các điều kiện xử lý nợ xấu thì phải có thêm quy định về cách thức giải quyết/xử lý trong trường hợp cơ quan đăng ký đầu tư phát hiện những nội dung không phù hợp với quy định của pháp luật.</w:t>
      </w:r>
    </w:p>
    <w:p w14:paraId="6DC4A681" w14:textId="4A9FAF4A" w:rsidR="00AC4A31" w:rsidRPr="006A36A9" w:rsidRDefault="00AC4A31" w:rsidP="006C7070">
      <w:pPr>
        <w:shd w:val="clear" w:color="auto" w:fill="FFFFFF"/>
        <w:tabs>
          <w:tab w:val="left" w:pos="567"/>
        </w:tabs>
        <w:spacing w:after="40"/>
        <w:jc w:val="both"/>
        <w:rPr>
          <w:lang w:val="vi-VN"/>
        </w:rPr>
      </w:pPr>
    </w:p>
    <w:p w14:paraId="450EBCCE" w14:textId="51CAE630" w:rsidR="00137F66" w:rsidRPr="00BE0FBD" w:rsidRDefault="00137F66" w:rsidP="00BE0FBD">
      <w:pPr>
        <w:pStyle w:val="ListParagraph"/>
        <w:numPr>
          <w:ilvl w:val="0"/>
          <w:numId w:val="1"/>
        </w:numPr>
        <w:spacing w:before="120" w:after="120"/>
        <w:jc w:val="both"/>
        <w:rPr>
          <w:lang w:val="vi-VN"/>
        </w:rPr>
      </w:pPr>
      <w:r w:rsidRPr="006A36A9">
        <w:rPr>
          <w:b/>
          <w:lang w:val="vi-VN"/>
        </w:rPr>
        <w:t>Điều 49 và Điều 50:</w:t>
      </w:r>
      <w:r w:rsidRPr="00BE0FBD">
        <w:rPr>
          <w:b/>
          <w:lang w:val="vi-VN"/>
        </w:rPr>
        <w:t xml:space="preserve"> </w:t>
      </w:r>
      <w:r w:rsidRPr="00BE0FBD">
        <w:rPr>
          <w:lang w:val="vi-VN"/>
        </w:rPr>
        <w:t xml:space="preserve">Đề nghị </w:t>
      </w:r>
      <w:r w:rsidR="007A1A90" w:rsidRPr="00BE0FBD">
        <w:rPr>
          <w:lang w:val="vi-VN"/>
        </w:rPr>
        <w:t xml:space="preserve">quy định cụ thể điều </w:t>
      </w:r>
      <w:r w:rsidR="00BE0FBD">
        <w:rPr>
          <w:lang w:val="vi-VN"/>
        </w:rPr>
        <w:t xml:space="preserve">khoản </w:t>
      </w:r>
      <w:r w:rsidR="007A1A90" w:rsidRPr="00BE0FBD">
        <w:rPr>
          <w:lang w:val="vi-VN"/>
        </w:rPr>
        <w:t xml:space="preserve">dẫn chiếu </w:t>
      </w:r>
      <w:r w:rsidR="00374AF4">
        <w:rPr>
          <w:lang w:val="vi-VN"/>
        </w:rPr>
        <w:t xml:space="preserve">đến các điều khoản thực hiện thủ tục </w:t>
      </w:r>
      <w:r w:rsidR="007A1A90" w:rsidRPr="00BE0FBD">
        <w:rPr>
          <w:lang w:val="vi-VN"/>
        </w:rPr>
        <w:t xml:space="preserve">để thống nhất kỹ thuật soạn thảo và thuận lợi tham chiếu </w:t>
      </w:r>
      <w:r w:rsidR="00374AF4">
        <w:rPr>
          <w:lang w:val="vi-VN"/>
        </w:rPr>
        <w:t>cho nhà đầu tư trong quá trình thực hiện.</w:t>
      </w:r>
    </w:p>
    <w:p w14:paraId="132F6EEA" w14:textId="1705832C" w:rsidR="00107AF5" w:rsidRPr="006A36A9" w:rsidRDefault="00107AF5" w:rsidP="00F464B2">
      <w:pPr>
        <w:shd w:val="clear" w:color="auto" w:fill="FFFFFF"/>
        <w:tabs>
          <w:tab w:val="left" w:pos="567"/>
        </w:tabs>
        <w:spacing w:after="40"/>
        <w:jc w:val="both"/>
        <w:rPr>
          <w:color w:val="000000" w:themeColor="text1"/>
          <w:lang w:val="vi-VN"/>
        </w:rPr>
      </w:pPr>
    </w:p>
    <w:p w14:paraId="4A8629D8" w14:textId="257F1DF6" w:rsidR="00704E99" w:rsidRPr="00137F1A" w:rsidRDefault="00704E99" w:rsidP="00404302">
      <w:pPr>
        <w:pStyle w:val="ListParagraph"/>
        <w:numPr>
          <w:ilvl w:val="0"/>
          <w:numId w:val="1"/>
        </w:numPr>
        <w:spacing w:before="120" w:after="120"/>
        <w:jc w:val="both"/>
      </w:pPr>
      <w:r w:rsidRPr="00374AF4">
        <w:rPr>
          <w:b/>
          <w:lang w:val="vi-VN"/>
        </w:rPr>
        <w:t xml:space="preserve">Luật Đầu tư 2020, Điều 26 về thủ tục </w:t>
      </w:r>
      <w:r w:rsidR="00FF569B" w:rsidRPr="00374AF4">
        <w:rPr>
          <w:b/>
          <w:lang w:val="vi-VN"/>
        </w:rPr>
        <w:t>đầu tư theo hình thức góp vốn, mua cổ phần, phần vốn góp</w:t>
      </w:r>
      <w:r w:rsidR="00FF569B" w:rsidRPr="006A36A9">
        <w:t xml:space="preserve"> </w:t>
      </w:r>
      <w:r w:rsidR="00FF569B" w:rsidRPr="00404302">
        <w:rPr>
          <w:b/>
        </w:rPr>
        <w:t>của nhà đầu tư nước ngoài</w:t>
      </w:r>
      <w:r w:rsidR="00FF569B" w:rsidRPr="00404302">
        <w:rPr>
          <w:b/>
          <w:lang w:val="vi-VN"/>
        </w:rPr>
        <w:t xml:space="preserve"> quy định</w:t>
      </w:r>
      <w:r w:rsidR="00FF569B" w:rsidRPr="006A36A9">
        <w:rPr>
          <w:lang w:val="vi-VN"/>
        </w:rPr>
        <w:t>: “</w:t>
      </w:r>
      <w:r w:rsidR="00FF569B" w:rsidRPr="00404302">
        <w:rPr>
          <w:i/>
          <w:lang w:val="vi-VN"/>
        </w:rPr>
        <w:t>Chính phủ quy định chi tiết hồ sơ, trình tự, thủ tục góp vốn, mua cổ phần, mua phần vốn góp của tổ chức kinh tế quy định tại Điều này</w:t>
      </w:r>
      <w:r w:rsidR="00404302">
        <w:rPr>
          <w:lang w:val="vi-VN"/>
        </w:rPr>
        <w:t>”</w:t>
      </w:r>
      <w:r w:rsidR="00FF569B" w:rsidRPr="006A36A9">
        <w:rPr>
          <w:lang w:val="vi-VN"/>
        </w:rPr>
        <w:t>.</w:t>
      </w:r>
      <w:r w:rsidR="00404302">
        <w:rPr>
          <w:lang w:val="vi-VN"/>
        </w:rPr>
        <w:t xml:space="preserve"> </w:t>
      </w:r>
      <w:r w:rsidR="00FF569B" w:rsidRPr="00404302">
        <w:rPr>
          <w:lang w:val="vi-VN"/>
        </w:rPr>
        <w:t xml:space="preserve">Tuy nhiên, Điều 62 của </w:t>
      </w:r>
      <w:r w:rsidR="00404302">
        <w:rPr>
          <w:lang w:val="vi-VN"/>
        </w:rPr>
        <w:t xml:space="preserve">Dự thảo </w:t>
      </w:r>
      <w:r w:rsidR="00FF569B" w:rsidRPr="00404302">
        <w:rPr>
          <w:lang w:val="vi-VN"/>
        </w:rPr>
        <w:t xml:space="preserve">Nghị định không quy định cụ thể trình tự, thủ tục </w:t>
      </w:r>
      <w:r w:rsidR="009407A4" w:rsidRPr="00404302">
        <w:rPr>
          <w:lang w:val="vi-VN"/>
        </w:rPr>
        <w:t xml:space="preserve">thực hiện thủ tục góp vốn, mua cổ phần cho nhà đầu tư. </w:t>
      </w:r>
      <w:r w:rsidR="00137F1A" w:rsidRPr="00404302">
        <w:rPr>
          <w:lang w:val="vi-VN"/>
        </w:rPr>
        <w:t xml:space="preserve">Đây là một nội dung rất quan trọng. Do vậy, </w:t>
      </w:r>
      <w:r w:rsidR="009407A4" w:rsidRPr="00404302">
        <w:rPr>
          <w:lang w:val="vi-VN"/>
        </w:rPr>
        <w:t xml:space="preserve">Đề nghị quy định rõ </w:t>
      </w:r>
      <w:r w:rsidR="00137F1A" w:rsidRPr="00404302">
        <w:rPr>
          <w:lang w:val="vi-VN"/>
        </w:rPr>
        <w:t xml:space="preserve">nội dung này vào Nghị định hướng dẫn để </w:t>
      </w:r>
      <w:r w:rsidR="009407A4" w:rsidRPr="00404302">
        <w:rPr>
          <w:lang w:val="vi-VN"/>
        </w:rPr>
        <w:t>làm căn cứ thực hiện trên thực tế.</w:t>
      </w:r>
    </w:p>
    <w:p w14:paraId="789D6DB1" w14:textId="77777777" w:rsidR="00704E99" w:rsidRPr="00137F1A" w:rsidRDefault="00704E99" w:rsidP="00875A8F">
      <w:pPr>
        <w:widowControl w:val="0"/>
        <w:spacing w:before="120" w:line="250" w:lineRule="auto"/>
        <w:jc w:val="both"/>
      </w:pPr>
    </w:p>
    <w:p w14:paraId="6788B04D" w14:textId="3C2F920C" w:rsidR="00A620B9" w:rsidRPr="00137F1A" w:rsidRDefault="00A620B9" w:rsidP="00EF5EF3">
      <w:pPr>
        <w:shd w:val="clear" w:color="auto" w:fill="FFFFFF"/>
        <w:tabs>
          <w:tab w:val="left" w:pos="567"/>
        </w:tabs>
        <w:spacing w:after="40"/>
        <w:jc w:val="both"/>
        <w:rPr>
          <w:i/>
          <w:iCs/>
        </w:rPr>
      </w:pPr>
    </w:p>
    <w:p w14:paraId="581F6CC7" w14:textId="6762E15E" w:rsidR="00674344" w:rsidRPr="00137F1A" w:rsidRDefault="00674344"/>
    <w:p w14:paraId="49B56D2A" w14:textId="77777777" w:rsidR="00674344" w:rsidRPr="00137F1A" w:rsidRDefault="00674344"/>
    <w:sectPr w:rsidR="00674344" w:rsidRPr="00137F1A" w:rsidSect="000B26FA">
      <w:footerReference w:type="even" r:id="rId8"/>
      <w:footerReference w:type="default" r:id="rId9"/>
      <w:pgSz w:w="12240" w:h="15840"/>
      <w:pgMar w:top="922"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C1FC8A" w14:textId="77777777" w:rsidR="00374AF4" w:rsidRDefault="00374AF4" w:rsidP="00E87175">
      <w:r>
        <w:separator/>
      </w:r>
    </w:p>
  </w:endnote>
  <w:endnote w:type="continuationSeparator" w:id="0">
    <w:p w14:paraId="16927C08" w14:textId="77777777" w:rsidR="00374AF4" w:rsidRDefault="00374AF4" w:rsidP="00E8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EEE3D" w14:textId="77777777" w:rsidR="00374AF4" w:rsidRDefault="00374AF4" w:rsidP="00F4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A21BBD" w14:textId="77777777" w:rsidR="00374AF4" w:rsidRDefault="00374AF4" w:rsidP="00F46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B0B137" w14:textId="77777777" w:rsidR="00374AF4" w:rsidRDefault="00374AF4" w:rsidP="00F464B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2827">
      <w:rPr>
        <w:rStyle w:val="PageNumber"/>
        <w:noProof/>
      </w:rPr>
      <w:t>2</w:t>
    </w:r>
    <w:r>
      <w:rPr>
        <w:rStyle w:val="PageNumber"/>
      </w:rPr>
      <w:fldChar w:fldCharType="end"/>
    </w:r>
  </w:p>
  <w:p w14:paraId="41164DBA" w14:textId="77777777" w:rsidR="00374AF4" w:rsidRDefault="00374AF4" w:rsidP="00F464B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58D8" w14:textId="77777777" w:rsidR="00374AF4" w:rsidRDefault="00374AF4" w:rsidP="00E87175">
      <w:r>
        <w:separator/>
      </w:r>
    </w:p>
  </w:footnote>
  <w:footnote w:type="continuationSeparator" w:id="0">
    <w:p w14:paraId="176FF0E4" w14:textId="77777777" w:rsidR="00374AF4" w:rsidRDefault="00374AF4" w:rsidP="00E87175">
      <w:r>
        <w:continuationSeparator/>
      </w:r>
    </w:p>
  </w:footnote>
  <w:footnote w:id="1">
    <w:p w14:paraId="08E3E99E" w14:textId="255B63AC" w:rsidR="00374AF4" w:rsidRPr="00732959" w:rsidRDefault="00374AF4">
      <w:pPr>
        <w:pStyle w:val="FootnoteText"/>
        <w:rPr>
          <w:lang w:val="vi-VN"/>
        </w:rPr>
      </w:pPr>
      <w:r>
        <w:rPr>
          <w:rStyle w:val="FootnoteReference"/>
        </w:rPr>
        <w:footnoteRef/>
      </w:r>
      <w:r>
        <w:t xml:space="preserve"> Cấn</w:t>
      </w:r>
      <w:r>
        <w:rPr>
          <w:lang w:val="vi-VN"/>
        </w:rPr>
        <w:t xml:space="preserve"> Văn Lực, </w:t>
      </w:r>
      <w:r w:rsidRPr="007647C8">
        <w:rPr>
          <w:i/>
          <w:iCs/>
          <w:lang w:val="vi-VN"/>
        </w:rPr>
        <w:t>Xu thế dịch chuyển dòng vốn đầu tư – giải pháp đối với Việt Nam</w:t>
      </w:r>
      <w:r>
        <w:rPr>
          <w:lang w:val="vi-VN"/>
        </w:rPr>
        <w:t xml:space="preserve">, 2020, </w:t>
      </w:r>
      <w:hyperlink r:id="rId1" w:history="1">
        <w:r w:rsidRPr="00C14AD9">
          <w:rPr>
            <w:rStyle w:val="Hyperlink"/>
          </w:rPr>
          <w:t>http://tapchitaichinh.vn/nghien-cuu-trao-doi/xu-the-dich-chuyen-dong-von-dau-tu-giai-phap-doi-voi-viet-nam-324649.html</w:t>
        </w:r>
      </w:hyperlink>
      <w:r>
        <w:rPr>
          <w:lang w:val="vi-VN"/>
        </w:rPr>
        <w:t xml:space="preserve">; Báo Hải Quan, </w:t>
      </w:r>
      <w:r w:rsidRPr="00732959">
        <w:rPr>
          <w:i/>
          <w:iCs/>
          <w:lang w:val="vi-VN"/>
        </w:rPr>
        <w:t>Hiệp định CPTPP, EVFTA: Tạo động lực dịch chuyển dòng vốn đầu tư,</w:t>
      </w:r>
      <w:r w:rsidRPr="00917B59">
        <w:rPr>
          <w:lang w:val="vi-VN"/>
        </w:rPr>
        <w:t xml:space="preserve"> 2019,</w:t>
      </w:r>
      <w:r>
        <w:rPr>
          <w:i/>
          <w:iCs/>
          <w:lang w:val="vi-VN"/>
        </w:rPr>
        <w:t xml:space="preserve"> </w:t>
      </w:r>
      <w:hyperlink r:id="rId2" w:history="1">
        <w:r w:rsidRPr="00C14AD9">
          <w:rPr>
            <w:rStyle w:val="Hyperlink"/>
            <w:lang w:val="vi-VN"/>
          </w:rPr>
          <w:t>https://cafef.vn/hiep-dinh-cptpp-evfta-tao-dong-luc-dich-chuyen-dong-von-dau-tu-2019081820585609.chn</w:t>
        </w:r>
      </w:hyperlink>
      <w:r>
        <w:rPr>
          <w:lang w:val="vi-VN"/>
        </w:rPr>
        <w:t xml:space="preserve"> </w:t>
      </w:r>
    </w:p>
  </w:footnote>
  <w:footnote w:id="2">
    <w:p w14:paraId="52511426" w14:textId="1B8F8353" w:rsidR="00374AF4" w:rsidRPr="00F6494F" w:rsidRDefault="00374AF4" w:rsidP="00F6494F">
      <w:pPr>
        <w:rPr>
          <w:i/>
          <w:iCs/>
          <w:sz w:val="20"/>
          <w:szCs w:val="20"/>
        </w:rPr>
      </w:pPr>
      <w:r w:rsidRPr="00E237F9">
        <w:rPr>
          <w:rStyle w:val="FootnoteReference"/>
          <w:i/>
          <w:iCs/>
          <w:sz w:val="20"/>
          <w:szCs w:val="20"/>
        </w:rPr>
        <w:footnoteRef/>
      </w:r>
      <w:r w:rsidRPr="00E237F9">
        <w:rPr>
          <w:i/>
          <w:iCs/>
          <w:sz w:val="20"/>
          <w:szCs w:val="20"/>
        </w:rPr>
        <w:t xml:space="preserve"> Nghị</w:t>
      </w:r>
      <w:r w:rsidRPr="00E237F9">
        <w:rPr>
          <w:i/>
          <w:iCs/>
          <w:sz w:val="20"/>
          <w:szCs w:val="20"/>
          <w:lang w:val="vi-VN"/>
        </w:rPr>
        <w:t xml:space="preserve"> quyết 01/2020/NQ-CP, Mục 8.3: “Thực hiện hiệu quả các giải pháp phòng ngừa và xử lý các vướng mắc, khiếu nại, khiếu kiện củ</w:t>
      </w:r>
      <w:r w:rsidRPr="00E237F9">
        <w:rPr>
          <w:i/>
          <w:iCs/>
          <w:sz w:val="20"/>
          <w:szCs w:val="20"/>
          <w:lang w:val="en-US"/>
        </w:rPr>
        <w:t xml:space="preserve">a </w:t>
      </w:r>
      <w:r w:rsidRPr="00E237F9">
        <w:rPr>
          <w:i/>
          <w:iCs/>
          <w:sz w:val="20"/>
          <w:szCs w:val="20"/>
          <w:lang w:val="vi-VN"/>
        </w:rPr>
        <w:t>nhà đầu tư.</w:t>
      </w:r>
      <w:r>
        <w:rPr>
          <w:i/>
          <w:iCs/>
          <w:sz w:val="20"/>
          <w:szCs w:val="20"/>
          <w:lang w:val="vi-VN"/>
        </w:rPr>
        <w:t>”</w:t>
      </w:r>
    </w:p>
  </w:footnote>
  <w:footnote w:id="3">
    <w:p w14:paraId="64EA4567" w14:textId="4A49B423" w:rsidR="00374AF4" w:rsidRPr="00FB4C97" w:rsidRDefault="00374AF4" w:rsidP="00FB4C97">
      <w:pPr>
        <w:rPr>
          <w:sz w:val="20"/>
          <w:szCs w:val="20"/>
          <w:lang w:val="vi-VN"/>
        </w:rPr>
      </w:pPr>
      <w:r w:rsidRPr="00FB4C97">
        <w:rPr>
          <w:rStyle w:val="FootnoteReference"/>
          <w:sz w:val="20"/>
          <w:szCs w:val="20"/>
        </w:rPr>
        <w:footnoteRef/>
      </w:r>
      <w:r w:rsidRPr="00FB4C97">
        <w:rPr>
          <w:sz w:val="20"/>
          <w:szCs w:val="20"/>
        </w:rPr>
        <w:t xml:space="preserve"> Nguyễn</w:t>
      </w:r>
      <w:r w:rsidRPr="00FB4C97">
        <w:rPr>
          <w:sz w:val="20"/>
          <w:szCs w:val="20"/>
          <w:lang w:val="vi-VN"/>
        </w:rPr>
        <w:t xml:space="preserve"> </w:t>
      </w:r>
      <w:r>
        <w:rPr>
          <w:sz w:val="20"/>
          <w:szCs w:val="20"/>
          <w:lang w:val="vi-VN"/>
        </w:rPr>
        <w:t xml:space="preserve">Thanh Tú và Lê Thị Ngọc Hà, </w:t>
      </w:r>
      <w:r w:rsidRPr="006D25C5">
        <w:rPr>
          <w:i/>
          <w:iCs/>
          <w:sz w:val="20"/>
          <w:szCs w:val="20"/>
        </w:rPr>
        <w:t>Phòng ngừa tranh chấp đầu tư quốc tế tại việt nam từ kinh nghiệm xây dựng cơ chế phòng ngừa của một số quốc gia</w:t>
      </w:r>
      <w:r>
        <w:rPr>
          <w:sz w:val="20"/>
          <w:szCs w:val="20"/>
          <w:lang w:val="vi-VN"/>
        </w:rPr>
        <w:t xml:space="preserve">, 2018; Ngân hàng Thế giới, </w:t>
      </w:r>
      <w:r w:rsidRPr="006D25C5">
        <w:rPr>
          <w:i/>
          <w:iCs/>
          <w:sz w:val="20"/>
          <w:szCs w:val="20"/>
          <w:lang w:val="vi-VN"/>
        </w:rPr>
        <w:t>Định hướng chiến lược thu hút FDI thế hệ mới, giai đoạn 2018-2030</w:t>
      </w:r>
      <w:r>
        <w:rPr>
          <w:sz w:val="20"/>
          <w:szCs w:val="20"/>
          <w:lang w:val="vi-VN"/>
        </w:rPr>
        <w:t xml:space="preserve">, 2018;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274FB"/>
    <w:multiLevelType w:val="hybridMultilevel"/>
    <w:tmpl w:val="51B8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6067F8"/>
    <w:multiLevelType w:val="hybridMultilevel"/>
    <w:tmpl w:val="1D161CDE"/>
    <w:lvl w:ilvl="0" w:tplc="C9D0D4AA">
      <w:start w:val="3"/>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918"/>
    <w:rsid w:val="000144CA"/>
    <w:rsid w:val="00037087"/>
    <w:rsid w:val="00041E9D"/>
    <w:rsid w:val="00053107"/>
    <w:rsid w:val="00057556"/>
    <w:rsid w:val="00092923"/>
    <w:rsid w:val="000A5FF6"/>
    <w:rsid w:val="000B26FA"/>
    <w:rsid w:val="000D6B89"/>
    <w:rsid w:val="000D6C1C"/>
    <w:rsid w:val="000E646E"/>
    <w:rsid w:val="000E6DE5"/>
    <w:rsid w:val="000F772B"/>
    <w:rsid w:val="0010267B"/>
    <w:rsid w:val="00107AF5"/>
    <w:rsid w:val="00137F1A"/>
    <w:rsid w:val="00137F66"/>
    <w:rsid w:val="0016033D"/>
    <w:rsid w:val="00163B2E"/>
    <w:rsid w:val="00173227"/>
    <w:rsid w:val="001A46A2"/>
    <w:rsid w:val="001A4AFE"/>
    <w:rsid w:val="001C5D63"/>
    <w:rsid w:val="001D15E5"/>
    <w:rsid w:val="001D52D1"/>
    <w:rsid w:val="00220E71"/>
    <w:rsid w:val="002228C3"/>
    <w:rsid w:val="00244110"/>
    <w:rsid w:val="0025111C"/>
    <w:rsid w:val="00252827"/>
    <w:rsid w:val="002552CE"/>
    <w:rsid w:val="002C1EC9"/>
    <w:rsid w:val="002D155A"/>
    <w:rsid w:val="00302571"/>
    <w:rsid w:val="003325BC"/>
    <w:rsid w:val="00374AF4"/>
    <w:rsid w:val="003C2777"/>
    <w:rsid w:val="00404302"/>
    <w:rsid w:val="0041066E"/>
    <w:rsid w:val="004230C4"/>
    <w:rsid w:val="004248C1"/>
    <w:rsid w:val="004472E8"/>
    <w:rsid w:val="00447383"/>
    <w:rsid w:val="00456AAF"/>
    <w:rsid w:val="00473729"/>
    <w:rsid w:val="004A4061"/>
    <w:rsid w:val="004A6A3E"/>
    <w:rsid w:val="004A6DB5"/>
    <w:rsid w:val="004B0C75"/>
    <w:rsid w:val="004C48CF"/>
    <w:rsid w:val="004C4DA1"/>
    <w:rsid w:val="004C732A"/>
    <w:rsid w:val="005507FE"/>
    <w:rsid w:val="00555B83"/>
    <w:rsid w:val="0055713E"/>
    <w:rsid w:val="00564A00"/>
    <w:rsid w:val="005650C0"/>
    <w:rsid w:val="005931CD"/>
    <w:rsid w:val="005B2AE4"/>
    <w:rsid w:val="005C318F"/>
    <w:rsid w:val="005C3399"/>
    <w:rsid w:val="005D5D5F"/>
    <w:rsid w:val="005E706D"/>
    <w:rsid w:val="005F3664"/>
    <w:rsid w:val="00614DA3"/>
    <w:rsid w:val="00632CF8"/>
    <w:rsid w:val="00643388"/>
    <w:rsid w:val="00646C72"/>
    <w:rsid w:val="00674344"/>
    <w:rsid w:val="00681B13"/>
    <w:rsid w:val="00682BBF"/>
    <w:rsid w:val="006842B6"/>
    <w:rsid w:val="0068545A"/>
    <w:rsid w:val="00692FDE"/>
    <w:rsid w:val="006A36A9"/>
    <w:rsid w:val="006B68F4"/>
    <w:rsid w:val="006C7070"/>
    <w:rsid w:val="006D25C5"/>
    <w:rsid w:val="006E324A"/>
    <w:rsid w:val="006E7E1F"/>
    <w:rsid w:val="006F0FB2"/>
    <w:rsid w:val="006F3101"/>
    <w:rsid w:val="00702351"/>
    <w:rsid w:val="00702818"/>
    <w:rsid w:val="00704E99"/>
    <w:rsid w:val="0072658A"/>
    <w:rsid w:val="00732959"/>
    <w:rsid w:val="007647C8"/>
    <w:rsid w:val="00765C10"/>
    <w:rsid w:val="00772A4F"/>
    <w:rsid w:val="00782CAA"/>
    <w:rsid w:val="00783604"/>
    <w:rsid w:val="00783617"/>
    <w:rsid w:val="007860F6"/>
    <w:rsid w:val="007A07BE"/>
    <w:rsid w:val="007A1A90"/>
    <w:rsid w:val="007A61E1"/>
    <w:rsid w:val="007D0A5E"/>
    <w:rsid w:val="007D3033"/>
    <w:rsid w:val="00804A95"/>
    <w:rsid w:val="00807A6A"/>
    <w:rsid w:val="00813EBF"/>
    <w:rsid w:val="00844DE4"/>
    <w:rsid w:val="008468C2"/>
    <w:rsid w:val="00875A8F"/>
    <w:rsid w:val="008A0619"/>
    <w:rsid w:val="008A3F43"/>
    <w:rsid w:val="008B6037"/>
    <w:rsid w:val="008C2AF6"/>
    <w:rsid w:val="008C44CE"/>
    <w:rsid w:val="008F582A"/>
    <w:rsid w:val="00916EA8"/>
    <w:rsid w:val="00917B59"/>
    <w:rsid w:val="009407A4"/>
    <w:rsid w:val="0094365A"/>
    <w:rsid w:val="009A369E"/>
    <w:rsid w:val="009A3AFA"/>
    <w:rsid w:val="009B297A"/>
    <w:rsid w:val="009D27E2"/>
    <w:rsid w:val="009E2850"/>
    <w:rsid w:val="009F3A6F"/>
    <w:rsid w:val="00A22974"/>
    <w:rsid w:val="00A36B06"/>
    <w:rsid w:val="00A620B9"/>
    <w:rsid w:val="00A65392"/>
    <w:rsid w:val="00A85061"/>
    <w:rsid w:val="00A960ED"/>
    <w:rsid w:val="00AA4E05"/>
    <w:rsid w:val="00AC4A31"/>
    <w:rsid w:val="00AC56ED"/>
    <w:rsid w:val="00AD1BB7"/>
    <w:rsid w:val="00B132BC"/>
    <w:rsid w:val="00B21918"/>
    <w:rsid w:val="00B43702"/>
    <w:rsid w:val="00B652EA"/>
    <w:rsid w:val="00B7760A"/>
    <w:rsid w:val="00BC64BA"/>
    <w:rsid w:val="00BD1488"/>
    <w:rsid w:val="00BE0FBD"/>
    <w:rsid w:val="00BF3F1B"/>
    <w:rsid w:val="00C1002A"/>
    <w:rsid w:val="00C7510B"/>
    <w:rsid w:val="00C76C3C"/>
    <w:rsid w:val="00C931C9"/>
    <w:rsid w:val="00C93536"/>
    <w:rsid w:val="00CE2595"/>
    <w:rsid w:val="00CE6FE2"/>
    <w:rsid w:val="00D948A4"/>
    <w:rsid w:val="00DA3F65"/>
    <w:rsid w:val="00DB3E5F"/>
    <w:rsid w:val="00DD4D20"/>
    <w:rsid w:val="00E16086"/>
    <w:rsid w:val="00E17C77"/>
    <w:rsid w:val="00E237F9"/>
    <w:rsid w:val="00E477B9"/>
    <w:rsid w:val="00E51765"/>
    <w:rsid w:val="00E57367"/>
    <w:rsid w:val="00E87175"/>
    <w:rsid w:val="00E96292"/>
    <w:rsid w:val="00EA4142"/>
    <w:rsid w:val="00EB6B28"/>
    <w:rsid w:val="00EF05A3"/>
    <w:rsid w:val="00EF5EF3"/>
    <w:rsid w:val="00F11D5B"/>
    <w:rsid w:val="00F137D3"/>
    <w:rsid w:val="00F13BB0"/>
    <w:rsid w:val="00F16A9D"/>
    <w:rsid w:val="00F23B3E"/>
    <w:rsid w:val="00F464B2"/>
    <w:rsid w:val="00F501FD"/>
    <w:rsid w:val="00F6494F"/>
    <w:rsid w:val="00F81921"/>
    <w:rsid w:val="00F96269"/>
    <w:rsid w:val="00FB4C97"/>
    <w:rsid w:val="00FE4713"/>
    <w:rsid w:val="00FF569B"/>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D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918"/>
    <w:pPr>
      <w:spacing w:before="100" w:beforeAutospacing="1" w:after="100" w:afterAutospacing="1"/>
    </w:pPr>
  </w:style>
  <w:style w:type="paragraph" w:styleId="FootnoteText">
    <w:name w:val="footnote text"/>
    <w:basedOn w:val="Normal"/>
    <w:link w:val="FootnoteTextChar"/>
    <w:uiPriority w:val="99"/>
    <w:semiHidden/>
    <w:unhideWhenUsed/>
    <w:rsid w:val="00E87175"/>
    <w:rPr>
      <w:sz w:val="20"/>
      <w:szCs w:val="20"/>
    </w:rPr>
  </w:style>
  <w:style w:type="character" w:customStyle="1" w:styleId="FootnoteTextChar">
    <w:name w:val="Footnote Text Char"/>
    <w:basedOn w:val="DefaultParagraphFont"/>
    <w:link w:val="FootnoteText"/>
    <w:uiPriority w:val="99"/>
    <w:semiHidden/>
    <w:rsid w:val="00E871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7175"/>
    <w:rPr>
      <w:vertAlign w:val="superscript"/>
    </w:rPr>
  </w:style>
  <w:style w:type="paragraph" w:styleId="ListParagraph">
    <w:name w:val="List Paragraph"/>
    <w:basedOn w:val="Normal"/>
    <w:uiPriority w:val="34"/>
    <w:qFormat/>
    <w:rsid w:val="009E2850"/>
    <w:pPr>
      <w:ind w:left="720"/>
      <w:contextualSpacing/>
    </w:pPr>
  </w:style>
  <w:style w:type="character" w:styleId="Hyperlink">
    <w:name w:val="Hyperlink"/>
    <w:basedOn w:val="DefaultParagraphFont"/>
    <w:uiPriority w:val="99"/>
    <w:unhideWhenUsed/>
    <w:rsid w:val="00916EA8"/>
    <w:rPr>
      <w:color w:val="0000FF"/>
      <w:u w:val="single"/>
    </w:rPr>
  </w:style>
  <w:style w:type="character" w:customStyle="1" w:styleId="UnresolvedMention">
    <w:name w:val="Unresolved Mention"/>
    <w:basedOn w:val="DefaultParagraphFont"/>
    <w:uiPriority w:val="99"/>
    <w:semiHidden/>
    <w:unhideWhenUsed/>
    <w:rsid w:val="00732959"/>
    <w:rPr>
      <w:color w:val="605E5C"/>
      <w:shd w:val="clear" w:color="auto" w:fill="E1DFDD"/>
    </w:rPr>
  </w:style>
  <w:style w:type="paragraph" w:customStyle="1" w:styleId="n-dieund">
    <w:name w:val="n-dieund"/>
    <w:basedOn w:val="Normal"/>
    <w:rsid w:val="005931CD"/>
    <w:pPr>
      <w:spacing w:after="120"/>
      <w:ind w:firstLine="709"/>
      <w:jc w:val="both"/>
    </w:pPr>
    <w:rPr>
      <w:sz w:val="28"/>
      <w:szCs w:val="20"/>
      <w:lang w:val="en-US" w:eastAsia="ja-JP"/>
    </w:rPr>
  </w:style>
  <w:style w:type="paragraph" w:styleId="Footer">
    <w:name w:val="footer"/>
    <w:basedOn w:val="Normal"/>
    <w:link w:val="FooterChar"/>
    <w:uiPriority w:val="99"/>
    <w:unhideWhenUsed/>
    <w:rsid w:val="00F464B2"/>
    <w:pPr>
      <w:tabs>
        <w:tab w:val="center" w:pos="4320"/>
        <w:tab w:val="right" w:pos="8640"/>
      </w:tabs>
    </w:pPr>
  </w:style>
  <w:style w:type="character" w:customStyle="1" w:styleId="FooterChar">
    <w:name w:val="Footer Char"/>
    <w:basedOn w:val="DefaultParagraphFont"/>
    <w:link w:val="Footer"/>
    <w:uiPriority w:val="99"/>
    <w:rsid w:val="00F464B2"/>
    <w:rPr>
      <w:rFonts w:ascii="Times New Roman" w:eastAsia="Times New Roman" w:hAnsi="Times New Roman" w:cs="Times New Roman"/>
    </w:rPr>
  </w:style>
  <w:style w:type="character" w:styleId="PageNumber">
    <w:name w:val="page number"/>
    <w:basedOn w:val="DefaultParagraphFont"/>
    <w:uiPriority w:val="99"/>
    <w:semiHidden/>
    <w:unhideWhenUsed/>
    <w:rsid w:val="00F464B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0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1918"/>
    <w:pPr>
      <w:spacing w:before="100" w:beforeAutospacing="1" w:after="100" w:afterAutospacing="1"/>
    </w:pPr>
  </w:style>
  <w:style w:type="paragraph" w:styleId="FootnoteText">
    <w:name w:val="footnote text"/>
    <w:basedOn w:val="Normal"/>
    <w:link w:val="FootnoteTextChar"/>
    <w:uiPriority w:val="99"/>
    <w:semiHidden/>
    <w:unhideWhenUsed/>
    <w:rsid w:val="00E87175"/>
    <w:rPr>
      <w:sz w:val="20"/>
      <w:szCs w:val="20"/>
    </w:rPr>
  </w:style>
  <w:style w:type="character" w:customStyle="1" w:styleId="FootnoteTextChar">
    <w:name w:val="Footnote Text Char"/>
    <w:basedOn w:val="DefaultParagraphFont"/>
    <w:link w:val="FootnoteText"/>
    <w:uiPriority w:val="99"/>
    <w:semiHidden/>
    <w:rsid w:val="00E8717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87175"/>
    <w:rPr>
      <w:vertAlign w:val="superscript"/>
    </w:rPr>
  </w:style>
  <w:style w:type="paragraph" w:styleId="ListParagraph">
    <w:name w:val="List Paragraph"/>
    <w:basedOn w:val="Normal"/>
    <w:uiPriority w:val="34"/>
    <w:qFormat/>
    <w:rsid w:val="009E2850"/>
    <w:pPr>
      <w:ind w:left="720"/>
      <w:contextualSpacing/>
    </w:pPr>
  </w:style>
  <w:style w:type="character" w:styleId="Hyperlink">
    <w:name w:val="Hyperlink"/>
    <w:basedOn w:val="DefaultParagraphFont"/>
    <w:uiPriority w:val="99"/>
    <w:unhideWhenUsed/>
    <w:rsid w:val="00916EA8"/>
    <w:rPr>
      <w:color w:val="0000FF"/>
      <w:u w:val="single"/>
    </w:rPr>
  </w:style>
  <w:style w:type="character" w:customStyle="1" w:styleId="UnresolvedMention">
    <w:name w:val="Unresolved Mention"/>
    <w:basedOn w:val="DefaultParagraphFont"/>
    <w:uiPriority w:val="99"/>
    <w:semiHidden/>
    <w:unhideWhenUsed/>
    <w:rsid w:val="00732959"/>
    <w:rPr>
      <w:color w:val="605E5C"/>
      <w:shd w:val="clear" w:color="auto" w:fill="E1DFDD"/>
    </w:rPr>
  </w:style>
  <w:style w:type="paragraph" w:customStyle="1" w:styleId="n-dieund">
    <w:name w:val="n-dieund"/>
    <w:basedOn w:val="Normal"/>
    <w:rsid w:val="005931CD"/>
    <w:pPr>
      <w:spacing w:after="120"/>
      <w:ind w:firstLine="709"/>
      <w:jc w:val="both"/>
    </w:pPr>
    <w:rPr>
      <w:sz w:val="28"/>
      <w:szCs w:val="20"/>
      <w:lang w:val="en-US" w:eastAsia="ja-JP"/>
    </w:rPr>
  </w:style>
  <w:style w:type="paragraph" w:styleId="Footer">
    <w:name w:val="footer"/>
    <w:basedOn w:val="Normal"/>
    <w:link w:val="FooterChar"/>
    <w:uiPriority w:val="99"/>
    <w:unhideWhenUsed/>
    <w:rsid w:val="00F464B2"/>
    <w:pPr>
      <w:tabs>
        <w:tab w:val="center" w:pos="4320"/>
        <w:tab w:val="right" w:pos="8640"/>
      </w:tabs>
    </w:pPr>
  </w:style>
  <w:style w:type="character" w:customStyle="1" w:styleId="FooterChar">
    <w:name w:val="Footer Char"/>
    <w:basedOn w:val="DefaultParagraphFont"/>
    <w:link w:val="Footer"/>
    <w:uiPriority w:val="99"/>
    <w:rsid w:val="00F464B2"/>
    <w:rPr>
      <w:rFonts w:ascii="Times New Roman" w:eastAsia="Times New Roman" w:hAnsi="Times New Roman" w:cs="Times New Roman"/>
    </w:rPr>
  </w:style>
  <w:style w:type="character" w:styleId="PageNumber">
    <w:name w:val="page number"/>
    <w:basedOn w:val="DefaultParagraphFont"/>
    <w:uiPriority w:val="99"/>
    <w:semiHidden/>
    <w:unhideWhenUsed/>
    <w:rsid w:val="00F46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474615">
      <w:bodyDiv w:val="1"/>
      <w:marLeft w:val="0"/>
      <w:marRight w:val="0"/>
      <w:marTop w:val="0"/>
      <w:marBottom w:val="0"/>
      <w:divBdr>
        <w:top w:val="none" w:sz="0" w:space="0" w:color="auto"/>
        <w:left w:val="none" w:sz="0" w:space="0" w:color="auto"/>
        <w:bottom w:val="none" w:sz="0" w:space="0" w:color="auto"/>
        <w:right w:val="none" w:sz="0" w:space="0" w:color="auto"/>
      </w:divBdr>
    </w:div>
    <w:div w:id="1023047069">
      <w:bodyDiv w:val="1"/>
      <w:marLeft w:val="0"/>
      <w:marRight w:val="0"/>
      <w:marTop w:val="0"/>
      <w:marBottom w:val="0"/>
      <w:divBdr>
        <w:top w:val="none" w:sz="0" w:space="0" w:color="auto"/>
        <w:left w:val="none" w:sz="0" w:space="0" w:color="auto"/>
        <w:bottom w:val="none" w:sz="0" w:space="0" w:color="auto"/>
        <w:right w:val="none" w:sz="0" w:space="0" w:color="auto"/>
      </w:divBdr>
    </w:div>
    <w:div w:id="1148009165">
      <w:bodyDiv w:val="1"/>
      <w:marLeft w:val="0"/>
      <w:marRight w:val="0"/>
      <w:marTop w:val="0"/>
      <w:marBottom w:val="0"/>
      <w:divBdr>
        <w:top w:val="none" w:sz="0" w:space="0" w:color="auto"/>
        <w:left w:val="none" w:sz="0" w:space="0" w:color="auto"/>
        <w:bottom w:val="none" w:sz="0" w:space="0" w:color="auto"/>
        <w:right w:val="none" w:sz="0" w:space="0" w:color="auto"/>
      </w:divBdr>
    </w:div>
    <w:div w:id="1887571283">
      <w:bodyDiv w:val="1"/>
      <w:marLeft w:val="0"/>
      <w:marRight w:val="0"/>
      <w:marTop w:val="0"/>
      <w:marBottom w:val="0"/>
      <w:divBdr>
        <w:top w:val="none" w:sz="0" w:space="0" w:color="auto"/>
        <w:left w:val="none" w:sz="0" w:space="0" w:color="auto"/>
        <w:bottom w:val="none" w:sz="0" w:space="0" w:color="auto"/>
        <w:right w:val="none" w:sz="0" w:space="0" w:color="auto"/>
      </w:divBdr>
    </w:div>
    <w:div w:id="213905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tapchitaichinh.vn/nghien-cuu-trao-doi/xu-the-dich-chuyen-dong-von-dau-tu-giai-phap-doi-voi-viet-nam-324649.html" TargetMode="External"/><Relationship Id="rId2" Type="http://schemas.openxmlformats.org/officeDocument/2006/relationships/hyperlink" Target="https://cafef.vn/hiep-dinh-cptpp-evfta-tao-dong-luc-dich-chuyen-dong-von-dau-tu-2019081820585609.ch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1076</Words>
  <Characters>6138</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NHQuang&amp;Associates</Company>
  <LinksUpToDate>false</LinksUpToDate>
  <CharactersWithSpaces>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NHQuang</dc:creator>
  <cp:keywords/>
  <dc:description/>
  <cp:lastModifiedBy>NHQ-TTH</cp:lastModifiedBy>
  <cp:revision>24</cp:revision>
  <dcterms:created xsi:type="dcterms:W3CDTF">2020-11-18T07:34:00Z</dcterms:created>
  <dcterms:modified xsi:type="dcterms:W3CDTF">2020-11-18T09:17:00Z</dcterms:modified>
</cp:coreProperties>
</file>