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rFonts w:ascii="Times New Roman" w:cs="Times New Roman" w:eastAsia="Times New Roman" w:hAnsi="Times New Roman"/>
          <w:b w:val="0"/>
          <w:i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  <w:rtl w:val="0"/>
        </w:rPr>
        <w:t xml:space="preserve">CHƯƠNG TRÌNH HỘI THẢO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76" w:lineRule="auto"/>
        <w:ind w:right="-737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LẤY Ý KIẾN DOANH NGHIỆP DỰ THẢO NGHỊ ĐỊNH QUY ĐỊNH CHI TIẾT     MỘT SỐ ĐIỀU CỦA LUẬT CHỨNG KHOÁN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ind w:right="-737"/>
        <w:jc w:val="center"/>
        <w:rPr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Hà Nội, thứ Năm, ngày 16/07/2020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1"/>
        <w:gridCol w:w="7339"/>
        <w:tblGridChange w:id="0">
          <w:tblGrid>
            <w:gridCol w:w="1841"/>
            <w:gridCol w:w="7339"/>
          </w:tblGrid>
        </w:tblGridChange>
      </w:tblGrid>
      <w:tr>
        <w:trPr>
          <w:trHeight w:val="296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312" w:lineRule="auto"/>
              <w:ind w:right="-109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08h00 - 08h15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Đăng ký đại biểu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312" w:lineRule="auto"/>
              <w:ind w:right="-109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08h15 - 08h30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312" w:lineRule="auto"/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Phát biểu khai mạc Hội thảo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before="120" w:line="312" w:lineRule="auto"/>
              <w:ind w:left="463" w:hanging="402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Đại diện của VCCI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before="120" w:line="312" w:lineRule="auto"/>
              <w:ind w:left="463" w:hanging="402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Đại diện của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Ủy ban Chứng khoán Nhà nước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20" w:before="120" w:line="312" w:lineRule="auto"/>
              <w:ind w:left="463" w:hanging="402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Đại diện của Hiệp hội Kinh doanh chứng khoán Việt Nam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08h30 - 08h45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312" w:lineRule="auto"/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Trình bày nội dung cơ bản của Dự thảo Nghị định quy định chi tiết một số điều của Luật Chứng khoán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-   Đại diện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Ủy ban Chứng khoán Nhà nước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312" w:lineRule="auto"/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Bình luận về một số quy định tại Dự thảo Nghị định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08h45 - 09h45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5349"/>
              </w:tabs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Các tham luận đến từ các doanh nghiệp, hiệp hội, chuyên gia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09h45 - 10h00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349"/>
              </w:tabs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Trao đổi của đại diện cơ quan chủ trì soạn thảo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10h00 - 10h10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349"/>
              </w:tabs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Nghỉ giải lao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after="120" w:before="120" w:line="312" w:lineRule="auto"/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Bình luận về một số quy định tại Dự thảo Nghị định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10h10 - 11h10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Các tham luận đến từ các doanh nghiệp, hiệp hội, chuyên gia</w:t>
            </w:r>
          </w:p>
        </w:tc>
      </w:tr>
      <w:tr>
        <w:trPr>
          <w:trHeight w:val="359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11h10 - 11h25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="312" w:lineRule="auto"/>
              <w:ind w:left="357" w:hanging="357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Trao đổi của đại diện cơ quan chủ trì soạn thảo</w:t>
            </w:r>
          </w:p>
        </w:tc>
      </w:tr>
      <w:tr>
        <w:trPr>
          <w:trHeight w:val="467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11h25 - 11h30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="312" w:lineRule="auto"/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Kết luận Hội thảo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360" w:top="567" w:left="1474" w:right="1247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1">
    <w:name w:val="Table Grid1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l73ny04fyiNlTP+Pdvv36keUg==">AMUW2mXEVQoc04rzvR90107M+UYdkIqzKlLlKIHSLUWg2wkXVr0SUM1HCZwbbBeUeHS7tadSsdF0gbFwJ05Jtb464APTcPbzkoyQvzm0pWAMWdcLE2286Nw=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2020-07-02T07:57:00Z</dcterms:created>
  <dc:creator>vietkent</dc:creator>
</cp:coreProperties>
</file>