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2" w:type="dxa"/>
        <w:jc w:val="center"/>
        <w:tblLook w:val="01E0" w:firstRow="1" w:lastRow="1" w:firstColumn="1" w:lastColumn="1" w:noHBand="0" w:noVBand="0"/>
      </w:tblPr>
      <w:tblGrid>
        <w:gridCol w:w="3398"/>
        <w:gridCol w:w="6564"/>
      </w:tblGrid>
      <w:tr w:rsidR="00CF6AE1" w:rsidRPr="005732B8" w:rsidTr="003E4972">
        <w:trPr>
          <w:jc w:val="center"/>
        </w:trPr>
        <w:tc>
          <w:tcPr>
            <w:tcW w:w="3398" w:type="dxa"/>
          </w:tcPr>
          <w:p w:rsidR="00CF6AE1" w:rsidRPr="005732B8" w:rsidRDefault="00CF6AE1" w:rsidP="00CF6AE1">
            <w:pPr>
              <w:spacing w:after="0" w:line="340" w:lineRule="exact"/>
              <w:rPr>
                <w:rFonts w:ascii="Times New Roman" w:eastAsia="Times New Roman" w:hAnsi="Times New Roman" w:cs="Times New Roman"/>
                <w:b/>
                <w:bCs/>
                <w:sz w:val="26"/>
                <w:szCs w:val="26"/>
                <w:lang w:val="en-GB"/>
              </w:rPr>
            </w:pPr>
            <w:bookmarkStart w:id="0" w:name="chuong_1"/>
            <w:r w:rsidRPr="005732B8">
              <w:rPr>
                <w:rFonts w:ascii="Times New Roman" w:eastAsia="Times New Roman" w:hAnsi="Times New Roman" w:cs="Times New Roman"/>
                <w:b/>
                <w:bCs/>
                <w:sz w:val="26"/>
                <w:szCs w:val="26"/>
                <w:lang w:val="en-GB"/>
              </w:rPr>
              <w:t>NGÂN HÀNG NHÀ NƯỚC</w:t>
            </w:r>
          </w:p>
          <w:p w:rsidR="00CF6AE1" w:rsidRPr="005732B8" w:rsidRDefault="00CF6AE1" w:rsidP="00CF6AE1">
            <w:pPr>
              <w:spacing w:after="0" w:line="340" w:lineRule="exact"/>
              <w:jc w:val="center"/>
              <w:rPr>
                <w:rFonts w:ascii="Times New Roman" w:eastAsia="Times New Roman" w:hAnsi="Times New Roman" w:cs="Times New Roman"/>
                <w:b/>
                <w:bCs/>
                <w:sz w:val="26"/>
                <w:szCs w:val="26"/>
                <w:lang w:val="en-GB"/>
              </w:rPr>
            </w:pPr>
            <w:r w:rsidRPr="005732B8">
              <w:rPr>
                <w:rFonts w:ascii="Times New Roman" w:eastAsia="Times New Roman" w:hAnsi="Times New Roman" w:cs="Times New Roman"/>
                <w:b/>
                <w:bCs/>
                <w:sz w:val="26"/>
                <w:szCs w:val="26"/>
                <w:lang w:val="en-GB"/>
              </w:rPr>
              <w:t>VIỆT NAM</w:t>
            </w:r>
          </w:p>
          <w:p w:rsidR="00CF6AE1" w:rsidRPr="005732B8" w:rsidRDefault="00CF6AE1" w:rsidP="00CF6AE1">
            <w:pPr>
              <w:spacing w:after="0" w:line="340" w:lineRule="exact"/>
              <w:jc w:val="center"/>
              <w:rPr>
                <w:rFonts w:ascii="Times New Roman" w:eastAsia="Times New Roman" w:hAnsi="Times New Roman" w:cs="Times New Roman"/>
                <w:sz w:val="24"/>
                <w:szCs w:val="24"/>
                <w:lang w:val="en-GB"/>
              </w:rPr>
            </w:pPr>
            <w:r w:rsidRPr="005732B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0445793" wp14:editId="78E077BE">
                      <wp:simplePos x="0" y="0"/>
                      <wp:positionH relativeFrom="column">
                        <wp:posOffset>630555</wp:posOffset>
                      </wp:positionH>
                      <wp:positionV relativeFrom="paragraph">
                        <wp:posOffset>78740</wp:posOffset>
                      </wp:positionV>
                      <wp:extent cx="762000" cy="0"/>
                      <wp:effectExtent l="10795" t="11430" r="825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326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6.2pt" to="109.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RH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"/>
                  </w:pict>
                </mc:Fallback>
              </mc:AlternateContent>
            </w:r>
          </w:p>
          <w:p w:rsidR="00CF6AE1" w:rsidRPr="005732B8" w:rsidRDefault="00CF6AE1" w:rsidP="00CF6AE1">
            <w:pPr>
              <w:spacing w:after="0" w:line="340" w:lineRule="exact"/>
              <w:jc w:val="center"/>
              <w:rPr>
                <w:rFonts w:ascii="Times New Roman" w:eastAsia="Times New Roman" w:hAnsi="Times New Roman" w:cs="Times New Roman"/>
                <w:sz w:val="28"/>
                <w:szCs w:val="28"/>
                <w:lang w:val="en-GB"/>
              </w:rPr>
            </w:pPr>
            <w:proofErr w:type="spellStart"/>
            <w:r w:rsidRPr="005732B8">
              <w:rPr>
                <w:rFonts w:ascii="Times New Roman" w:eastAsia="Times New Roman" w:hAnsi="Times New Roman" w:cs="Times New Roman"/>
                <w:sz w:val="28"/>
                <w:szCs w:val="28"/>
                <w:lang w:val="en-GB"/>
              </w:rPr>
              <w:t>Số</w:t>
            </w:r>
            <w:proofErr w:type="spellEnd"/>
            <w:r w:rsidRPr="005732B8">
              <w:rPr>
                <w:rFonts w:ascii="Times New Roman" w:eastAsia="Times New Roman" w:hAnsi="Times New Roman" w:cs="Times New Roman"/>
                <w:sz w:val="28"/>
                <w:szCs w:val="28"/>
                <w:lang w:val="en-GB"/>
              </w:rPr>
              <w:t>:          /2020/TT-NHNN</w:t>
            </w:r>
          </w:p>
        </w:tc>
        <w:tc>
          <w:tcPr>
            <w:tcW w:w="6564" w:type="dxa"/>
          </w:tcPr>
          <w:p w:rsidR="00CF6AE1" w:rsidRPr="005732B8" w:rsidRDefault="00CF6AE1" w:rsidP="00CF6AE1">
            <w:pPr>
              <w:spacing w:after="0" w:line="340" w:lineRule="exact"/>
              <w:jc w:val="center"/>
              <w:rPr>
                <w:rFonts w:ascii="Times New Roman" w:eastAsia="Times New Roman" w:hAnsi="Times New Roman" w:cs="Times New Roman"/>
                <w:b/>
                <w:bCs/>
                <w:sz w:val="26"/>
                <w:szCs w:val="26"/>
                <w:lang w:val="en-GB"/>
              </w:rPr>
            </w:pPr>
            <w:r w:rsidRPr="005732B8">
              <w:rPr>
                <w:rFonts w:ascii="Times New Roman" w:eastAsia="Times New Roman" w:hAnsi="Times New Roman" w:cs="Times New Roman"/>
                <w:b/>
                <w:bCs/>
                <w:sz w:val="26"/>
                <w:szCs w:val="26"/>
                <w:lang w:val="en-GB"/>
              </w:rPr>
              <w:t>CỘNG HOÀ XÃ HỘI CHỦ NGHĨA VIỆT NAM</w:t>
            </w:r>
          </w:p>
          <w:p w:rsidR="00CF6AE1" w:rsidRPr="005732B8" w:rsidRDefault="00CF6AE1" w:rsidP="00CF6AE1">
            <w:pPr>
              <w:spacing w:after="0" w:line="340" w:lineRule="exact"/>
              <w:jc w:val="center"/>
              <w:rPr>
                <w:rFonts w:ascii="Times New Roman" w:eastAsia="Times New Roman" w:hAnsi="Times New Roman" w:cs="Times New Roman"/>
                <w:b/>
                <w:bCs/>
                <w:sz w:val="28"/>
                <w:szCs w:val="28"/>
                <w:lang w:val="en-GB"/>
              </w:rPr>
            </w:pPr>
            <w:proofErr w:type="spellStart"/>
            <w:r w:rsidRPr="005732B8">
              <w:rPr>
                <w:rFonts w:ascii="Times New Roman" w:eastAsia="Times New Roman" w:hAnsi="Times New Roman" w:cs="Times New Roman"/>
                <w:b/>
                <w:bCs/>
                <w:sz w:val="28"/>
                <w:szCs w:val="28"/>
                <w:lang w:val="en-GB"/>
              </w:rPr>
              <w:t>Độc</w:t>
            </w:r>
            <w:proofErr w:type="spellEnd"/>
            <w:r w:rsidRPr="005732B8">
              <w:rPr>
                <w:rFonts w:ascii="Times New Roman" w:eastAsia="Times New Roman" w:hAnsi="Times New Roman" w:cs="Times New Roman"/>
                <w:b/>
                <w:bCs/>
                <w:sz w:val="28"/>
                <w:szCs w:val="28"/>
                <w:lang w:val="en-GB"/>
              </w:rPr>
              <w:t xml:space="preserve"> </w:t>
            </w:r>
            <w:proofErr w:type="spellStart"/>
            <w:r w:rsidRPr="005732B8">
              <w:rPr>
                <w:rFonts w:ascii="Times New Roman" w:eastAsia="Times New Roman" w:hAnsi="Times New Roman" w:cs="Times New Roman"/>
                <w:b/>
                <w:bCs/>
                <w:sz w:val="28"/>
                <w:szCs w:val="28"/>
                <w:lang w:val="en-GB"/>
              </w:rPr>
              <w:t>lập</w:t>
            </w:r>
            <w:proofErr w:type="spellEnd"/>
            <w:r w:rsidRPr="005732B8">
              <w:rPr>
                <w:rFonts w:ascii="Times New Roman" w:eastAsia="Times New Roman" w:hAnsi="Times New Roman" w:cs="Times New Roman"/>
                <w:b/>
                <w:bCs/>
                <w:sz w:val="28"/>
                <w:szCs w:val="28"/>
                <w:lang w:val="en-GB"/>
              </w:rPr>
              <w:t xml:space="preserve"> - </w:t>
            </w:r>
            <w:proofErr w:type="spellStart"/>
            <w:r w:rsidRPr="005732B8">
              <w:rPr>
                <w:rFonts w:ascii="Times New Roman" w:eastAsia="Times New Roman" w:hAnsi="Times New Roman" w:cs="Times New Roman"/>
                <w:b/>
                <w:bCs/>
                <w:sz w:val="28"/>
                <w:szCs w:val="28"/>
                <w:lang w:val="en-GB"/>
              </w:rPr>
              <w:t>Tự</w:t>
            </w:r>
            <w:proofErr w:type="spellEnd"/>
            <w:r w:rsidRPr="005732B8">
              <w:rPr>
                <w:rFonts w:ascii="Times New Roman" w:eastAsia="Times New Roman" w:hAnsi="Times New Roman" w:cs="Times New Roman"/>
                <w:b/>
                <w:bCs/>
                <w:sz w:val="28"/>
                <w:szCs w:val="28"/>
                <w:lang w:val="en-GB"/>
              </w:rPr>
              <w:t xml:space="preserve"> do - </w:t>
            </w:r>
            <w:proofErr w:type="spellStart"/>
            <w:r w:rsidRPr="005732B8">
              <w:rPr>
                <w:rFonts w:ascii="Times New Roman" w:eastAsia="Times New Roman" w:hAnsi="Times New Roman" w:cs="Times New Roman"/>
                <w:b/>
                <w:bCs/>
                <w:sz w:val="28"/>
                <w:szCs w:val="28"/>
                <w:lang w:val="en-GB"/>
              </w:rPr>
              <w:t>Hạnh</w:t>
            </w:r>
            <w:proofErr w:type="spellEnd"/>
            <w:r w:rsidRPr="005732B8">
              <w:rPr>
                <w:rFonts w:ascii="Times New Roman" w:eastAsia="Times New Roman" w:hAnsi="Times New Roman" w:cs="Times New Roman"/>
                <w:b/>
                <w:bCs/>
                <w:sz w:val="28"/>
                <w:szCs w:val="28"/>
                <w:lang w:val="en-GB"/>
              </w:rPr>
              <w:t xml:space="preserve"> </w:t>
            </w:r>
            <w:proofErr w:type="spellStart"/>
            <w:r w:rsidRPr="005732B8">
              <w:rPr>
                <w:rFonts w:ascii="Times New Roman" w:eastAsia="Times New Roman" w:hAnsi="Times New Roman" w:cs="Times New Roman"/>
                <w:b/>
                <w:bCs/>
                <w:sz w:val="28"/>
                <w:szCs w:val="28"/>
                <w:lang w:val="en-GB"/>
              </w:rPr>
              <w:t>phúc</w:t>
            </w:r>
            <w:proofErr w:type="spellEnd"/>
          </w:p>
          <w:p w:rsidR="00CF6AE1" w:rsidRPr="005732B8" w:rsidRDefault="00CF6AE1" w:rsidP="00CF6AE1">
            <w:pPr>
              <w:spacing w:after="0" w:line="340" w:lineRule="exact"/>
              <w:jc w:val="center"/>
              <w:rPr>
                <w:rFonts w:ascii="Times New Roman" w:eastAsia="Times New Roman" w:hAnsi="Times New Roman" w:cs="Times New Roman"/>
                <w:i/>
                <w:iCs/>
                <w:sz w:val="28"/>
                <w:szCs w:val="28"/>
                <w:lang w:val="en-GB"/>
              </w:rPr>
            </w:pPr>
            <w:r w:rsidRPr="005732B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65EAFF4" wp14:editId="09910E44">
                      <wp:simplePos x="0" y="0"/>
                      <wp:positionH relativeFrom="column">
                        <wp:posOffset>929640</wp:posOffset>
                      </wp:positionH>
                      <wp:positionV relativeFrom="paragraph">
                        <wp:posOffset>78740</wp:posOffset>
                      </wp:positionV>
                      <wp:extent cx="2182495" cy="0"/>
                      <wp:effectExtent l="10160" t="11430" r="762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E168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6.2pt" to="245.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dEk6DQYV0J4rTY2VEpPamueNf3ukNJ1R9SeR76vZwMgWchI3qSEjTNw2274&#10;ohnEkIPXUbRTa/sACXKgU+zN+d4bfvKIwmGezfJiDiT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"/>
                  </w:pict>
                </mc:Fallback>
              </mc:AlternateContent>
            </w:r>
          </w:p>
          <w:p w:rsidR="00CF6AE1" w:rsidRPr="005732B8" w:rsidRDefault="00CF6AE1" w:rsidP="00CF6AE1">
            <w:pPr>
              <w:spacing w:after="0" w:line="340" w:lineRule="exact"/>
              <w:jc w:val="center"/>
              <w:rPr>
                <w:rFonts w:ascii="Times New Roman" w:eastAsia="Times New Roman" w:hAnsi="Times New Roman" w:cs="Times New Roman"/>
                <w:i/>
                <w:iCs/>
                <w:sz w:val="28"/>
                <w:szCs w:val="28"/>
                <w:lang w:val="en-GB"/>
              </w:rPr>
            </w:pPr>
            <w:r w:rsidRPr="005732B8">
              <w:rPr>
                <w:rFonts w:ascii="Times New Roman" w:eastAsia="Times New Roman" w:hAnsi="Times New Roman" w:cs="Times New Roman"/>
                <w:i/>
                <w:iCs/>
                <w:sz w:val="28"/>
                <w:szCs w:val="28"/>
                <w:lang w:val="en-GB"/>
              </w:rPr>
              <w:t xml:space="preserve">  </w:t>
            </w:r>
            <w:proofErr w:type="spellStart"/>
            <w:r w:rsidRPr="005732B8">
              <w:rPr>
                <w:rFonts w:ascii="Times New Roman" w:eastAsia="Times New Roman" w:hAnsi="Times New Roman" w:cs="Times New Roman"/>
                <w:i/>
                <w:iCs/>
                <w:sz w:val="28"/>
                <w:szCs w:val="28"/>
                <w:lang w:val="en-GB"/>
              </w:rPr>
              <w:t>Hà</w:t>
            </w:r>
            <w:proofErr w:type="spellEnd"/>
            <w:r w:rsidRPr="005732B8">
              <w:rPr>
                <w:rFonts w:ascii="Times New Roman" w:eastAsia="Times New Roman" w:hAnsi="Times New Roman" w:cs="Times New Roman"/>
                <w:i/>
                <w:iCs/>
                <w:sz w:val="28"/>
                <w:szCs w:val="28"/>
                <w:lang w:val="en-GB"/>
              </w:rPr>
              <w:t xml:space="preserve"> </w:t>
            </w:r>
            <w:proofErr w:type="spellStart"/>
            <w:r w:rsidRPr="005732B8">
              <w:rPr>
                <w:rFonts w:ascii="Times New Roman" w:eastAsia="Times New Roman" w:hAnsi="Times New Roman" w:cs="Times New Roman"/>
                <w:i/>
                <w:iCs/>
                <w:sz w:val="28"/>
                <w:szCs w:val="28"/>
                <w:lang w:val="en-GB"/>
              </w:rPr>
              <w:t>Nội</w:t>
            </w:r>
            <w:proofErr w:type="spellEnd"/>
            <w:r w:rsidRPr="005732B8">
              <w:rPr>
                <w:rFonts w:ascii="Times New Roman" w:eastAsia="Times New Roman" w:hAnsi="Times New Roman" w:cs="Times New Roman"/>
                <w:i/>
                <w:iCs/>
                <w:sz w:val="28"/>
                <w:szCs w:val="28"/>
                <w:lang w:val="en-GB"/>
              </w:rPr>
              <w:t xml:space="preserve">, </w:t>
            </w:r>
            <w:proofErr w:type="spellStart"/>
            <w:r w:rsidRPr="005732B8">
              <w:rPr>
                <w:rFonts w:ascii="Times New Roman" w:eastAsia="Times New Roman" w:hAnsi="Times New Roman" w:cs="Times New Roman"/>
                <w:i/>
                <w:iCs/>
                <w:sz w:val="28"/>
                <w:szCs w:val="28"/>
                <w:lang w:val="en-GB"/>
              </w:rPr>
              <w:t>ngày</w:t>
            </w:r>
            <w:proofErr w:type="spellEnd"/>
            <w:r w:rsidRPr="005732B8">
              <w:rPr>
                <w:rFonts w:ascii="Times New Roman" w:eastAsia="Times New Roman" w:hAnsi="Times New Roman" w:cs="Times New Roman"/>
                <w:i/>
                <w:iCs/>
                <w:sz w:val="28"/>
                <w:szCs w:val="28"/>
                <w:lang w:val="en-GB"/>
              </w:rPr>
              <w:t xml:space="preserve">        </w:t>
            </w:r>
            <w:proofErr w:type="spellStart"/>
            <w:r w:rsidRPr="005732B8">
              <w:rPr>
                <w:rFonts w:ascii="Times New Roman" w:eastAsia="Times New Roman" w:hAnsi="Times New Roman" w:cs="Times New Roman"/>
                <w:i/>
                <w:iCs/>
                <w:sz w:val="28"/>
                <w:szCs w:val="28"/>
                <w:lang w:val="en-GB"/>
              </w:rPr>
              <w:t>tháng</w:t>
            </w:r>
            <w:proofErr w:type="spellEnd"/>
            <w:r w:rsidRPr="005732B8">
              <w:rPr>
                <w:rFonts w:ascii="Times New Roman" w:eastAsia="Times New Roman" w:hAnsi="Times New Roman" w:cs="Times New Roman"/>
                <w:i/>
                <w:iCs/>
                <w:sz w:val="28"/>
                <w:szCs w:val="28"/>
                <w:lang w:val="en-GB"/>
              </w:rPr>
              <w:t xml:space="preserve">     </w:t>
            </w:r>
            <w:proofErr w:type="spellStart"/>
            <w:r w:rsidRPr="005732B8">
              <w:rPr>
                <w:rFonts w:ascii="Times New Roman" w:eastAsia="Times New Roman" w:hAnsi="Times New Roman" w:cs="Times New Roman"/>
                <w:i/>
                <w:iCs/>
                <w:sz w:val="28"/>
                <w:szCs w:val="28"/>
                <w:lang w:val="en-GB"/>
              </w:rPr>
              <w:t>năm</w:t>
            </w:r>
            <w:proofErr w:type="spellEnd"/>
            <w:r w:rsidRPr="005732B8">
              <w:rPr>
                <w:rFonts w:ascii="Times New Roman" w:eastAsia="Times New Roman" w:hAnsi="Times New Roman" w:cs="Times New Roman"/>
                <w:i/>
                <w:iCs/>
                <w:sz w:val="28"/>
                <w:szCs w:val="28"/>
                <w:lang w:val="en-GB"/>
              </w:rPr>
              <w:t xml:space="preserve"> 2020</w:t>
            </w:r>
          </w:p>
        </w:tc>
      </w:tr>
    </w:tbl>
    <w:p w:rsidR="00CF6AE1" w:rsidRPr="005732B8" w:rsidRDefault="00CF6AE1" w:rsidP="00CF6AE1">
      <w:pPr>
        <w:spacing w:after="0" w:line="340" w:lineRule="exact"/>
        <w:jc w:val="center"/>
        <w:rPr>
          <w:rFonts w:ascii="Times New Roman" w:eastAsia="Times New Roman" w:hAnsi="Times New Roman" w:cs="Times New Roman"/>
          <w:b/>
          <w:bCs/>
          <w:sz w:val="28"/>
          <w:szCs w:val="28"/>
          <w:lang w:val="en-GB"/>
        </w:rPr>
      </w:pPr>
    </w:p>
    <w:p w:rsidR="00CF6AE1" w:rsidRPr="005732B8" w:rsidRDefault="00CF6AE1" w:rsidP="00CF6AE1">
      <w:pPr>
        <w:spacing w:after="0" w:line="340" w:lineRule="exact"/>
        <w:jc w:val="center"/>
        <w:rPr>
          <w:rFonts w:ascii="Times New Roman" w:eastAsia="Times New Roman" w:hAnsi="Times New Roman" w:cs="Times New Roman"/>
          <w:b/>
          <w:bCs/>
          <w:sz w:val="28"/>
          <w:szCs w:val="28"/>
          <w:lang w:val="en-GB"/>
        </w:rPr>
      </w:pPr>
      <w:bookmarkStart w:id="1" w:name="_GoBack"/>
      <w:bookmarkEnd w:id="1"/>
    </w:p>
    <w:p w:rsidR="00CF6AE1" w:rsidRPr="005732B8" w:rsidRDefault="00CF6AE1" w:rsidP="00CF6AE1">
      <w:pPr>
        <w:spacing w:before="120" w:after="0" w:line="340" w:lineRule="exact"/>
        <w:jc w:val="center"/>
        <w:rPr>
          <w:rFonts w:ascii="Times New Roman" w:eastAsia="Times New Roman" w:hAnsi="Times New Roman" w:cs="Times New Roman"/>
          <w:b/>
          <w:bCs/>
          <w:sz w:val="28"/>
          <w:szCs w:val="28"/>
          <w:lang w:val="en-GB"/>
        </w:rPr>
      </w:pPr>
      <w:r w:rsidRPr="005732B8">
        <w:rPr>
          <w:rFonts w:ascii="Times New Roman" w:eastAsia="Times New Roman" w:hAnsi="Times New Roman" w:cs="Times New Roman"/>
          <w:b/>
          <w:bCs/>
          <w:sz w:val="28"/>
          <w:szCs w:val="28"/>
          <w:lang w:val="en-GB"/>
        </w:rPr>
        <w:t>THÔNG TƯ</w:t>
      </w:r>
    </w:p>
    <w:p w:rsidR="00CF6AE1" w:rsidRPr="005732B8" w:rsidRDefault="00CF6AE1" w:rsidP="00CF6AE1">
      <w:pPr>
        <w:spacing w:before="120" w:after="0" w:line="340" w:lineRule="exact"/>
        <w:jc w:val="center"/>
        <w:rPr>
          <w:rFonts w:ascii="Times New Roman" w:eastAsia="Times New Roman" w:hAnsi="Times New Roman" w:cs="Times New Roman"/>
          <w:b/>
          <w:bCs/>
          <w:sz w:val="27"/>
          <w:szCs w:val="27"/>
          <w:lang w:val="en-GB"/>
        </w:rPr>
      </w:pPr>
      <w:r w:rsidRPr="005732B8">
        <w:rPr>
          <w:rFonts w:ascii="Times New Roman" w:eastAsia="Times New Roman" w:hAnsi="Times New Roman" w:cs="Times New Roman"/>
          <w:b/>
          <w:bCs/>
          <w:sz w:val="28"/>
          <w:szCs w:val="28"/>
          <w:lang w:val="en-GB"/>
        </w:rPr>
        <w:t xml:space="preserve"> </w:t>
      </w:r>
      <w:proofErr w:type="spellStart"/>
      <w:r w:rsidRPr="005732B8">
        <w:rPr>
          <w:rFonts w:ascii="Times New Roman" w:eastAsia="Times New Roman" w:hAnsi="Times New Roman" w:cs="Times New Roman"/>
          <w:b/>
          <w:bCs/>
          <w:sz w:val="28"/>
          <w:szCs w:val="28"/>
          <w:lang w:val="en-GB"/>
        </w:rPr>
        <w:t>Q</w:t>
      </w:r>
      <w:r w:rsidRPr="005732B8">
        <w:rPr>
          <w:rFonts w:ascii="Times New Roman" w:eastAsia="Times New Roman" w:hAnsi="Times New Roman" w:cs="Times New Roman"/>
          <w:b/>
          <w:bCs/>
          <w:sz w:val="27"/>
          <w:szCs w:val="27"/>
          <w:lang w:val="en-GB"/>
        </w:rPr>
        <w:t>uy</w:t>
      </w:r>
      <w:proofErr w:type="spellEnd"/>
      <w:r w:rsidRPr="005732B8">
        <w:rPr>
          <w:rFonts w:ascii="Times New Roman" w:eastAsia="Times New Roman" w:hAnsi="Times New Roman" w:cs="Times New Roman"/>
          <w:b/>
          <w:bCs/>
          <w:sz w:val="27"/>
          <w:szCs w:val="27"/>
          <w:lang w:val="en-GB"/>
        </w:rPr>
        <w:t xml:space="preserve"> </w:t>
      </w:r>
      <w:proofErr w:type="spellStart"/>
      <w:r w:rsidRPr="005732B8">
        <w:rPr>
          <w:rFonts w:ascii="Times New Roman" w:eastAsia="Times New Roman" w:hAnsi="Times New Roman" w:cs="Times New Roman"/>
          <w:b/>
          <w:bCs/>
          <w:sz w:val="27"/>
          <w:szCs w:val="27"/>
          <w:lang w:val="en-GB"/>
        </w:rPr>
        <w:t>định</w:t>
      </w:r>
      <w:proofErr w:type="spellEnd"/>
      <w:r w:rsidRPr="005732B8">
        <w:rPr>
          <w:rFonts w:ascii="Times New Roman" w:eastAsia="Times New Roman" w:hAnsi="Times New Roman" w:cs="Times New Roman"/>
          <w:b/>
          <w:bCs/>
          <w:sz w:val="27"/>
          <w:szCs w:val="27"/>
          <w:lang w:val="en-GB"/>
        </w:rPr>
        <w:t xml:space="preserve"> </w:t>
      </w:r>
      <w:proofErr w:type="spellStart"/>
      <w:r w:rsidRPr="005732B8">
        <w:rPr>
          <w:rFonts w:ascii="Times New Roman" w:eastAsia="Times New Roman" w:hAnsi="Times New Roman" w:cs="Times New Roman"/>
          <w:b/>
          <w:bCs/>
          <w:sz w:val="27"/>
          <w:szCs w:val="27"/>
          <w:lang w:val="en-GB"/>
        </w:rPr>
        <w:t>về</w:t>
      </w:r>
      <w:proofErr w:type="spellEnd"/>
      <w:r w:rsidRPr="005732B8">
        <w:rPr>
          <w:rFonts w:ascii="Times New Roman" w:eastAsia="Times New Roman" w:hAnsi="Times New Roman" w:cs="Times New Roman"/>
          <w:b/>
          <w:bCs/>
          <w:sz w:val="27"/>
          <w:szCs w:val="27"/>
          <w:lang w:val="en-GB"/>
        </w:rPr>
        <w:t xml:space="preserve"> </w:t>
      </w:r>
      <w:proofErr w:type="spellStart"/>
      <w:r w:rsidRPr="005732B8">
        <w:rPr>
          <w:rFonts w:ascii="Times New Roman" w:eastAsia="Times New Roman" w:hAnsi="Times New Roman" w:cs="Times New Roman"/>
          <w:b/>
          <w:bCs/>
          <w:sz w:val="27"/>
          <w:szCs w:val="27"/>
          <w:lang w:val="en-GB"/>
        </w:rPr>
        <w:t>phát</w:t>
      </w:r>
      <w:proofErr w:type="spellEnd"/>
      <w:r w:rsidRPr="005732B8">
        <w:rPr>
          <w:rFonts w:ascii="Times New Roman" w:eastAsia="Times New Roman" w:hAnsi="Times New Roman" w:cs="Times New Roman"/>
          <w:b/>
          <w:bCs/>
          <w:sz w:val="27"/>
          <w:szCs w:val="27"/>
          <w:lang w:val="en-GB"/>
        </w:rPr>
        <w:t xml:space="preserve"> </w:t>
      </w:r>
      <w:proofErr w:type="spellStart"/>
      <w:r w:rsidRPr="005732B8">
        <w:rPr>
          <w:rFonts w:ascii="Times New Roman" w:eastAsia="Times New Roman" w:hAnsi="Times New Roman" w:cs="Times New Roman"/>
          <w:b/>
          <w:bCs/>
          <w:sz w:val="27"/>
          <w:szCs w:val="27"/>
          <w:lang w:val="en-GB"/>
        </w:rPr>
        <w:t>hành</w:t>
      </w:r>
      <w:proofErr w:type="spellEnd"/>
      <w:r w:rsidRPr="005732B8">
        <w:rPr>
          <w:rFonts w:ascii="Times New Roman" w:eastAsia="Times New Roman" w:hAnsi="Times New Roman" w:cs="Times New Roman"/>
          <w:b/>
          <w:bCs/>
          <w:sz w:val="27"/>
          <w:szCs w:val="27"/>
          <w:lang w:val="en-GB"/>
        </w:rPr>
        <w:t xml:space="preserve"> </w:t>
      </w:r>
      <w:proofErr w:type="spellStart"/>
      <w:r w:rsidRPr="005732B8">
        <w:rPr>
          <w:rFonts w:ascii="Times New Roman" w:eastAsia="Times New Roman" w:hAnsi="Times New Roman" w:cs="Times New Roman"/>
          <w:b/>
          <w:sz w:val="27"/>
          <w:szCs w:val="27"/>
          <w:lang w:val="en-GB"/>
        </w:rPr>
        <w:t>kỳ</w:t>
      </w:r>
      <w:proofErr w:type="spellEnd"/>
      <w:r w:rsidRPr="005732B8">
        <w:rPr>
          <w:rFonts w:ascii="Times New Roman" w:eastAsia="Times New Roman" w:hAnsi="Times New Roman" w:cs="Times New Roman"/>
          <w:b/>
          <w:sz w:val="27"/>
          <w:szCs w:val="27"/>
          <w:lang w:val="en-GB"/>
        </w:rPr>
        <w:t xml:space="preserve"> </w:t>
      </w:r>
      <w:proofErr w:type="spellStart"/>
      <w:r w:rsidRPr="005732B8">
        <w:rPr>
          <w:rFonts w:ascii="Times New Roman" w:eastAsia="Times New Roman" w:hAnsi="Times New Roman" w:cs="Times New Roman"/>
          <w:b/>
          <w:sz w:val="27"/>
          <w:szCs w:val="27"/>
          <w:lang w:val="en-GB"/>
        </w:rPr>
        <w:t>phiếu</w:t>
      </w:r>
      <w:proofErr w:type="spellEnd"/>
      <w:r w:rsidRPr="005732B8">
        <w:rPr>
          <w:rFonts w:ascii="Times New Roman" w:eastAsia="Times New Roman" w:hAnsi="Times New Roman" w:cs="Times New Roman"/>
          <w:b/>
          <w:sz w:val="27"/>
          <w:szCs w:val="27"/>
          <w:lang w:val="en-GB"/>
        </w:rPr>
        <w:t xml:space="preserve">, </w:t>
      </w:r>
      <w:proofErr w:type="spellStart"/>
      <w:r w:rsidRPr="005732B8">
        <w:rPr>
          <w:rFonts w:ascii="Times New Roman" w:eastAsia="Times New Roman" w:hAnsi="Times New Roman" w:cs="Times New Roman"/>
          <w:b/>
          <w:sz w:val="27"/>
          <w:szCs w:val="27"/>
          <w:lang w:val="en-GB"/>
        </w:rPr>
        <w:t>tín</w:t>
      </w:r>
      <w:proofErr w:type="spellEnd"/>
      <w:r w:rsidRPr="005732B8">
        <w:rPr>
          <w:rFonts w:ascii="Times New Roman" w:eastAsia="Times New Roman" w:hAnsi="Times New Roman" w:cs="Times New Roman"/>
          <w:b/>
          <w:sz w:val="27"/>
          <w:szCs w:val="27"/>
          <w:lang w:val="en-GB"/>
        </w:rPr>
        <w:t xml:space="preserve"> </w:t>
      </w:r>
      <w:proofErr w:type="spellStart"/>
      <w:r w:rsidRPr="005732B8">
        <w:rPr>
          <w:rFonts w:ascii="Times New Roman" w:eastAsia="Times New Roman" w:hAnsi="Times New Roman" w:cs="Times New Roman"/>
          <w:b/>
          <w:sz w:val="27"/>
          <w:szCs w:val="27"/>
          <w:lang w:val="en-GB"/>
        </w:rPr>
        <w:t>phiếu</w:t>
      </w:r>
      <w:proofErr w:type="spellEnd"/>
      <w:r w:rsidRPr="005732B8">
        <w:rPr>
          <w:rFonts w:ascii="Times New Roman" w:eastAsia="Times New Roman" w:hAnsi="Times New Roman" w:cs="Times New Roman"/>
          <w:b/>
          <w:sz w:val="27"/>
          <w:szCs w:val="27"/>
          <w:lang w:val="en-GB"/>
        </w:rPr>
        <w:t xml:space="preserve">, </w:t>
      </w:r>
      <w:proofErr w:type="spellStart"/>
      <w:r w:rsidRPr="005732B8">
        <w:rPr>
          <w:rFonts w:ascii="Times New Roman" w:eastAsia="Times New Roman" w:hAnsi="Times New Roman" w:cs="Times New Roman"/>
          <w:b/>
          <w:sz w:val="27"/>
          <w:szCs w:val="27"/>
          <w:lang w:val="en-GB"/>
        </w:rPr>
        <w:t>chứng</w:t>
      </w:r>
      <w:proofErr w:type="spellEnd"/>
      <w:r w:rsidRPr="005732B8">
        <w:rPr>
          <w:rFonts w:ascii="Times New Roman" w:eastAsia="Times New Roman" w:hAnsi="Times New Roman" w:cs="Times New Roman"/>
          <w:b/>
          <w:sz w:val="27"/>
          <w:szCs w:val="27"/>
          <w:lang w:val="en-GB"/>
        </w:rPr>
        <w:t xml:space="preserve"> </w:t>
      </w:r>
      <w:proofErr w:type="spellStart"/>
      <w:r w:rsidRPr="005732B8">
        <w:rPr>
          <w:rFonts w:ascii="Times New Roman" w:eastAsia="Times New Roman" w:hAnsi="Times New Roman" w:cs="Times New Roman"/>
          <w:b/>
          <w:sz w:val="27"/>
          <w:szCs w:val="27"/>
          <w:lang w:val="en-GB"/>
        </w:rPr>
        <w:t>chỉ</w:t>
      </w:r>
      <w:proofErr w:type="spellEnd"/>
      <w:r w:rsidRPr="005732B8">
        <w:rPr>
          <w:rFonts w:ascii="Times New Roman" w:eastAsia="Times New Roman" w:hAnsi="Times New Roman" w:cs="Times New Roman"/>
          <w:b/>
          <w:sz w:val="27"/>
          <w:szCs w:val="27"/>
          <w:lang w:val="en-GB"/>
        </w:rPr>
        <w:t xml:space="preserve"> </w:t>
      </w:r>
      <w:proofErr w:type="spellStart"/>
      <w:r w:rsidRPr="005732B8">
        <w:rPr>
          <w:rFonts w:ascii="Times New Roman" w:eastAsia="Times New Roman" w:hAnsi="Times New Roman" w:cs="Times New Roman"/>
          <w:b/>
          <w:sz w:val="27"/>
          <w:szCs w:val="27"/>
          <w:lang w:val="en-GB"/>
        </w:rPr>
        <w:t>tiền</w:t>
      </w:r>
      <w:proofErr w:type="spellEnd"/>
      <w:r w:rsidRPr="005732B8">
        <w:rPr>
          <w:rFonts w:ascii="Times New Roman" w:eastAsia="Times New Roman" w:hAnsi="Times New Roman" w:cs="Times New Roman"/>
          <w:b/>
          <w:sz w:val="27"/>
          <w:szCs w:val="27"/>
          <w:lang w:val="en-GB"/>
        </w:rPr>
        <w:t xml:space="preserve"> </w:t>
      </w:r>
      <w:proofErr w:type="spellStart"/>
      <w:r w:rsidRPr="005732B8">
        <w:rPr>
          <w:rFonts w:ascii="Times New Roman" w:eastAsia="Times New Roman" w:hAnsi="Times New Roman" w:cs="Times New Roman"/>
          <w:b/>
          <w:sz w:val="27"/>
          <w:szCs w:val="27"/>
          <w:lang w:val="en-GB"/>
        </w:rPr>
        <w:t>gửi</w:t>
      </w:r>
      <w:proofErr w:type="spellEnd"/>
      <w:r w:rsidRPr="005732B8">
        <w:rPr>
          <w:rFonts w:ascii="Times New Roman" w:eastAsia="Times New Roman" w:hAnsi="Times New Roman" w:cs="Times New Roman"/>
          <w:b/>
          <w:sz w:val="27"/>
          <w:szCs w:val="27"/>
          <w:lang w:val="en-GB"/>
        </w:rPr>
        <w:t xml:space="preserve">, </w:t>
      </w:r>
      <w:proofErr w:type="spellStart"/>
      <w:r w:rsidRPr="005732B8">
        <w:rPr>
          <w:rFonts w:ascii="Times New Roman" w:eastAsia="Times New Roman" w:hAnsi="Times New Roman" w:cs="Times New Roman"/>
          <w:b/>
          <w:sz w:val="27"/>
          <w:szCs w:val="27"/>
          <w:lang w:val="en-GB"/>
        </w:rPr>
        <w:t>trái</w:t>
      </w:r>
      <w:proofErr w:type="spellEnd"/>
      <w:r w:rsidRPr="005732B8">
        <w:rPr>
          <w:rFonts w:ascii="Times New Roman" w:eastAsia="Times New Roman" w:hAnsi="Times New Roman" w:cs="Times New Roman"/>
          <w:b/>
          <w:sz w:val="27"/>
          <w:szCs w:val="27"/>
          <w:lang w:val="en-GB"/>
        </w:rPr>
        <w:t xml:space="preserve"> </w:t>
      </w:r>
      <w:proofErr w:type="spellStart"/>
      <w:r w:rsidRPr="005732B8">
        <w:rPr>
          <w:rFonts w:ascii="Times New Roman" w:eastAsia="Times New Roman" w:hAnsi="Times New Roman" w:cs="Times New Roman"/>
          <w:b/>
          <w:sz w:val="27"/>
          <w:szCs w:val="27"/>
          <w:lang w:val="en-GB"/>
        </w:rPr>
        <w:t>phiếu</w:t>
      </w:r>
      <w:proofErr w:type="spellEnd"/>
      <w:r w:rsidRPr="005732B8">
        <w:rPr>
          <w:rFonts w:ascii="Times New Roman" w:eastAsia="Times New Roman" w:hAnsi="Times New Roman" w:cs="Times New Roman"/>
          <w:b/>
          <w:sz w:val="27"/>
          <w:szCs w:val="27"/>
          <w:lang w:val="en-GB"/>
        </w:rPr>
        <w:t xml:space="preserve"> </w:t>
      </w:r>
      <w:proofErr w:type="spellStart"/>
      <w:r w:rsidRPr="005732B8">
        <w:rPr>
          <w:rFonts w:ascii="Times New Roman" w:eastAsia="Times New Roman" w:hAnsi="Times New Roman" w:cs="Times New Roman"/>
          <w:b/>
          <w:bCs/>
          <w:sz w:val="27"/>
          <w:szCs w:val="27"/>
          <w:lang w:val="en-GB"/>
        </w:rPr>
        <w:t>trong</w:t>
      </w:r>
      <w:proofErr w:type="spellEnd"/>
      <w:r w:rsidRPr="005732B8">
        <w:rPr>
          <w:rFonts w:ascii="Times New Roman" w:eastAsia="Times New Roman" w:hAnsi="Times New Roman" w:cs="Times New Roman"/>
          <w:b/>
          <w:bCs/>
          <w:sz w:val="27"/>
          <w:szCs w:val="27"/>
          <w:lang w:val="en-GB"/>
        </w:rPr>
        <w:t xml:space="preserve"> </w:t>
      </w:r>
      <w:bookmarkStart w:id="2" w:name="VNS0019"/>
      <w:proofErr w:type="spellStart"/>
      <w:r w:rsidRPr="005732B8">
        <w:rPr>
          <w:rFonts w:ascii="Times New Roman" w:eastAsia="Times New Roman" w:hAnsi="Times New Roman" w:cs="Times New Roman"/>
          <w:b/>
          <w:bCs/>
          <w:sz w:val="27"/>
          <w:szCs w:val="27"/>
          <w:lang w:val="en-GB"/>
        </w:rPr>
        <w:t>nước</w:t>
      </w:r>
      <w:bookmarkStart w:id="3" w:name="VNS001A"/>
      <w:bookmarkEnd w:id="2"/>
      <w:proofErr w:type="spellEnd"/>
      <w:r w:rsidRPr="005732B8">
        <w:rPr>
          <w:rFonts w:ascii="Times New Roman" w:eastAsia="Times New Roman" w:hAnsi="Times New Roman" w:cs="Times New Roman"/>
          <w:b/>
          <w:bCs/>
          <w:sz w:val="27"/>
          <w:szCs w:val="27"/>
          <w:lang w:val="en-GB"/>
        </w:rPr>
        <w:t xml:space="preserve"> </w:t>
      </w:r>
      <w:proofErr w:type="spellStart"/>
      <w:r w:rsidRPr="005732B8">
        <w:rPr>
          <w:rFonts w:ascii="Times New Roman" w:eastAsia="Times New Roman" w:hAnsi="Times New Roman" w:cs="Times New Roman"/>
          <w:b/>
          <w:bCs/>
          <w:sz w:val="27"/>
          <w:szCs w:val="27"/>
          <w:lang w:val="en-GB"/>
        </w:rPr>
        <w:t>của</w:t>
      </w:r>
      <w:bookmarkEnd w:id="3"/>
      <w:proofErr w:type="spellEnd"/>
      <w:r w:rsidRPr="005732B8">
        <w:rPr>
          <w:rFonts w:ascii="Times New Roman" w:eastAsia="Times New Roman" w:hAnsi="Times New Roman" w:cs="Times New Roman"/>
          <w:b/>
          <w:bCs/>
          <w:sz w:val="27"/>
          <w:szCs w:val="27"/>
          <w:lang w:val="en-GB"/>
        </w:rPr>
        <w:t xml:space="preserve"> </w:t>
      </w:r>
      <w:bookmarkStart w:id="4" w:name="VNS001B"/>
      <w:proofErr w:type="spellStart"/>
      <w:r w:rsidRPr="005732B8">
        <w:rPr>
          <w:rFonts w:ascii="Times New Roman" w:eastAsia="Times New Roman" w:hAnsi="Times New Roman" w:cs="Times New Roman"/>
          <w:b/>
          <w:bCs/>
          <w:sz w:val="27"/>
          <w:szCs w:val="27"/>
          <w:lang w:val="en-GB"/>
        </w:rPr>
        <w:t>tổ</w:t>
      </w:r>
      <w:bookmarkEnd w:id="4"/>
      <w:proofErr w:type="spellEnd"/>
      <w:r w:rsidRPr="005732B8">
        <w:rPr>
          <w:rFonts w:ascii="Times New Roman" w:eastAsia="Times New Roman" w:hAnsi="Times New Roman" w:cs="Times New Roman"/>
          <w:b/>
          <w:bCs/>
          <w:sz w:val="27"/>
          <w:szCs w:val="27"/>
          <w:lang w:val="en-GB"/>
        </w:rPr>
        <w:t xml:space="preserve"> </w:t>
      </w:r>
      <w:bookmarkStart w:id="5" w:name="VNS001C"/>
      <w:proofErr w:type="spellStart"/>
      <w:r w:rsidRPr="005732B8">
        <w:rPr>
          <w:rFonts w:ascii="Times New Roman" w:eastAsia="Times New Roman" w:hAnsi="Times New Roman" w:cs="Times New Roman"/>
          <w:b/>
          <w:bCs/>
          <w:sz w:val="27"/>
          <w:szCs w:val="27"/>
          <w:lang w:val="en-GB"/>
        </w:rPr>
        <w:t>chức</w:t>
      </w:r>
      <w:bookmarkEnd w:id="5"/>
      <w:proofErr w:type="spellEnd"/>
      <w:r w:rsidRPr="005732B8">
        <w:rPr>
          <w:rFonts w:ascii="Times New Roman" w:eastAsia="Times New Roman" w:hAnsi="Times New Roman" w:cs="Times New Roman"/>
          <w:b/>
          <w:bCs/>
          <w:sz w:val="27"/>
          <w:szCs w:val="27"/>
          <w:lang w:val="en-GB"/>
        </w:rPr>
        <w:t xml:space="preserve"> </w:t>
      </w:r>
      <w:proofErr w:type="spellStart"/>
      <w:r w:rsidRPr="005732B8">
        <w:rPr>
          <w:rFonts w:ascii="Times New Roman" w:eastAsia="Times New Roman" w:hAnsi="Times New Roman" w:cs="Times New Roman"/>
          <w:b/>
          <w:bCs/>
          <w:sz w:val="27"/>
          <w:szCs w:val="27"/>
          <w:lang w:val="en-GB"/>
        </w:rPr>
        <w:t>tín</w:t>
      </w:r>
      <w:proofErr w:type="spellEnd"/>
      <w:r w:rsidRPr="005732B8">
        <w:rPr>
          <w:rFonts w:ascii="Times New Roman" w:eastAsia="Times New Roman" w:hAnsi="Times New Roman" w:cs="Times New Roman"/>
          <w:b/>
          <w:bCs/>
          <w:sz w:val="27"/>
          <w:szCs w:val="27"/>
          <w:lang w:val="en-GB"/>
        </w:rPr>
        <w:t xml:space="preserve"> </w:t>
      </w:r>
      <w:bookmarkStart w:id="6" w:name="VNS001D"/>
      <w:proofErr w:type="spellStart"/>
      <w:r w:rsidRPr="005732B8">
        <w:rPr>
          <w:rFonts w:ascii="Times New Roman" w:eastAsia="Times New Roman" w:hAnsi="Times New Roman" w:cs="Times New Roman"/>
          <w:b/>
          <w:bCs/>
          <w:sz w:val="27"/>
          <w:szCs w:val="27"/>
          <w:lang w:val="en-GB"/>
        </w:rPr>
        <w:t>dụng</w:t>
      </w:r>
      <w:bookmarkEnd w:id="6"/>
      <w:proofErr w:type="spellEnd"/>
      <w:r w:rsidRPr="005732B8">
        <w:rPr>
          <w:rFonts w:ascii="Times New Roman" w:eastAsia="Times New Roman" w:hAnsi="Times New Roman" w:cs="Times New Roman"/>
          <w:b/>
          <w:bCs/>
          <w:sz w:val="27"/>
          <w:szCs w:val="27"/>
          <w:lang w:val="en-GB"/>
        </w:rPr>
        <w:t xml:space="preserve">, chi </w:t>
      </w:r>
      <w:proofErr w:type="spellStart"/>
      <w:r w:rsidRPr="005732B8">
        <w:rPr>
          <w:rFonts w:ascii="Times New Roman" w:eastAsia="Times New Roman" w:hAnsi="Times New Roman" w:cs="Times New Roman"/>
          <w:b/>
          <w:bCs/>
          <w:sz w:val="27"/>
          <w:szCs w:val="27"/>
          <w:lang w:val="en-GB"/>
        </w:rPr>
        <w:t>nhánh</w:t>
      </w:r>
      <w:proofErr w:type="spellEnd"/>
      <w:r w:rsidRPr="005732B8">
        <w:rPr>
          <w:rFonts w:ascii="Times New Roman" w:eastAsia="Times New Roman" w:hAnsi="Times New Roman" w:cs="Times New Roman"/>
          <w:b/>
          <w:bCs/>
          <w:sz w:val="27"/>
          <w:szCs w:val="27"/>
          <w:lang w:val="en-GB"/>
        </w:rPr>
        <w:t xml:space="preserve"> </w:t>
      </w:r>
      <w:proofErr w:type="spellStart"/>
      <w:r w:rsidRPr="005732B8">
        <w:rPr>
          <w:rFonts w:ascii="Times New Roman" w:eastAsia="Times New Roman" w:hAnsi="Times New Roman" w:cs="Times New Roman"/>
          <w:b/>
          <w:bCs/>
          <w:sz w:val="27"/>
          <w:szCs w:val="27"/>
          <w:lang w:val="en-GB"/>
        </w:rPr>
        <w:t>ngân</w:t>
      </w:r>
      <w:proofErr w:type="spellEnd"/>
      <w:r w:rsidRPr="005732B8">
        <w:rPr>
          <w:rFonts w:ascii="Times New Roman" w:eastAsia="Times New Roman" w:hAnsi="Times New Roman" w:cs="Times New Roman"/>
          <w:b/>
          <w:bCs/>
          <w:sz w:val="27"/>
          <w:szCs w:val="27"/>
          <w:lang w:val="en-GB"/>
        </w:rPr>
        <w:t xml:space="preserve"> </w:t>
      </w:r>
      <w:proofErr w:type="spellStart"/>
      <w:r w:rsidRPr="005732B8">
        <w:rPr>
          <w:rFonts w:ascii="Times New Roman" w:eastAsia="Times New Roman" w:hAnsi="Times New Roman" w:cs="Times New Roman"/>
          <w:b/>
          <w:bCs/>
          <w:sz w:val="27"/>
          <w:szCs w:val="27"/>
          <w:lang w:val="en-GB"/>
        </w:rPr>
        <w:t>hàng</w:t>
      </w:r>
      <w:proofErr w:type="spellEnd"/>
      <w:r w:rsidRPr="005732B8">
        <w:rPr>
          <w:rFonts w:ascii="Times New Roman" w:eastAsia="Times New Roman" w:hAnsi="Times New Roman" w:cs="Times New Roman"/>
          <w:b/>
          <w:bCs/>
          <w:sz w:val="27"/>
          <w:szCs w:val="27"/>
          <w:lang w:val="en-GB"/>
        </w:rPr>
        <w:t xml:space="preserve"> </w:t>
      </w:r>
      <w:proofErr w:type="spellStart"/>
      <w:r w:rsidRPr="005732B8">
        <w:rPr>
          <w:rFonts w:ascii="Times New Roman" w:eastAsia="Times New Roman" w:hAnsi="Times New Roman" w:cs="Times New Roman"/>
          <w:b/>
          <w:bCs/>
          <w:sz w:val="27"/>
          <w:szCs w:val="27"/>
          <w:lang w:val="en-GB"/>
        </w:rPr>
        <w:t>nước</w:t>
      </w:r>
      <w:proofErr w:type="spellEnd"/>
      <w:r w:rsidRPr="005732B8">
        <w:rPr>
          <w:rFonts w:ascii="Times New Roman" w:eastAsia="Times New Roman" w:hAnsi="Times New Roman" w:cs="Times New Roman"/>
          <w:b/>
          <w:bCs/>
          <w:sz w:val="27"/>
          <w:szCs w:val="27"/>
          <w:lang w:val="en-GB"/>
        </w:rPr>
        <w:t xml:space="preserve"> </w:t>
      </w:r>
      <w:proofErr w:type="spellStart"/>
      <w:r w:rsidRPr="005732B8">
        <w:rPr>
          <w:rFonts w:ascii="Times New Roman" w:eastAsia="Times New Roman" w:hAnsi="Times New Roman" w:cs="Times New Roman"/>
          <w:b/>
          <w:bCs/>
          <w:sz w:val="27"/>
          <w:szCs w:val="27"/>
          <w:lang w:val="en-GB"/>
        </w:rPr>
        <w:t>ngoài</w:t>
      </w:r>
      <w:proofErr w:type="spellEnd"/>
    </w:p>
    <w:p w:rsidR="00CF6AE1" w:rsidRPr="005732B8" w:rsidRDefault="00CF6AE1" w:rsidP="00CF6AE1">
      <w:pPr>
        <w:spacing w:after="0" w:line="340" w:lineRule="exact"/>
        <w:jc w:val="center"/>
        <w:rPr>
          <w:rFonts w:ascii="Times New Roman" w:eastAsia="Times New Roman" w:hAnsi="Times New Roman" w:cs="Times New Roman"/>
          <w:b/>
          <w:bCs/>
          <w:sz w:val="28"/>
          <w:szCs w:val="28"/>
          <w:lang w:val="en-GB"/>
        </w:rPr>
      </w:pPr>
      <w:r w:rsidRPr="005732B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CDD0C64" wp14:editId="673108F4">
                <wp:simplePos x="0" y="0"/>
                <wp:positionH relativeFrom="column">
                  <wp:posOffset>2133600</wp:posOffset>
                </wp:positionH>
                <wp:positionV relativeFrom="paragraph">
                  <wp:posOffset>106045</wp:posOffset>
                </wp:positionV>
                <wp:extent cx="1447800" cy="0"/>
                <wp:effectExtent l="13335" t="6985" r="571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9A2FA"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8.35pt" to="28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w8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Gme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"/>
            </w:pict>
          </mc:Fallback>
        </mc:AlternateContent>
      </w:r>
    </w:p>
    <w:p w:rsidR="00CF6AE1" w:rsidRPr="005732B8" w:rsidRDefault="00CF6AE1" w:rsidP="00CF6AE1">
      <w:pPr>
        <w:spacing w:before="120" w:after="0" w:line="340" w:lineRule="exact"/>
        <w:ind w:firstLine="720"/>
        <w:jc w:val="both"/>
        <w:rPr>
          <w:rFonts w:ascii="Times New Roman" w:eastAsia="Times New Roman" w:hAnsi="Times New Roman" w:cs="Times New Roman"/>
          <w:i/>
          <w:sz w:val="28"/>
          <w:szCs w:val="28"/>
          <w:lang w:val="en-GB"/>
        </w:rPr>
      </w:pPr>
      <w:proofErr w:type="spellStart"/>
      <w:r w:rsidRPr="005732B8">
        <w:rPr>
          <w:rFonts w:ascii="Times New Roman" w:eastAsia="Times New Roman" w:hAnsi="Times New Roman" w:cs="Times New Roman"/>
          <w:i/>
          <w:sz w:val="28"/>
          <w:szCs w:val="28"/>
          <w:lang w:val="en-GB"/>
        </w:rPr>
        <w:t>Căn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cứ</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Luật</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Ngân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hàng</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Nhà</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nước</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Việt</w:t>
      </w:r>
      <w:proofErr w:type="spellEnd"/>
      <w:r w:rsidRPr="005732B8">
        <w:rPr>
          <w:rFonts w:ascii="Times New Roman" w:eastAsia="Times New Roman" w:hAnsi="Times New Roman" w:cs="Times New Roman"/>
          <w:i/>
          <w:sz w:val="28"/>
          <w:szCs w:val="28"/>
          <w:lang w:val="en-GB"/>
        </w:rPr>
        <w:t xml:space="preserve"> Nam </w:t>
      </w:r>
      <w:proofErr w:type="spellStart"/>
      <w:r w:rsidRPr="005732B8">
        <w:rPr>
          <w:rFonts w:ascii="Times New Roman" w:eastAsia="Times New Roman" w:hAnsi="Times New Roman" w:cs="Times New Roman"/>
          <w:i/>
          <w:sz w:val="28"/>
          <w:szCs w:val="28"/>
          <w:lang w:val="en-GB"/>
        </w:rPr>
        <w:t>ngày</w:t>
      </w:r>
      <w:proofErr w:type="spellEnd"/>
      <w:r w:rsidRPr="005732B8">
        <w:rPr>
          <w:rFonts w:ascii="Times New Roman" w:eastAsia="Times New Roman" w:hAnsi="Times New Roman" w:cs="Times New Roman"/>
          <w:i/>
          <w:sz w:val="28"/>
          <w:szCs w:val="28"/>
          <w:lang w:val="en-GB"/>
        </w:rPr>
        <w:t xml:space="preserve"> 16 </w:t>
      </w:r>
      <w:proofErr w:type="spellStart"/>
      <w:r w:rsidRPr="005732B8">
        <w:rPr>
          <w:rFonts w:ascii="Times New Roman" w:eastAsia="Times New Roman" w:hAnsi="Times New Roman" w:cs="Times New Roman"/>
          <w:i/>
          <w:sz w:val="28"/>
          <w:szCs w:val="28"/>
          <w:lang w:val="en-GB"/>
        </w:rPr>
        <w:t>tháng</w:t>
      </w:r>
      <w:proofErr w:type="spellEnd"/>
      <w:r w:rsidRPr="005732B8">
        <w:rPr>
          <w:rFonts w:ascii="Times New Roman" w:eastAsia="Times New Roman" w:hAnsi="Times New Roman" w:cs="Times New Roman"/>
          <w:i/>
          <w:sz w:val="28"/>
          <w:szCs w:val="28"/>
          <w:lang w:val="en-GB"/>
        </w:rPr>
        <w:t xml:space="preserve"> 6 </w:t>
      </w:r>
      <w:proofErr w:type="spellStart"/>
      <w:r w:rsidRPr="005732B8">
        <w:rPr>
          <w:rFonts w:ascii="Times New Roman" w:eastAsia="Times New Roman" w:hAnsi="Times New Roman" w:cs="Times New Roman"/>
          <w:i/>
          <w:sz w:val="28"/>
          <w:szCs w:val="28"/>
          <w:lang w:val="en-GB"/>
        </w:rPr>
        <w:t>năm</w:t>
      </w:r>
      <w:proofErr w:type="spellEnd"/>
      <w:r w:rsidRPr="005732B8">
        <w:rPr>
          <w:rFonts w:ascii="Times New Roman" w:eastAsia="Times New Roman" w:hAnsi="Times New Roman" w:cs="Times New Roman"/>
          <w:i/>
          <w:sz w:val="28"/>
          <w:szCs w:val="28"/>
          <w:lang w:val="en-GB"/>
        </w:rPr>
        <w:t xml:space="preserve"> 2010;</w:t>
      </w:r>
    </w:p>
    <w:p w:rsidR="00CF6AE1" w:rsidRPr="005732B8" w:rsidRDefault="00CF6AE1" w:rsidP="00CF6AE1">
      <w:pPr>
        <w:spacing w:before="120" w:after="0" w:line="340" w:lineRule="exact"/>
        <w:ind w:firstLine="720"/>
        <w:jc w:val="both"/>
        <w:rPr>
          <w:rFonts w:ascii="Times New Roman" w:eastAsia="Times New Roman" w:hAnsi="Times New Roman" w:cs="Times New Roman"/>
          <w:i/>
          <w:sz w:val="28"/>
          <w:szCs w:val="28"/>
          <w:lang w:val="en-GB"/>
        </w:rPr>
      </w:pPr>
      <w:proofErr w:type="spellStart"/>
      <w:r w:rsidRPr="005732B8">
        <w:rPr>
          <w:rFonts w:ascii="Times New Roman" w:eastAsia="Times New Roman" w:hAnsi="Times New Roman" w:cs="Times New Roman"/>
          <w:i/>
          <w:sz w:val="28"/>
          <w:szCs w:val="28"/>
          <w:lang w:val="en-GB"/>
        </w:rPr>
        <w:t>Căn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cứ</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Luật</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Các</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tổ</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chức</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tín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dụng</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ngày</w:t>
      </w:r>
      <w:proofErr w:type="spellEnd"/>
      <w:r w:rsidRPr="005732B8">
        <w:rPr>
          <w:rFonts w:ascii="Times New Roman" w:eastAsia="Times New Roman" w:hAnsi="Times New Roman" w:cs="Times New Roman"/>
          <w:i/>
          <w:sz w:val="28"/>
          <w:szCs w:val="28"/>
          <w:lang w:val="en-GB"/>
        </w:rPr>
        <w:t xml:space="preserve"> 16 </w:t>
      </w:r>
      <w:proofErr w:type="spellStart"/>
      <w:r w:rsidRPr="005732B8">
        <w:rPr>
          <w:rFonts w:ascii="Times New Roman" w:eastAsia="Times New Roman" w:hAnsi="Times New Roman" w:cs="Times New Roman"/>
          <w:i/>
          <w:sz w:val="28"/>
          <w:szCs w:val="28"/>
          <w:lang w:val="en-GB"/>
        </w:rPr>
        <w:t>tháng</w:t>
      </w:r>
      <w:proofErr w:type="spellEnd"/>
      <w:r w:rsidRPr="005732B8">
        <w:rPr>
          <w:rFonts w:ascii="Times New Roman" w:eastAsia="Times New Roman" w:hAnsi="Times New Roman" w:cs="Times New Roman"/>
          <w:i/>
          <w:sz w:val="28"/>
          <w:szCs w:val="28"/>
          <w:lang w:val="en-GB"/>
        </w:rPr>
        <w:t xml:space="preserve"> 6 </w:t>
      </w:r>
      <w:proofErr w:type="spellStart"/>
      <w:r w:rsidRPr="005732B8">
        <w:rPr>
          <w:rFonts w:ascii="Times New Roman" w:eastAsia="Times New Roman" w:hAnsi="Times New Roman" w:cs="Times New Roman"/>
          <w:i/>
          <w:sz w:val="28"/>
          <w:szCs w:val="28"/>
          <w:lang w:val="en-GB"/>
        </w:rPr>
        <w:t>năm</w:t>
      </w:r>
      <w:proofErr w:type="spellEnd"/>
      <w:r w:rsidRPr="005732B8">
        <w:rPr>
          <w:rFonts w:ascii="Times New Roman" w:eastAsia="Times New Roman" w:hAnsi="Times New Roman" w:cs="Times New Roman"/>
          <w:i/>
          <w:sz w:val="28"/>
          <w:szCs w:val="28"/>
          <w:lang w:val="en-GB"/>
        </w:rPr>
        <w:t xml:space="preserve"> 2010 </w:t>
      </w:r>
      <w:proofErr w:type="spellStart"/>
      <w:r w:rsidRPr="005732B8">
        <w:rPr>
          <w:rFonts w:ascii="Times New Roman" w:eastAsia="Times New Roman" w:hAnsi="Times New Roman" w:cs="Times New Roman"/>
          <w:i/>
          <w:sz w:val="28"/>
          <w:szCs w:val="28"/>
          <w:lang w:val="en-GB"/>
        </w:rPr>
        <w:t>và</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Luật</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sửa</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đổi</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bổ</w:t>
      </w:r>
      <w:proofErr w:type="spellEnd"/>
      <w:r w:rsidRPr="005732B8">
        <w:rPr>
          <w:rFonts w:ascii="Times New Roman" w:eastAsia="Times New Roman" w:hAnsi="Times New Roman" w:cs="Times New Roman"/>
          <w:i/>
          <w:sz w:val="28"/>
          <w:szCs w:val="28"/>
          <w:lang w:val="en-GB"/>
        </w:rPr>
        <w:t xml:space="preserve"> sung </w:t>
      </w:r>
      <w:proofErr w:type="spellStart"/>
      <w:r w:rsidRPr="005732B8">
        <w:rPr>
          <w:rFonts w:ascii="Times New Roman" w:eastAsia="Times New Roman" w:hAnsi="Times New Roman" w:cs="Times New Roman"/>
          <w:i/>
          <w:sz w:val="28"/>
          <w:szCs w:val="28"/>
          <w:lang w:val="en-GB"/>
        </w:rPr>
        <w:t>một</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số</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điều</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của</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Luật</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Các</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tổ</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chức</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tín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dụng</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ngày</w:t>
      </w:r>
      <w:proofErr w:type="spellEnd"/>
      <w:r w:rsidRPr="005732B8">
        <w:rPr>
          <w:rFonts w:ascii="Times New Roman" w:eastAsia="Times New Roman" w:hAnsi="Times New Roman" w:cs="Times New Roman"/>
          <w:i/>
          <w:sz w:val="28"/>
          <w:szCs w:val="28"/>
          <w:lang w:val="en-GB"/>
        </w:rPr>
        <w:t xml:space="preserve"> 20 </w:t>
      </w:r>
      <w:proofErr w:type="spellStart"/>
      <w:r w:rsidRPr="005732B8">
        <w:rPr>
          <w:rFonts w:ascii="Times New Roman" w:eastAsia="Times New Roman" w:hAnsi="Times New Roman" w:cs="Times New Roman"/>
          <w:i/>
          <w:sz w:val="28"/>
          <w:szCs w:val="28"/>
          <w:lang w:val="en-GB"/>
        </w:rPr>
        <w:t>tháng</w:t>
      </w:r>
      <w:proofErr w:type="spellEnd"/>
      <w:r w:rsidRPr="005732B8">
        <w:rPr>
          <w:rFonts w:ascii="Times New Roman" w:eastAsia="Times New Roman" w:hAnsi="Times New Roman" w:cs="Times New Roman"/>
          <w:i/>
          <w:sz w:val="28"/>
          <w:szCs w:val="28"/>
          <w:lang w:val="en-GB"/>
        </w:rPr>
        <w:t xml:space="preserve"> 11 </w:t>
      </w:r>
      <w:proofErr w:type="spellStart"/>
      <w:r w:rsidRPr="005732B8">
        <w:rPr>
          <w:rFonts w:ascii="Times New Roman" w:eastAsia="Times New Roman" w:hAnsi="Times New Roman" w:cs="Times New Roman"/>
          <w:i/>
          <w:sz w:val="28"/>
          <w:szCs w:val="28"/>
          <w:lang w:val="en-GB"/>
        </w:rPr>
        <w:t>năm</w:t>
      </w:r>
      <w:proofErr w:type="spellEnd"/>
      <w:r w:rsidRPr="005732B8">
        <w:rPr>
          <w:rFonts w:ascii="Times New Roman" w:eastAsia="Times New Roman" w:hAnsi="Times New Roman" w:cs="Times New Roman"/>
          <w:i/>
          <w:sz w:val="28"/>
          <w:szCs w:val="28"/>
          <w:lang w:val="en-GB"/>
        </w:rPr>
        <w:t xml:space="preserve"> 2017;  </w:t>
      </w:r>
    </w:p>
    <w:p w:rsidR="00CF6AE1" w:rsidRPr="005732B8" w:rsidRDefault="00CF6AE1" w:rsidP="00CF6AE1">
      <w:pPr>
        <w:spacing w:before="120" w:after="0" w:line="340" w:lineRule="exact"/>
        <w:ind w:firstLine="720"/>
        <w:jc w:val="both"/>
        <w:rPr>
          <w:rFonts w:ascii="Times New Roman" w:eastAsia="Times New Roman" w:hAnsi="Times New Roman" w:cs="Times New Roman"/>
          <w:i/>
          <w:sz w:val="28"/>
          <w:szCs w:val="28"/>
          <w:lang w:val="en-GB"/>
        </w:rPr>
      </w:pPr>
      <w:proofErr w:type="spellStart"/>
      <w:r w:rsidRPr="005732B8">
        <w:rPr>
          <w:rFonts w:ascii="Times New Roman" w:eastAsia="Times New Roman" w:hAnsi="Times New Roman" w:cs="Times New Roman"/>
          <w:i/>
          <w:sz w:val="28"/>
          <w:szCs w:val="28"/>
          <w:lang w:val="en-GB"/>
        </w:rPr>
        <w:t>Căn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cứ</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Luật</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Chứng</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khoán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ngày</w:t>
      </w:r>
      <w:proofErr w:type="spellEnd"/>
      <w:r w:rsidRPr="005732B8">
        <w:rPr>
          <w:rFonts w:ascii="Times New Roman" w:eastAsia="Times New Roman" w:hAnsi="Times New Roman" w:cs="Times New Roman"/>
          <w:i/>
          <w:sz w:val="28"/>
          <w:szCs w:val="28"/>
          <w:lang w:val="en-GB"/>
        </w:rPr>
        <w:t xml:space="preserve"> 26 </w:t>
      </w:r>
      <w:proofErr w:type="spellStart"/>
      <w:r w:rsidRPr="005732B8">
        <w:rPr>
          <w:rFonts w:ascii="Times New Roman" w:eastAsia="Times New Roman" w:hAnsi="Times New Roman" w:cs="Times New Roman"/>
          <w:i/>
          <w:sz w:val="28"/>
          <w:szCs w:val="28"/>
          <w:lang w:val="en-GB"/>
        </w:rPr>
        <w:t>tháng</w:t>
      </w:r>
      <w:proofErr w:type="spellEnd"/>
      <w:r w:rsidRPr="005732B8">
        <w:rPr>
          <w:rFonts w:ascii="Times New Roman" w:eastAsia="Times New Roman" w:hAnsi="Times New Roman" w:cs="Times New Roman"/>
          <w:i/>
          <w:sz w:val="28"/>
          <w:szCs w:val="28"/>
          <w:lang w:val="en-GB"/>
        </w:rPr>
        <w:t xml:space="preserve"> 11 </w:t>
      </w:r>
      <w:proofErr w:type="spellStart"/>
      <w:r w:rsidRPr="005732B8">
        <w:rPr>
          <w:rFonts w:ascii="Times New Roman" w:eastAsia="Times New Roman" w:hAnsi="Times New Roman" w:cs="Times New Roman"/>
          <w:i/>
          <w:sz w:val="28"/>
          <w:szCs w:val="28"/>
          <w:lang w:val="en-GB"/>
        </w:rPr>
        <w:t>năm</w:t>
      </w:r>
      <w:proofErr w:type="spellEnd"/>
      <w:r w:rsidRPr="005732B8">
        <w:rPr>
          <w:rFonts w:ascii="Times New Roman" w:eastAsia="Times New Roman" w:hAnsi="Times New Roman" w:cs="Times New Roman"/>
          <w:i/>
          <w:sz w:val="28"/>
          <w:szCs w:val="28"/>
          <w:lang w:val="en-GB"/>
        </w:rPr>
        <w:t xml:space="preserve"> 2019;</w:t>
      </w:r>
    </w:p>
    <w:p w:rsidR="00CF6AE1" w:rsidRPr="005732B8" w:rsidRDefault="00CF6AE1" w:rsidP="00CF6AE1">
      <w:pPr>
        <w:spacing w:before="120" w:after="0" w:line="340" w:lineRule="exact"/>
        <w:ind w:firstLine="720"/>
        <w:jc w:val="both"/>
        <w:rPr>
          <w:rFonts w:ascii="Times New Roman" w:eastAsia="Times New Roman" w:hAnsi="Times New Roman" w:cs="Times New Roman"/>
          <w:i/>
          <w:sz w:val="28"/>
          <w:szCs w:val="28"/>
          <w:lang w:val="en-GB"/>
        </w:rPr>
      </w:pPr>
      <w:proofErr w:type="spellStart"/>
      <w:r w:rsidRPr="005732B8">
        <w:rPr>
          <w:rFonts w:ascii="Times New Roman" w:eastAsia="Times New Roman" w:hAnsi="Times New Roman" w:cs="Times New Roman"/>
          <w:i/>
          <w:sz w:val="28"/>
          <w:szCs w:val="28"/>
          <w:lang w:val="en-GB"/>
        </w:rPr>
        <w:t>Căn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cứ</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Nghị</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định</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số</w:t>
      </w:r>
      <w:proofErr w:type="spellEnd"/>
      <w:r w:rsidRPr="005732B8">
        <w:rPr>
          <w:rFonts w:ascii="Times New Roman" w:eastAsia="Times New Roman" w:hAnsi="Times New Roman" w:cs="Times New Roman"/>
          <w:i/>
          <w:sz w:val="28"/>
          <w:szCs w:val="28"/>
          <w:lang w:val="en-GB"/>
        </w:rPr>
        <w:t xml:space="preserve"> 16/2017/NĐ-CP </w:t>
      </w:r>
      <w:proofErr w:type="spellStart"/>
      <w:r w:rsidRPr="005732B8">
        <w:rPr>
          <w:rFonts w:ascii="Times New Roman" w:eastAsia="Times New Roman" w:hAnsi="Times New Roman" w:cs="Times New Roman"/>
          <w:i/>
          <w:sz w:val="28"/>
          <w:szCs w:val="28"/>
          <w:lang w:val="en-GB"/>
        </w:rPr>
        <w:t>ngày</w:t>
      </w:r>
      <w:proofErr w:type="spellEnd"/>
      <w:r w:rsidRPr="005732B8">
        <w:rPr>
          <w:rFonts w:ascii="Times New Roman" w:eastAsia="Times New Roman" w:hAnsi="Times New Roman" w:cs="Times New Roman"/>
          <w:i/>
          <w:sz w:val="28"/>
          <w:szCs w:val="28"/>
          <w:lang w:val="en-GB"/>
        </w:rPr>
        <w:t xml:space="preserve"> 17 </w:t>
      </w:r>
      <w:proofErr w:type="spellStart"/>
      <w:r w:rsidRPr="005732B8">
        <w:rPr>
          <w:rFonts w:ascii="Times New Roman" w:eastAsia="Times New Roman" w:hAnsi="Times New Roman" w:cs="Times New Roman"/>
          <w:i/>
          <w:sz w:val="28"/>
          <w:szCs w:val="28"/>
          <w:lang w:val="en-GB"/>
        </w:rPr>
        <w:t>tháng</w:t>
      </w:r>
      <w:proofErr w:type="spellEnd"/>
      <w:r w:rsidRPr="005732B8">
        <w:rPr>
          <w:rFonts w:ascii="Times New Roman" w:eastAsia="Times New Roman" w:hAnsi="Times New Roman" w:cs="Times New Roman"/>
          <w:i/>
          <w:sz w:val="28"/>
          <w:szCs w:val="28"/>
          <w:lang w:val="en-GB"/>
        </w:rPr>
        <w:t xml:space="preserve"> 02 </w:t>
      </w:r>
      <w:proofErr w:type="spellStart"/>
      <w:r w:rsidRPr="005732B8">
        <w:rPr>
          <w:rFonts w:ascii="Times New Roman" w:eastAsia="Times New Roman" w:hAnsi="Times New Roman" w:cs="Times New Roman"/>
          <w:i/>
          <w:sz w:val="28"/>
          <w:szCs w:val="28"/>
          <w:lang w:val="en-GB"/>
        </w:rPr>
        <w:t>năm</w:t>
      </w:r>
      <w:proofErr w:type="spellEnd"/>
      <w:r w:rsidRPr="005732B8">
        <w:rPr>
          <w:rFonts w:ascii="Times New Roman" w:eastAsia="Times New Roman" w:hAnsi="Times New Roman" w:cs="Times New Roman"/>
          <w:i/>
          <w:sz w:val="28"/>
          <w:szCs w:val="28"/>
          <w:lang w:val="en-GB"/>
        </w:rPr>
        <w:t xml:space="preserve"> 2017 </w:t>
      </w:r>
      <w:proofErr w:type="spellStart"/>
      <w:r w:rsidRPr="005732B8">
        <w:rPr>
          <w:rFonts w:ascii="Times New Roman" w:eastAsia="Times New Roman" w:hAnsi="Times New Roman" w:cs="Times New Roman"/>
          <w:i/>
          <w:sz w:val="28"/>
          <w:szCs w:val="28"/>
          <w:lang w:val="en-GB"/>
        </w:rPr>
        <w:t>của</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Chính</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phủ</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quy</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định</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chức</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năng</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nhiệm</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vụ</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quyền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hạn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và</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cơ</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cấu</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tổ</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chức</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của</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Ngân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hàng</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Nhà</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nước</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Việt</w:t>
      </w:r>
      <w:proofErr w:type="spellEnd"/>
      <w:r w:rsidRPr="005732B8">
        <w:rPr>
          <w:rFonts w:ascii="Times New Roman" w:eastAsia="Times New Roman" w:hAnsi="Times New Roman" w:cs="Times New Roman"/>
          <w:i/>
          <w:sz w:val="28"/>
          <w:szCs w:val="28"/>
          <w:lang w:val="en-GB"/>
        </w:rPr>
        <w:t xml:space="preserve"> Nam;</w:t>
      </w:r>
    </w:p>
    <w:p w:rsidR="00CF6AE1" w:rsidRPr="005732B8" w:rsidRDefault="00CF6AE1" w:rsidP="00CF6AE1">
      <w:pPr>
        <w:spacing w:before="120" w:after="0" w:line="340" w:lineRule="exact"/>
        <w:ind w:firstLine="720"/>
        <w:jc w:val="both"/>
        <w:rPr>
          <w:rFonts w:ascii="Times New Roman" w:eastAsia="Times New Roman" w:hAnsi="Times New Roman" w:cs="Times New Roman"/>
          <w:i/>
          <w:sz w:val="28"/>
          <w:szCs w:val="28"/>
          <w:lang w:val="en-GB"/>
        </w:rPr>
      </w:pPr>
      <w:r w:rsidRPr="005732B8">
        <w:rPr>
          <w:rFonts w:ascii="Times New Roman" w:eastAsia="Times New Roman" w:hAnsi="Times New Roman" w:cs="Times New Roman"/>
          <w:i/>
          <w:sz w:val="28"/>
          <w:szCs w:val="28"/>
          <w:lang w:val="en-GB"/>
        </w:rPr>
        <w:t xml:space="preserve">Theo </w:t>
      </w:r>
      <w:proofErr w:type="spellStart"/>
      <w:r w:rsidRPr="005732B8">
        <w:rPr>
          <w:rFonts w:ascii="Times New Roman" w:eastAsia="Times New Roman" w:hAnsi="Times New Roman" w:cs="Times New Roman"/>
          <w:i/>
          <w:sz w:val="28"/>
          <w:szCs w:val="28"/>
          <w:lang w:val="en-GB"/>
        </w:rPr>
        <w:t>đề</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nghị</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của</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Vụ</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trưởng</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Vụ</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Chính</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sách</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tiền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tệ</w:t>
      </w:r>
      <w:proofErr w:type="spellEnd"/>
      <w:r w:rsidRPr="005732B8">
        <w:rPr>
          <w:rFonts w:ascii="Times New Roman" w:eastAsia="Times New Roman" w:hAnsi="Times New Roman" w:cs="Times New Roman"/>
          <w:i/>
          <w:sz w:val="28"/>
          <w:szCs w:val="28"/>
          <w:lang w:val="en-GB"/>
        </w:rPr>
        <w:t xml:space="preserve">; </w:t>
      </w:r>
    </w:p>
    <w:p w:rsidR="00CF6AE1" w:rsidRPr="005732B8" w:rsidRDefault="00CF6AE1" w:rsidP="00CF6AE1">
      <w:pPr>
        <w:spacing w:before="120" w:after="0" w:line="340" w:lineRule="exact"/>
        <w:ind w:firstLine="720"/>
        <w:jc w:val="both"/>
        <w:rPr>
          <w:rFonts w:ascii="Times New Roman" w:eastAsia="Times New Roman" w:hAnsi="Times New Roman" w:cs="Times New Roman"/>
          <w:bCs/>
          <w:i/>
          <w:sz w:val="28"/>
          <w:szCs w:val="28"/>
          <w:lang w:val="en-GB"/>
        </w:rPr>
      </w:pPr>
      <w:proofErr w:type="spellStart"/>
      <w:r w:rsidRPr="005732B8">
        <w:rPr>
          <w:rFonts w:ascii="Times New Roman" w:eastAsia="Times New Roman" w:hAnsi="Times New Roman" w:cs="Times New Roman"/>
          <w:i/>
          <w:sz w:val="28"/>
          <w:szCs w:val="28"/>
          <w:lang w:val="en-GB"/>
        </w:rPr>
        <w:t>Thống</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đốc</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Ngân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hàng</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Nhà</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nước</w:t>
      </w:r>
      <w:proofErr w:type="spellEnd"/>
      <w:r w:rsidRPr="005732B8">
        <w:rPr>
          <w:rFonts w:ascii="Times New Roman" w:eastAsia="Times New Roman" w:hAnsi="Times New Roman" w:cs="Times New Roman"/>
          <w:i/>
          <w:sz w:val="28"/>
          <w:szCs w:val="28"/>
          <w:lang w:val="en-GB"/>
        </w:rPr>
        <w:t xml:space="preserve"> ban </w:t>
      </w:r>
      <w:proofErr w:type="spellStart"/>
      <w:r w:rsidRPr="005732B8">
        <w:rPr>
          <w:rFonts w:ascii="Times New Roman" w:eastAsia="Times New Roman" w:hAnsi="Times New Roman" w:cs="Times New Roman"/>
          <w:i/>
          <w:sz w:val="28"/>
          <w:szCs w:val="28"/>
          <w:lang w:val="en-GB"/>
        </w:rPr>
        <w:t>hành</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Thông</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tư</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bCs/>
          <w:i/>
          <w:sz w:val="28"/>
          <w:szCs w:val="28"/>
          <w:lang w:val="en-GB"/>
        </w:rPr>
        <w:t>quy</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định</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về</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phát</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hành</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i/>
          <w:sz w:val="28"/>
          <w:szCs w:val="28"/>
          <w:lang w:val="en-GB"/>
        </w:rPr>
        <w:t>kỳ</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phiếu</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tín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phiếu</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chứng</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chỉ</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tiền</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gửi</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trái</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i/>
          <w:sz w:val="28"/>
          <w:szCs w:val="28"/>
          <w:lang w:val="en-GB"/>
        </w:rPr>
        <w:t>phiếu</w:t>
      </w:r>
      <w:proofErr w:type="spellEnd"/>
      <w:r w:rsidRPr="005732B8">
        <w:rPr>
          <w:rFonts w:ascii="Times New Roman" w:eastAsia="Times New Roman" w:hAnsi="Times New Roman" w:cs="Times New Roman"/>
          <w:i/>
          <w:sz w:val="28"/>
          <w:szCs w:val="28"/>
          <w:lang w:val="en-GB"/>
        </w:rPr>
        <w:t xml:space="preserve"> </w:t>
      </w:r>
      <w:proofErr w:type="spellStart"/>
      <w:r w:rsidRPr="005732B8">
        <w:rPr>
          <w:rFonts w:ascii="Times New Roman" w:eastAsia="Times New Roman" w:hAnsi="Times New Roman" w:cs="Times New Roman"/>
          <w:bCs/>
          <w:i/>
          <w:sz w:val="28"/>
          <w:szCs w:val="28"/>
          <w:lang w:val="en-GB"/>
        </w:rPr>
        <w:t>trong</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nước</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của</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tổ</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chức</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tín</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dụng</w:t>
      </w:r>
      <w:proofErr w:type="spellEnd"/>
      <w:r w:rsidRPr="005732B8">
        <w:rPr>
          <w:rFonts w:ascii="Times New Roman" w:eastAsia="Times New Roman" w:hAnsi="Times New Roman" w:cs="Times New Roman"/>
          <w:bCs/>
          <w:i/>
          <w:sz w:val="28"/>
          <w:szCs w:val="28"/>
          <w:lang w:val="en-GB"/>
        </w:rPr>
        <w:t xml:space="preserve">, chi </w:t>
      </w:r>
      <w:proofErr w:type="spellStart"/>
      <w:r w:rsidRPr="005732B8">
        <w:rPr>
          <w:rFonts w:ascii="Times New Roman" w:eastAsia="Times New Roman" w:hAnsi="Times New Roman" w:cs="Times New Roman"/>
          <w:bCs/>
          <w:i/>
          <w:sz w:val="28"/>
          <w:szCs w:val="28"/>
          <w:lang w:val="en-GB"/>
        </w:rPr>
        <w:t>nhánh</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ngân</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hàng</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nước</w:t>
      </w:r>
      <w:proofErr w:type="spellEnd"/>
      <w:r w:rsidRPr="005732B8">
        <w:rPr>
          <w:rFonts w:ascii="Times New Roman" w:eastAsia="Times New Roman" w:hAnsi="Times New Roman" w:cs="Times New Roman"/>
          <w:bCs/>
          <w:i/>
          <w:sz w:val="28"/>
          <w:szCs w:val="28"/>
          <w:lang w:val="en-GB"/>
        </w:rPr>
        <w:t xml:space="preserve"> </w:t>
      </w:r>
      <w:proofErr w:type="spellStart"/>
      <w:r w:rsidRPr="005732B8">
        <w:rPr>
          <w:rFonts w:ascii="Times New Roman" w:eastAsia="Times New Roman" w:hAnsi="Times New Roman" w:cs="Times New Roman"/>
          <w:bCs/>
          <w:i/>
          <w:sz w:val="28"/>
          <w:szCs w:val="28"/>
          <w:lang w:val="en-GB"/>
        </w:rPr>
        <w:t>ngoài</w:t>
      </w:r>
      <w:proofErr w:type="spellEnd"/>
      <w:r w:rsidRPr="005732B8">
        <w:rPr>
          <w:rFonts w:ascii="Times New Roman" w:eastAsia="Times New Roman" w:hAnsi="Times New Roman" w:cs="Times New Roman"/>
          <w:bCs/>
          <w:i/>
          <w:sz w:val="28"/>
          <w:szCs w:val="28"/>
          <w:lang w:val="en-GB"/>
        </w:rPr>
        <w:t>.</w:t>
      </w:r>
    </w:p>
    <w:p w:rsidR="00B65FB9" w:rsidRPr="005732B8" w:rsidRDefault="00B65FB9" w:rsidP="00D676B7">
      <w:pPr>
        <w:pStyle w:val="Heading1"/>
      </w:pPr>
      <w:bookmarkStart w:id="7" w:name="dieu_1"/>
      <w:bookmarkEnd w:id="0"/>
      <w:r w:rsidRPr="005732B8">
        <w:t>Điều 1. Phạm vi điều chỉnh</w:t>
      </w:r>
      <w:bookmarkEnd w:id="7"/>
    </w:p>
    <w:p w:rsidR="00B65FB9" w:rsidRDefault="00E440BE" w:rsidP="002B276D">
      <w:pPr>
        <w:spacing w:before="120" w:after="0" w:line="340" w:lineRule="exact"/>
        <w:ind w:firstLine="720"/>
        <w:jc w:val="both"/>
        <w:rPr>
          <w:rFonts w:asciiTheme="majorHAnsi" w:eastAsia="Times New Roman" w:hAnsiTheme="majorHAnsi" w:cstheme="majorHAnsi"/>
          <w:sz w:val="28"/>
          <w:szCs w:val="28"/>
          <w:lang w:val="en-US" w:eastAsia="vi-VN"/>
        </w:rPr>
      </w:pPr>
      <w:r w:rsidRPr="00E440BE">
        <w:rPr>
          <w:rFonts w:asciiTheme="majorHAnsi" w:eastAsia="Times New Roman" w:hAnsiTheme="majorHAnsi" w:cstheme="majorHAnsi"/>
          <w:sz w:val="28"/>
          <w:szCs w:val="28"/>
          <w:lang w:eastAsia="vi-VN"/>
        </w:rPr>
        <w:t>1</w:t>
      </w:r>
      <w:r>
        <w:rPr>
          <w:rFonts w:asciiTheme="majorHAnsi" w:eastAsia="Times New Roman" w:hAnsiTheme="majorHAnsi" w:cstheme="majorHAnsi"/>
          <w:sz w:val="28"/>
          <w:szCs w:val="28"/>
          <w:lang w:val="en-US" w:eastAsia="vi-VN"/>
        </w:rPr>
        <w:t xml:space="preserve">. </w:t>
      </w:r>
      <w:r w:rsidR="00B65FB9" w:rsidRPr="005732B8">
        <w:rPr>
          <w:rFonts w:asciiTheme="majorHAnsi" w:eastAsia="Times New Roman" w:hAnsiTheme="majorHAnsi" w:cstheme="majorHAnsi"/>
          <w:sz w:val="28"/>
          <w:szCs w:val="28"/>
          <w:lang w:eastAsia="vi-VN"/>
        </w:rPr>
        <w:t xml:space="preserve">Thông tư này quy định việc phát hành kỳ phiếu, tín phiếu, chứng chỉ tiền gửi, trái phiếu </w:t>
      </w:r>
      <w:r w:rsidR="00E8012A" w:rsidRPr="00E8012A">
        <w:rPr>
          <w:rFonts w:asciiTheme="majorHAnsi" w:eastAsia="Times New Roman" w:hAnsiTheme="majorHAnsi" w:cstheme="majorHAnsi"/>
          <w:sz w:val="28"/>
          <w:szCs w:val="28"/>
          <w:lang w:eastAsia="vi-VN"/>
        </w:rPr>
        <w:t>(</w:t>
      </w:r>
      <w:r w:rsidR="00E8012A" w:rsidRPr="00E440BE">
        <w:rPr>
          <w:rFonts w:asciiTheme="majorHAnsi" w:eastAsia="Times New Roman" w:hAnsiTheme="majorHAnsi" w:cstheme="majorHAnsi"/>
          <w:sz w:val="28"/>
          <w:szCs w:val="28"/>
          <w:lang w:eastAsia="vi-VN"/>
        </w:rPr>
        <w:t xml:space="preserve">sau đây gọi là giấy tờ có giá) </w:t>
      </w:r>
      <w:r w:rsidR="00B65FB9" w:rsidRPr="005732B8">
        <w:rPr>
          <w:rFonts w:asciiTheme="majorHAnsi" w:eastAsia="Times New Roman" w:hAnsiTheme="majorHAnsi" w:cstheme="majorHAnsi"/>
          <w:sz w:val="28"/>
          <w:szCs w:val="28"/>
          <w:lang w:eastAsia="vi-VN"/>
        </w:rPr>
        <w:t>trong nước của tổ chức tín dụng, chi nhánh ngân hàng nước ngoài để huy động vốn trên phạm vi lãnh thổ Việt Nam.</w:t>
      </w:r>
    </w:p>
    <w:p w:rsidR="00E440BE" w:rsidRPr="00E440BE" w:rsidRDefault="00E440BE" w:rsidP="002B276D">
      <w:pPr>
        <w:spacing w:before="120" w:after="0" w:line="340" w:lineRule="exact"/>
        <w:ind w:firstLine="720"/>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2. </w:t>
      </w:r>
      <w:proofErr w:type="spellStart"/>
      <w:r>
        <w:rPr>
          <w:rFonts w:asciiTheme="majorHAnsi" w:eastAsia="Times New Roman" w:hAnsiTheme="majorHAnsi" w:cstheme="majorHAnsi"/>
          <w:sz w:val="28"/>
          <w:szCs w:val="28"/>
          <w:lang w:val="en-US" w:eastAsia="vi-VN"/>
        </w:rPr>
        <w:t>Việc</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chào</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bán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trái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phiếu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lưu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ký</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niêm</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yết</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và</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giao</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dịch</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trái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phiếu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của</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tổ</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chức</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tín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dụng</w:t>
      </w:r>
      <w:proofErr w:type="spellEnd"/>
      <w:r>
        <w:rPr>
          <w:rFonts w:asciiTheme="majorHAnsi" w:eastAsia="Times New Roman" w:hAnsiTheme="majorHAnsi" w:cstheme="majorHAnsi"/>
          <w:sz w:val="28"/>
          <w:szCs w:val="28"/>
          <w:lang w:val="en-US" w:eastAsia="vi-VN"/>
        </w:rPr>
        <w:t xml:space="preserve">, chi </w:t>
      </w:r>
      <w:proofErr w:type="spellStart"/>
      <w:r>
        <w:rPr>
          <w:rFonts w:asciiTheme="majorHAnsi" w:eastAsia="Times New Roman" w:hAnsiTheme="majorHAnsi" w:cstheme="majorHAnsi"/>
          <w:sz w:val="28"/>
          <w:szCs w:val="28"/>
          <w:lang w:val="en-US" w:eastAsia="vi-VN"/>
        </w:rPr>
        <w:t>nhánh</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ngân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hàng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nước</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ngoài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trên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thị</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trường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chứng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khoán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được</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thực</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hiện</w:t>
      </w:r>
      <w:proofErr w:type="spellEnd"/>
      <w:r>
        <w:rPr>
          <w:rFonts w:asciiTheme="majorHAnsi" w:eastAsia="Times New Roman" w:hAnsiTheme="majorHAnsi" w:cstheme="majorHAnsi"/>
          <w:sz w:val="28"/>
          <w:szCs w:val="28"/>
          <w:lang w:val="en-US" w:eastAsia="vi-VN"/>
        </w:rPr>
        <w:t xml:space="preserve"> </w:t>
      </w:r>
      <w:proofErr w:type="spellStart"/>
      <w:proofErr w:type="gramStart"/>
      <w:r>
        <w:rPr>
          <w:rFonts w:asciiTheme="majorHAnsi" w:eastAsia="Times New Roman" w:hAnsiTheme="majorHAnsi" w:cstheme="majorHAnsi"/>
          <w:sz w:val="28"/>
          <w:szCs w:val="28"/>
          <w:lang w:val="en-US" w:eastAsia="vi-VN"/>
        </w:rPr>
        <w:t>theo</w:t>
      </w:r>
      <w:proofErr w:type="spellEnd"/>
      <w:proofErr w:type="gram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quy</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định</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tại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Luật</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Chứng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khoán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các</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văn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bản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hướng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dẫn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Luật</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Chứng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khoán</w:t>
      </w:r>
      <w:proofErr w:type="spellEnd"/>
      <w:r>
        <w:rPr>
          <w:rFonts w:asciiTheme="majorHAnsi" w:eastAsia="Times New Roman" w:hAnsiTheme="majorHAnsi" w:cstheme="majorHAnsi"/>
          <w:sz w:val="28"/>
          <w:szCs w:val="28"/>
          <w:lang w:val="en-US" w:eastAsia="vi-VN"/>
        </w:rPr>
        <w:t>.</w:t>
      </w:r>
    </w:p>
    <w:p w:rsidR="008460FC" w:rsidRPr="005732B8" w:rsidRDefault="00B65FB9" w:rsidP="008460FC">
      <w:pPr>
        <w:pStyle w:val="Heading1"/>
        <w:spacing w:line="340" w:lineRule="exact"/>
        <w:rPr>
          <w:rFonts w:eastAsia="Times New Roman"/>
          <w:lang w:eastAsia="vi-VN"/>
        </w:rPr>
      </w:pPr>
      <w:bookmarkStart w:id="8" w:name="dieu_2"/>
      <w:r w:rsidRPr="005732B8">
        <w:rPr>
          <w:rFonts w:eastAsia="Times New Roman"/>
          <w:lang w:eastAsia="vi-VN"/>
        </w:rPr>
        <w:t xml:space="preserve">Điều 2. </w:t>
      </w:r>
      <w:r w:rsidR="008460FC" w:rsidRPr="005732B8">
        <w:rPr>
          <w:rFonts w:eastAsia="Times New Roman"/>
          <w:lang w:eastAsia="vi-VN"/>
        </w:rPr>
        <w:t>Đối tượng áp dụng</w:t>
      </w:r>
    </w:p>
    <w:p w:rsidR="008460FC" w:rsidRPr="005732B8" w:rsidRDefault="008460FC" w:rsidP="008460FC">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 xml:space="preserve">1. Đối tượng phát hành giấy tờ có giá theo quy định tại Điều </w:t>
      </w:r>
      <w:r w:rsidR="00D3744E" w:rsidRPr="00D3744E">
        <w:rPr>
          <w:rFonts w:asciiTheme="majorHAnsi" w:eastAsia="Times New Roman" w:hAnsiTheme="majorHAnsi" w:cstheme="majorHAnsi"/>
          <w:sz w:val="28"/>
          <w:szCs w:val="28"/>
          <w:lang w:eastAsia="vi-VN"/>
        </w:rPr>
        <w:t>3</w:t>
      </w:r>
      <w:r w:rsidRPr="005732B8">
        <w:rPr>
          <w:rFonts w:asciiTheme="majorHAnsi" w:eastAsia="Times New Roman" w:hAnsiTheme="majorHAnsi" w:cstheme="majorHAnsi"/>
          <w:sz w:val="28"/>
          <w:szCs w:val="28"/>
          <w:lang w:eastAsia="vi-VN"/>
        </w:rPr>
        <w:t xml:space="preserve"> Thông tư này.</w:t>
      </w:r>
    </w:p>
    <w:p w:rsidR="008460FC" w:rsidRPr="005732B8" w:rsidRDefault="008460FC" w:rsidP="008460FC">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 xml:space="preserve">2. Đối tượng mua giấy tờ có giá theo quy định tại Điều </w:t>
      </w:r>
      <w:r w:rsidR="00D3744E" w:rsidRPr="00D3744E">
        <w:rPr>
          <w:rFonts w:asciiTheme="majorHAnsi" w:eastAsia="Times New Roman" w:hAnsiTheme="majorHAnsi" w:cstheme="majorHAnsi"/>
          <w:sz w:val="28"/>
          <w:szCs w:val="28"/>
          <w:lang w:eastAsia="vi-VN"/>
        </w:rPr>
        <w:t>4</w:t>
      </w:r>
      <w:r w:rsidRPr="005732B8">
        <w:rPr>
          <w:rFonts w:asciiTheme="majorHAnsi" w:eastAsia="Times New Roman" w:hAnsiTheme="majorHAnsi" w:cstheme="majorHAnsi"/>
          <w:sz w:val="28"/>
          <w:szCs w:val="28"/>
          <w:lang w:eastAsia="vi-VN"/>
        </w:rPr>
        <w:t xml:space="preserve"> Thông tư này.</w:t>
      </w:r>
    </w:p>
    <w:p w:rsidR="008460FC" w:rsidRPr="001D5C01" w:rsidRDefault="008460FC" w:rsidP="001D5C01">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3. Tổ chức, cá nhân khác có liên quan đến việc phát hành giấy tờ có giá của tổ chức tín dụng, chi nhánh ngân hàng nước ngoài.</w:t>
      </w:r>
    </w:p>
    <w:p w:rsidR="00B65FB9" w:rsidRPr="005732B8" w:rsidRDefault="00B65FB9" w:rsidP="002B276D">
      <w:pPr>
        <w:pStyle w:val="Heading1"/>
        <w:spacing w:line="340" w:lineRule="exact"/>
        <w:rPr>
          <w:rFonts w:eastAsia="Times New Roman"/>
          <w:lang w:eastAsia="vi-VN"/>
        </w:rPr>
      </w:pPr>
      <w:bookmarkStart w:id="9" w:name="dieu_4"/>
      <w:bookmarkEnd w:id="8"/>
      <w:r w:rsidRPr="005732B8">
        <w:rPr>
          <w:rFonts w:eastAsia="Times New Roman"/>
          <w:lang w:eastAsia="vi-VN"/>
        </w:rPr>
        <w:lastRenderedPageBreak/>
        <w:t xml:space="preserve">Điều </w:t>
      </w:r>
      <w:r w:rsidR="00D3744E" w:rsidRPr="00E8012A">
        <w:rPr>
          <w:rFonts w:eastAsia="Times New Roman"/>
          <w:lang w:eastAsia="vi-VN"/>
        </w:rPr>
        <w:t>3</w:t>
      </w:r>
      <w:r w:rsidRPr="005732B8">
        <w:rPr>
          <w:rFonts w:eastAsia="Times New Roman"/>
          <w:lang w:eastAsia="vi-VN"/>
        </w:rPr>
        <w:t>. Đối tượng phát hành giấy tờ có giá</w:t>
      </w:r>
      <w:bookmarkEnd w:id="9"/>
    </w:p>
    <w:p w:rsidR="00DF5076" w:rsidRPr="000D4FD9" w:rsidRDefault="001638CF" w:rsidP="00973E91">
      <w:pPr>
        <w:spacing w:before="120" w:after="0" w:line="340" w:lineRule="exact"/>
        <w:ind w:firstLine="720"/>
        <w:jc w:val="both"/>
        <w:rPr>
          <w:rFonts w:asciiTheme="majorHAnsi" w:hAnsiTheme="majorHAnsi" w:cstheme="majorHAnsi"/>
          <w:sz w:val="28"/>
          <w:szCs w:val="28"/>
        </w:rPr>
      </w:pPr>
      <w:r>
        <w:rPr>
          <w:rFonts w:asciiTheme="majorHAnsi" w:hAnsiTheme="majorHAnsi" w:cstheme="majorHAnsi"/>
          <w:sz w:val="28"/>
          <w:szCs w:val="28"/>
        </w:rPr>
        <w:t>T</w:t>
      </w:r>
      <w:r w:rsidRPr="0091404B">
        <w:rPr>
          <w:rFonts w:asciiTheme="majorHAnsi" w:hAnsiTheme="majorHAnsi" w:cstheme="majorHAnsi"/>
          <w:sz w:val="28"/>
          <w:szCs w:val="28"/>
        </w:rPr>
        <w:t>ổ chức tín dụng</w:t>
      </w:r>
      <w:r w:rsidR="00DF5076" w:rsidRPr="000D4FD9">
        <w:rPr>
          <w:rFonts w:asciiTheme="majorHAnsi" w:hAnsiTheme="majorHAnsi" w:cstheme="majorHAnsi"/>
          <w:sz w:val="28"/>
          <w:szCs w:val="28"/>
        </w:rPr>
        <w:t>, chi nhánh ngân hàng nước ngoài</w:t>
      </w:r>
      <w:r w:rsidRPr="0091404B">
        <w:rPr>
          <w:rFonts w:asciiTheme="majorHAnsi" w:hAnsiTheme="majorHAnsi" w:cstheme="majorHAnsi"/>
          <w:sz w:val="28"/>
          <w:szCs w:val="28"/>
        </w:rPr>
        <w:t xml:space="preserve"> </w:t>
      </w:r>
      <w:r w:rsidR="001940E2" w:rsidRPr="001940E2">
        <w:rPr>
          <w:rFonts w:asciiTheme="majorHAnsi" w:hAnsiTheme="majorHAnsi" w:cstheme="majorHAnsi"/>
          <w:sz w:val="28"/>
          <w:szCs w:val="28"/>
        </w:rPr>
        <w:t>phát hành giấy tờ có giá theo Giấy phép thành lập, hoạt động của tổ chức tín dụng, chi nhánh ngân hàng nướ</w:t>
      </w:r>
      <w:r w:rsidR="001940E2">
        <w:rPr>
          <w:rFonts w:asciiTheme="majorHAnsi" w:hAnsiTheme="majorHAnsi" w:cstheme="majorHAnsi"/>
          <w:sz w:val="28"/>
          <w:szCs w:val="28"/>
        </w:rPr>
        <w:t>c ngoài</w:t>
      </w:r>
      <w:r w:rsidR="001940E2" w:rsidRPr="000D4FD9">
        <w:rPr>
          <w:rFonts w:asciiTheme="majorHAnsi" w:hAnsiTheme="majorHAnsi" w:cstheme="majorHAnsi"/>
          <w:sz w:val="28"/>
          <w:szCs w:val="28"/>
        </w:rPr>
        <w:t>,</w:t>
      </w:r>
      <w:r w:rsidR="00DF5076" w:rsidRPr="00DF5076">
        <w:rPr>
          <w:rFonts w:asciiTheme="majorHAnsi" w:hAnsiTheme="majorHAnsi" w:cstheme="majorHAnsi"/>
          <w:sz w:val="28"/>
          <w:szCs w:val="28"/>
        </w:rPr>
        <w:t xml:space="preserve"> </w:t>
      </w:r>
      <w:r w:rsidRPr="0091404B">
        <w:rPr>
          <w:rFonts w:asciiTheme="majorHAnsi" w:hAnsiTheme="majorHAnsi" w:cstheme="majorHAnsi"/>
          <w:sz w:val="28"/>
          <w:szCs w:val="28"/>
        </w:rPr>
        <w:t>bao gồm</w:t>
      </w:r>
      <w:r w:rsidR="00DF5076" w:rsidRPr="000D4FD9">
        <w:rPr>
          <w:rFonts w:asciiTheme="majorHAnsi" w:hAnsiTheme="majorHAnsi" w:cstheme="majorHAnsi"/>
          <w:sz w:val="28"/>
          <w:szCs w:val="28"/>
        </w:rPr>
        <w:t>:</w:t>
      </w:r>
    </w:p>
    <w:p w:rsidR="00DF5076" w:rsidRPr="000D4FD9" w:rsidRDefault="000F73A7" w:rsidP="00973E91">
      <w:pPr>
        <w:spacing w:before="120" w:after="0" w:line="340" w:lineRule="exact"/>
        <w:ind w:firstLine="720"/>
        <w:jc w:val="both"/>
        <w:rPr>
          <w:rFonts w:asciiTheme="majorHAnsi" w:eastAsia="Times New Roman" w:hAnsiTheme="majorHAnsi" w:cstheme="majorHAnsi"/>
          <w:sz w:val="28"/>
          <w:szCs w:val="28"/>
          <w:lang w:eastAsia="vi-VN"/>
        </w:rPr>
      </w:pPr>
      <w:r w:rsidRPr="000D4FD9">
        <w:rPr>
          <w:rFonts w:asciiTheme="majorHAnsi" w:hAnsiTheme="majorHAnsi" w:cstheme="majorHAnsi"/>
          <w:sz w:val="28"/>
          <w:szCs w:val="28"/>
        </w:rPr>
        <w:t>1</w:t>
      </w:r>
      <w:r w:rsidR="00DF5076" w:rsidRPr="000D4FD9">
        <w:rPr>
          <w:rFonts w:asciiTheme="majorHAnsi" w:hAnsiTheme="majorHAnsi" w:cstheme="majorHAnsi"/>
          <w:sz w:val="28"/>
          <w:szCs w:val="28"/>
        </w:rPr>
        <w:t>. N</w:t>
      </w:r>
      <w:r w:rsidR="00DF5076" w:rsidRPr="00F878E9">
        <w:rPr>
          <w:rFonts w:asciiTheme="majorHAnsi" w:eastAsia="Times New Roman" w:hAnsiTheme="majorHAnsi" w:cstheme="majorHAnsi"/>
          <w:sz w:val="28"/>
          <w:szCs w:val="28"/>
          <w:lang w:eastAsia="vi-VN"/>
        </w:rPr>
        <w:t xml:space="preserve">gân </w:t>
      </w:r>
      <w:r w:rsidR="00F878E9" w:rsidRPr="00F878E9">
        <w:rPr>
          <w:rFonts w:asciiTheme="majorHAnsi" w:eastAsia="Times New Roman" w:hAnsiTheme="majorHAnsi" w:cstheme="majorHAnsi"/>
          <w:sz w:val="28"/>
          <w:szCs w:val="28"/>
          <w:lang w:eastAsia="vi-VN"/>
        </w:rPr>
        <w:t>hàng thương mại</w:t>
      </w:r>
      <w:r w:rsidRPr="000D4FD9">
        <w:rPr>
          <w:rFonts w:asciiTheme="majorHAnsi" w:eastAsia="Times New Roman" w:hAnsiTheme="majorHAnsi" w:cstheme="majorHAnsi"/>
          <w:sz w:val="28"/>
          <w:szCs w:val="28"/>
          <w:lang w:eastAsia="vi-VN"/>
        </w:rPr>
        <w:t>.</w:t>
      </w:r>
    </w:p>
    <w:p w:rsidR="00DF5076" w:rsidRPr="000D4FD9" w:rsidRDefault="000F73A7" w:rsidP="00973E91">
      <w:pPr>
        <w:spacing w:before="120" w:after="0" w:line="340" w:lineRule="exact"/>
        <w:ind w:firstLine="720"/>
        <w:jc w:val="both"/>
        <w:rPr>
          <w:rFonts w:asciiTheme="majorHAnsi" w:eastAsia="Times New Roman" w:hAnsiTheme="majorHAnsi" w:cstheme="majorHAnsi"/>
          <w:sz w:val="28"/>
          <w:szCs w:val="28"/>
          <w:lang w:eastAsia="vi-VN"/>
        </w:rPr>
      </w:pPr>
      <w:r w:rsidRPr="000D4FD9">
        <w:rPr>
          <w:rFonts w:asciiTheme="majorHAnsi" w:eastAsia="Times New Roman" w:hAnsiTheme="majorHAnsi" w:cstheme="majorHAnsi"/>
          <w:sz w:val="28"/>
          <w:szCs w:val="28"/>
          <w:lang w:eastAsia="vi-VN"/>
        </w:rPr>
        <w:t>2</w:t>
      </w:r>
      <w:r w:rsidR="00DF5076" w:rsidRPr="000D4FD9">
        <w:rPr>
          <w:rFonts w:asciiTheme="majorHAnsi" w:eastAsia="Times New Roman" w:hAnsiTheme="majorHAnsi" w:cstheme="majorHAnsi"/>
          <w:sz w:val="28"/>
          <w:szCs w:val="28"/>
          <w:lang w:eastAsia="vi-VN"/>
        </w:rPr>
        <w:t>. N</w:t>
      </w:r>
      <w:r w:rsidR="00F878E9" w:rsidRPr="00F878E9">
        <w:rPr>
          <w:rFonts w:asciiTheme="majorHAnsi" w:eastAsia="Times New Roman" w:hAnsiTheme="majorHAnsi" w:cstheme="majorHAnsi"/>
          <w:sz w:val="28"/>
          <w:szCs w:val="28"/>
          <w:lang w:eastAsia="vi-VN"/>
        </w:rPr>
        <w:t>gân hàng hợp tác xã</w:t>
      </w:r>
      <w:r w:rsidRPr="000D4FD9">
        <w:rPr>
          <w:rFonts w:asciiTheme="majorHAnsi" w:eastAsia="Times New Roman" w:hAnsiTheme="majorHAnsi" w:cstheme="majorHAnsi"/>
          <w:sz w:val="28"/>
          <w:szCs w:val="28"/>
          <w:lang w:eastAsia="vi-VN"/>
        </w:rPr>
        <w:t>.</w:t>
      </w:r>
    </w:p>
    <w:p w:rsidR="000F73A7" w:rsidRPr="000D4FD9" w:rsidRDefault="000F73A7" w:rsidP="00973E91">
      <w:pPr>
        <w:spacing w:before="120" w:after="0" w:line="340" w:lineRule="exact"/>
        <w:ind w:firstLine="720"/>
        <w:jc w:val="both"/>
        <w:rPr>
          <w:rFonts w:asciiTheme="majorHAnsi" w:eastAsia="Times New Roman" w:hAnsiTheme="majorHAnsi" w:cstheme="majorHAnsi"/>
          <w:sz w:val="28"/>
          <w:szCs w:val="28"/>
          <w:lang w:eastAsia="vi-VN"/>
        </w:rPr>
      </w:pPr>
      <w:r w:rsidRPr="000D4FD9">
        <w:rPr>
          <w:rFonts w:asciiTheme="majorHAnsi" w:eastAsia="Times New Roman" w:hAnsiTheme="majorHAnsi" w:cstheme="majorHAnsi"/>
          <w:sz w:val="28"/>
          <w:szCs w:val="28"/>
          <w:lang w:eastAsia="vi-VN"/>
        </w:rPr>
        <w:t>3</w:t>
      </w:r>
      <w:r w:rsidR="00DF5076" w:rsidRPr="000D4FD9">
        <w:rPr>
          <w:rFonts w:asciiTheme="majorHAnsi" w:eastAsia="Times New Roman" w:hAnsiTheme="majorHAnsi" w:cstheme="majorHAnsi"/>
          <w:sz w:val="28"/>
          <w:szCs w:val="28"/>
          <w:lang w:eastAsia="vi-VN"/>
        </w:rPr>
        <w:t>.</w:t>
      </w:r>
      <w:r w:rsidR="00DF5076" w:rsidRPr="00F878E9">
        <w:rPr>
          <w:rFonts w:asciiTheme="majorHAnsi" w:eastAsia="Times New Roman" w:hAnsiTheme="majorHAnsi" w:cstheme="majorHAnsi"/>
          <w:sz w:val="28"/>
          <w:szCs w:val="28"/>
          <w:lang w:eastAsia="vi-VN"/>
        </w:rPr>
        <w:t xml:space="preserve"> </w:t>
      </w:r>
      <w:r w:rsidR="00DF5076" w:rsidRPr="000D4FD9">
        <w:rPr>
          <w:rFonts w:asciiTheme="majorHAnsi" w:eastAsia="Times New Roman" w:hAnsiTheme="majorHAnsi" w:cstheme="majorHAnsi"/>
          <w:sz w:val="28"/>
          <w:szCs w:val="28"/>
          <w:lang w:eastAsia="vi-VN"/>
        </w:rPr>
        <w:t>C</w:t>
      </w:r>
      <w:r w:rsidR="00DF5076" w:rsidRPr="00F878E9">
        <w:rPr>
          <w:rFonts w:asciiTheme="majorHAnsi" w:eastAsia="Times New Roman" w:hAnsiTheme="majorHAnsi" w:cstheme="majorHAnsi"/>
          <w:sz w:val="28"/>
          <w:szCs w:val="28"/>
          <w:lang w:eastAsia="vi-VN"/>
        </w:rPr>
        <w:t xml:space="preserve">hi </w:t>
      </w:r>
      <w:r w:rsidR="00F878E9" w:rsidRPr="00F878E9">
        <w:rPr>
          <w:rFonts w:asciiTheme="majorHAnsi" w:eastAsia="Times New Roman" w:hAnsiTheme="majorHAnsi" w:cstheme="majorHAnsi"/>
          <w:sz w:val="28"/>
          <w:szCs w:val="28"/>
          <w:lang w:eastAsia="vi-VN"/>
        </w:rPr>
        <w:t>nhánh ngân hàng nước ngoài</w:t>
      </w:r>
      <w:r w:rsidRPr="000D4FD9">
        <w:rPr>
          <w:rFonts w:asciiTheme="majorHAnsi" w:eastAsia="Times New Roman" w:hAnsiTheme="majorHAnsi" w:cstheme="majorHAnsi"/>
          <w:sz w:val="28"/>
          <w:szCs w:val="28"/>
          <w:lang w:eastAsia="vi-VN"/>
        </w:rPr>
        <w:t>.</w:t>
      </w:r>
    </w:p>
    <w:p w:rsidR="00973E91" w:rsidRPr="000D4FD9" w:rsidRDefault="000F73A7" w:rsidP="00973E91">
      <w:pPr>
        <w:spacing w:before="120" w:after="0" w:line="340" w:lineRule="exact"/>
        <w:ind w:firstLine="720"/>
        <w:jc w:val="both"/>
        <w:rPr>
          <w:rFonts w:asciiTheme="majorHAnsi" w:eastAsia="Times New Roman" w:hAnsiTheme="majorHAnsi" w:cstheme="majorHAnsi"/>
          <w:sz w:val="28"/>
          <w:szCs w:val="28"/>
          <w:lang w:eastAsia="vi-VN"/>
        </w:rPr>
      </w:pPr>
      <w:r w:rsidRPr="000D4FD9">
        <w:rPr>
          <w:rFonts w:asciiTheme="majorHAnsi" w:eastAsia="Times New Roman" w:hAnsiTheme="majorHAnsi" w:cstheme="majorHAnsi"/>
          <w:sz w:val="28"/>
          <w:szCs w:val="28"/>
          <w:lang w:eastAsia="vi-VN"/>
        </w:rPr>
        <w:t xml:space="preserve">4. </w:t>
      </w:r>
      <w:r w:rsidR="00973E91" w:rsidRPr="009D5245">
        <w:rPr>
          <w:rFonts w:asciiTheme="majorHAnsi" w:eastAsia="Times New Roman" w:hAnsiTheme="majorHAnsi" w:cstheme="majorHAnsi"/>
          <w:sz w:val="28"/>
          <w:szCs w:val="28"/>
          <w:lang w:eastAsia="vi-VN"/>
        </w:rPr>
        <w:t>C</w:t>
      </w:r>
      <w:r w:rsidR="00973E91" w:rsidRPr="00F878E9">
        <w:rPr>
          <w:rFonts w:asciiTheme="majorHAnsi" w:eastAsia="Times New Roman" w:hAnsiTheme="majorHAnsi" w:cstheme="majorHAnsi"/>
          <w:sz w:val="28"/>
          <w:szCs w:val="28"/>
          <w:lang w:eastAsia="vi-VN"/>
        </w:rPr>
        <w:t>ông ty tài chính, công ty cho thuê tài chính.</w:t>
      </w:r>
    </w:p>
    <w:p w:rsidR="00B65FB9" w:rsidRPr="005732B8" w:rsidRDefault="00B65FB9" w:rsidP="002B276D">
      <w:pPr>
        <w:pStyle w:val="Heading1"/>
        <w:spacing w:line="340" w:lineRule="exact"/>
        <w:rPr>
          <w:rFonts w:eastAsia="Times New Roman"/>
          <w:lang w:eastAsia="vi-VN"/>
        </w:rPr>
      </w:pPr>
      <w:bookmarkStart w:id="10" w:name="dieu_5"/>
      <w:r w:rsidRPr="005732B8">
        <w:rPr>
          <w:rFonts w:eastAsia="Times New Roman"/>
          <w:lang w:eastAsia="vi-VN"/>
        </w:rPr>
        <w:t xml:space="preserve">Điều </w:t>
      </w:r>
      <w:r w:rsidR="00D3744E" w:rsidRPr="00E8012A">
        <w:rPr>
          <w:rFonts w:eastAsia="Times New Roman"/>
          <w:lang w:eastAsia="vi-VN"/>
        </w:rPr>
        <w:t>4</w:t>
      </w:r>
      <w:r w:rsidRPr="005732B8">
        <w:rPr>
          <w:rFonts w:eastAsia="Times New Roman"/>
          <w:lang w:eastAsia="vi-VN"/>
        </w:rPr>
        <w:t>. Đối tượng mua giấy tờ có giá</w:t>
      </w:r>
      <w:bookmarkEnd w:id="10"/>
    </w:p>
    <w:p w:rsidR="002F0A98" w:rsidRPr="000D4FD9" w:rsidRDefault="002F0A98" w:rsidP="002F0A98">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Đối tượng mua giấy tờ có giá là các tổ chức, cá nhân Việt Nam và tổ chức, cá nhân nước ngoài</w:t>
      </w:r>
      <w:r w:rsidRPr="002F0A98">
        <w:rPr>
          <w:rFonts w:asciiTheme="majorHAnsi" w:eastAsia="Times New Roman" w:hAnsiTheme="majorHAnsi" w:cstheme="majorHAnsi"/>
          <w:sz w:val="28"/>
          <w:szCs w:val="28"/>
          <w:lang w:eastAsia="vi-VN"/>
        </w:rPr>
        <w:t xml:space="preserve">. </w:t>
      </w:r>
      <w:r w:rsidRPr="005732B8">
        <w:rPr>
          <w:rFonts w:asciiTheme="majorHAnsi" w:eastAsia="Times New Roman" w:hAnsiTheme="majorHAnsi" w:cstheme="majorHAnsi"/>
          <w:sz w:val="28"/>
          <w:szCs w:val="28"/>
          <w:lang w:eastAsia="vi-VN"/>
        </w:rPr>
        <w:t>Đối tượng mua giấy tờ có giá do</w:t>
      </w:r>
      <w:r w:rsidRPr="00E330D7">
        <w:rPr>
          <w:rFonts w:asciiTheme="majorHAnsi" w:eastAsia="Times New Roman" w:hAnsiTheme="majorHAnsi" w:cstheme="majorHAnsi"/>
          <w:sz w:val="28"/>
          <w:szCs w:val="28"/>
          <w:lang w:eastAsia="vi-VN"/>
        </w:rPr>
        <w:t xml:space="preserve"> </w:t>
      </w:r>
      <w:r w:rsidRPr="000D4FD9">
        <w:rPr>
          <w:rFonts w:asciiTheme="majorHAnsi" w:eastAsia="Times New Roman" w:hAnsiTheme="majorHAnsi" w:cstheme="majorHAnsi"/>
          <w:sz w:val="28"/>
          <w:szCs w:val="28"/>
          <w:lang w:eastAsia="vi-VN"/>
        </w:rPr>
        <w:t>c</w:t>
      </w:r>
      <w:r w:rsidRPr="00F878E9">
        <w:rPr>
          <w:rFonts w:asciiTheme="majorHAnsi" w:eastAsia="Times New Roman" w:hAnsiTheme="majorHAnsi" w:cstheme="majorHAnsi"/>
          <w:sz w:val="28"/>
          <w:szCs w:val="28"/>
          <w:lang w:eastAsia="vi-VN"/>
        </w:rPr>
        <w:t xml:space="preserve">ông ty tài chính, công ty cho thuê tài chính </w:t>
      </w:r>
      <w:r w:rsidRPr="009D5245">
        <w:rPr>
          <w:rFonts w:asciiTheme="majorHAnsi" w:eastAsia="Times New Roman" w:hAnsiTheme="majorHAnsi" w:cstheme="majorHAnsi"/>
          <w:sz w:val="28"/>
          <w:szCs w:val="28"/>
          <w:lang w:eastAsia="vi-VN"/>
        </w:rPr>
        <w:t xml:space="preserve">phát hành </w:t>
      </w:r>
      <w:r w:rsidRPr="000D4FD9">
        <w:rPr>
          <w:rFonts w:asciiTheme="majorHAnsi" w:eastAsia="Times New Roman" w:hAnsiTheme="majorHAnsi" w:cstheme="majorHAnsi"/>
          <w:sz w:val="28"/>
          <w:szCs w:val="28"/>
          <w:lang w:eastAsia="vi-VN"/>
        </w:rPr>
        <w:t>là</w:t>
      </w:r>
      <w:r w:rsidRPr="009D5245">
        <w:rPr>
          <w:rFonts w:asciiTheme="majorHAnsi" w:eastAsia="Times New Roman" w:hAnsiTheme="majorHAnsi" w:cstheme="majorHAnsi"/>
          <w:sz w:val="28"/>
          <w:szCs w:val="28"/>
          <w:lang w:eastAsia="vi-VN"/>
        </w:rPr>
        <w:t xml:space="preserve"> tổ chức</w:t>
      </w:r>
      <w:r w:rsidRPr="000D4FD9">
        <w:rPr>
          <w:rFonts w:asciiTheme="majorHAnsi" w:eastAsia="Times New Roman" w:hAnsiTheme="majorHAnsi" w:cstheme="majorHAnsi"/>
          <w:sz w:val="28"/>
          <w:szCs w:val="28"/>
          <w:lang w:eastAsia="vi-VN"/>
        </w:rPr>
        <w:t>.</w:t>
      </w:r>
    </w:p>
    <w:p w:rsidR="00D3744E" w:rsidRPr="008460FC" w:rsidRDefault="00D3744E" w:rsidP="00D3744E">
      <w:pPr>
        <w:pStyle w:val="Heading1"/>
        <w:spacing w:line="340" w:lineRule="exact"/>
        <w:rPr>
          <w:rFonts w:eastAsia="Times New Roman" w:cstheme="majorHAnsi"/>
          <w:lang w:eastAsia="vi-VN"/>
        </w:rPr>
      </w:pPr>
      <w:bookmarkStart w:id="11" w:name="dieu_3"/>
      <w:r w:rsidRPr="005732B8">
        <w:rPr>
          <w:rFonts w:eastAsia="Times New Roman"/>
          <w:lang w:eastAsia="vi-VN"/>
        </w:rPr>
        <w:t xml:space="preserve">Điều </w:t>
      </w:r>
      <w:r w:rsidRPr="00E8012A">
        <w:rPr>
          <w:rFonts w:eastAsia="Times New Roman"/>
          <w:lang w:eastAsia="vi-VN"/>
        </w:rPr>
        <w:t>5</w:t>
      </w:r>
      <w:r w:rsidRPr="005732B8">
        <w:rPr>
          <w:rFonts w:eastAsia="Times New Roman"/>
          <w:lang w:eastAsia="vi-VN"/>
        </w:rPr>
        <w:t xml:space="preserve">. </w:t>
      </w:r>
      <w:bookmarkEnd w:id="11"/>
      <w:r w:rsidRPr="005732B8">
        <w:rPr>
          <w:rFonts w:eastAsia="Times New Roman"/>
          <w:lang w:eastAsia="vi-VN"/>
        </w:rPr>
        <w:t>Giải thích từ ngữ</w:t>
      </w:r>
    </w:p>
    <w:p w:rsidR="00D3744E" w:rsidRPr="005732B8" w:rsidRDefault="00D3744E" w:rsidP="00D3744E">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Trong Thông tư này, các từ ngữ dưới đây được hiểu như sau:</w:t>
      </w:r>
    </w:p>
    <w:p w:rsidR="00D3744E" w:rsidRPr="005732B8" w:rsidRDefault="00D3744E" w:rsidP="00D3744E">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 xml:space="preserve">1. Kỳ phiếu, tín phiếu, chứng chỉ tiền gửi, trái phiếu là bằng chứng xác nhận nghĩa vụ trả nợ giữa tổ chức tín dụng, chi nhánh ngân hàng nước ngoài phát hành với người  mua giấy tờ có giá trong một </w:t>
      </w:r>
      <w:r w:rsidRPr="005732B8">
        <w:rPr>
          <w:rFonts w:asciiTheme="majorHAnsi" w:eastAsia="Times New Roman" w:hAnsiTheme="majorHAnsi" w:cstheme="majorHAnsi"/>
          <w:sz w:val="28"/>
          <w:szCs w:val="28"/>
          <w:shd w:val="clear" w:color="auto" w:fill="FFFFFF"/>
          <w:lang w:eastAsia="vi-VN"/>
        </w:rPr>
        <w:t>thời</w:t>
      </w:r>
      <w:r w:rsidRPr="005732B8">
        <w:rPr>
          <w:rFonts w:asciiTheme="majorHAnsi" w:eastAsia="Times New Roman" w:hAnsiTheme="majorHAnsi" w:cstheme="majorHAnsi"/>
          <w:sz w:val="28"/>
          <w:szCs w:val="28"/>
          <w:lang w:eastAsia="vi-VN"/>
        </w:rPr>
        <w:t xml:space="preserve"> hạn nhất định, </w:t>
      </w:r>
      <w:r w:rsidRPr="005732B8">
        <w:rPr>
          <w:rFonts w:asciiTheme="majorHAnsi" w:eastAsia="Times New Roman" w:hAnsiTheme="majorHAnsi" w:cstheme="majorHAnsi"/>
          <w:sz w:val="28"/>
          <w:szCs w:val="28"/>
          <w:shd w:val="clear" w:color="auto" w:fill="FFFFFF"/>
          <w:lang w:eastAsia="vi-VN"/>
        </w:rPr>
        <w:t>điều kiện</w:t>
      </w:r>
      <w:r w:rsidRPr="005732B8">
        <w:rPr>
          <w:rFonts w:asciiTheme="majorHAnsi" w:eastAsia="Times New Roman" w:hAnsiTheme="majorHAnsi" w:cstheme="majorHAnsi"/>
          <w:sz w:val="28"/>
          <w:szCs w:val="28"/>
          <w:lang w:eastAsia="vi-VN"/>
        </w:rPr>
        <w:t xml:space="preserve"> trả lãi và các điều kiện khác.</w:t>
      </w:r>
    </w:p>
    <w:p w:rsidR="00D3744E" w:rsidRPr="005732B8" w:rsidRDefault="00D3744E" w:rsidP="00D3744E">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2. Giấy tờ có giá ghi danh là giấy tờ có giá phát hành theo hình thức chứng chỉ hoặc ghi sổ có ghi tên người sở hữu.</w:t>
      </w:r>
    </w:p>
    <w:p w:rsidR="00D3744E" w:rsidRPr="002B276D" w:rsidRDefault="00D3744E" w:rsidP="00D3744E">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3. Giấy tờ có giá vô danh là giấy tờ có giá phát hành theo hình thức chứng chỉ không ghi tên người sở hữu. Giấy tờ có giá vô danh thuộc quyền sở hữu của người nắm giữ giấy tờ có giá.</w:t>
      </w:r>
    </w:p>
    <w:p w:rsidR="00D3744E" w:rsidRPr="00D3744E" w:rsidRDefault="00D3744E" w:rsidP="00D3744E">
      <w:pPr>
        <w:spacing w:before="120" w:after="0" w:line="340" w:lineRule="exact"/>
        <w:ind w:firstLine="720"/>
        <w:jc w:val="both"/>
        <w:rPr>
          <w:rFonts w:asciiTheme="majorHAnsi" w:eastAsia="Times New Roman" w:hAnsiTheme="majorHAnsi" w:cstheme="majorHAnsi"/>
          <w:sz w:val="28"/>
          <w:szCs w:val="28"/>
          <w:lang w:eastAsia="vi-VN"/>
        </w:rPr>
      </w:pPr>
      <w:r w:rsidRPr="00B4211D">
        <w:rPr>
          <w:rFonts w:asciiTheme="majorHAnsi" w:eastAsia="Times New Roman" w:hAnsiTheme="majorHAnsi" w:cstheme="majorHAnsi"/>
          <w:sz w:val="28"/>
          <w:szCs w:val="28"/>
          <w:lang w:eastAsia="vi-VN"/>
        </w:rPr>
        <w:t>4. Giấy tờ có giá ngắn hạn có thời hạn dưới một năm, giấy tờ có giá dài hạn có thời hạn từ một năm trở lên, trái phiếu có thời hạn từ một năm trở lên.</w:t>
      </w:r>
    </w:p>
    <w:p w:rsidR="00B65FB9" w:rsidRPr="005732B8" w:rsidRDefault="00B65FB9" w:rsidP="002B276D">
      <w:pPr>
        <w:pStyle w:val="Heading1"/>
        <w:spacing w:line="340" w:lineRule="exact"/>
        <w:rPr>
          <w:rFonts w:eastAsia="Times New Roman"/>
          <w:lang w:eastAsia="vi-VN"/>
        </w:rPr>
      </w:pPr>
      <w:bookmarkStart w:id="12" w:name="dieu_7"/>
      <w:r w:rsidRPr="005732B8">
        <w:rPr>
          <w:rFonts w:eastAsia="Times New Roman"/>
          <w:lang w:eastAsia="vi-VN"/>
        </w:rPr>
        <w:t xml:space="preserve">Điều </w:t>
      </w:r>
      <w:r w:rsidR="000E6F3B" w:rsidRPr="005732B8">
        <w:rPr>
          <w:rFonts w:eastAsia="Times New Roman"/>
          <w:lang w:eastAsia="vi-VN"/>
        </w:rPr>
        <w:t>6</w:t>
      </w:r>
      <w:r w:rsidRPr="005732B8">
        <w:rPr>
          <w:rFonts w:eastAsia="Times New Roman"/>
          <w:lang w:eastAsia="vi-VN"/>
        </w:rPr>
        <w:t>. Hình thức phát hành</w:t>
      </w:r>
      <w:bookmarkEnd w:id="12"/>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1. Tổ chức tín dụng, chi nhánh ngân hàng nước ngoài phát hành giấy tờ có giá theo hình thức giấy tờ có giá ghi danh, giấy tờ có giá vô danh.</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 xml:space="preserve">2. </w:t>
      </w:r>
      <w:r w:rsidR="00CF6283" w:rsidRPr="009D5245">
        <w:rPr>
          <w:rFonts w:asciiTheme="majorHAnsi" w:eastAsia="Times New Roman" w:hAnsiTheme="majorHAnsi" w:cstheme="majorHAnsi"/>
          <w:sz w:val="28"/>
          <w:szCs w:val="28"/>
          <w:lang w:eastAsia="vi-VN"/>
        </w:rPr>
        <w:t xml:space="preserve">Đối với </w:t>
      </w:r>
      <w:r w:rsidR="00CF6283" w:rsidRPr="005732B8">
        <w:rPr>
          <w:rFonts w:asciiTheme="majorHAnsi" w:eastAsia="Times New Roman" w:hAnsiTheme="majorHAnsi" w:cstheme="majorHAnsi"/>
          <w:sz w:val="28"/>
          <w:szCs w:val="28"/>
          <w:lang w:eastAsia="vi-VN"/>
        </w:rPr>
        <w:t>người mua giấy tờ có giá là tổ chức nước ngoài, cá nhân nước ngoài</w:t>
      </w:r>
      <w:r w:rsidR="00EF06CD" w:rsidRPr="009D5245">
        <w:rPr>
          <w:rFonts w:asciiTheme="majorHAnsi" w:eastAsia="Times New Roman" w:hAnsiTheme="majorHAnsi" w:cstheme="majorHAnsi"/>
          <w:sz w:val="28"/>
          <w:szCs w:val="28"/>
          <w:lang w:eastAsia="vi-VN"/>
        </w:rPr>
        <w:t>:</w:t>
      </w:r>
      <w:r w:rsidR="00CF6283" w:rsidRPr="009D5245">
        <w:rPr>
          <w:rFonts w:asciiTheme="majorHAnsi" w:eastAsia="Times New Roman" w:hAnsiTheme="majorHAnsi" w:cstheme="majorHAnsi"/>
          <w:sz w:val="28"/>
          <w:szCs w:val="28"/>
          <w:lang w:eastAsia="vi-VN"/>
        </w:rPr>
        <w:t xml:space="preserve"> t</w:t>
      </w:r>
      <w:r w:rsidRPr="005732B8">
        <w:rPr>
          <w:rFonts w:asciiTheme="majorHAnsi" w:eastAsia="Times New Roman" w:hAnsiTheme="majorHAnsi" w:cstheme="majorHAnsi"/>
          <w:sz w:val="28"/>
          <w:szCs w:val="28"/>
          <w:lang w:eastAsia="vi-VN"/>
        </w:rPr>
        <w:t>ổ chức tín dụng, chi nhánh ngân hàng nước ngoài chỉ được phát hành giấy tờ có giá theo hình thức giấy tờ có giá ghi danh.</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 xml:space="preserve">3. Trường hợp phát hành giấy tờ có giá theo hình thức ghi sổ, tổ chức tín dụng, chi nhánh ngân hàng nước ngoài phát hành </w:t>
      </w:r>
      <w:r w:rsidRPr="005732B8">
        <w:rPr>
          <w:rFonts w:asciiTheme="majorHAnsi" w:eastAsia="Times New Roman" w:hAnsiTheme="majorHAnsi" w:cstheme="majorHAnsi"/>
          <w:sz w:val="28"/>
          <w:szCs w:val="28"/>
          <w:shd w:val="clear" w:color="auto" w:fill="FFFFFF"/>
          <w:lang w:eastAsia="vi-VN"/>
        </w:rPr>
        <w:t>cấp</w:t>
      </w:r>
      <w:r w:rsidRPr="005732B8">
        <w:rPr>
          <w:rFonts w:asciiTheme="majorHAnsi" w:eastAsia="Times New Roman" w:hAnsiTheme="majorHAnsi" w:cstheme="majorHAnsi"/>
          <w:sz w:val="28"/>
          <w:szCs w:val="28"/>
          <w:lang w:eastAsia="vi-VN"/>
        </w:rPr>
        <w:t xml:space="preserve"> cho người mua giấy chứng nhận quyền sở hữu giấy tờ có giá.</w:t>
      </w:r>
    </w:p>
    <w:p w:rsidR="00B65FB9" w:rsidRPr="005732B8" w:rsidRDefault="00B65FB9" w:rsidP="002B276D">
      <w:pPr>
        <w:pStyle w:val="Heading1"/>
        <w:spacing w:line="340" w:lineRule="exact"/>
        <w:rPr>
          <w:rFonts w:eastAsia="Times New Roman"/>
          <w:lang w:eastAsia="vi-VN"/>
        </w:rPr>
      </w:pPr>
      <w:bookmarkStart w:id="13" w:name="dieu_8"/>
      <w:r w:rsidRPr="005732B8">
        <w:rPr>
          <w:rFonts w:eastAsia="Times New Roman"/>
          <w:lang w:eastAsia="vi-VN"/>
        </w:rPr>
        <w:lastRenderedPageBreak/>
        <w:t xml:space="preserve">Điều </w:t>
      </w:r>
      <w:r w:rsidR="004A26E3" w:rsidRPr="005732B8">
        <w:rPr>
          <w:rFonts w:eastAsia="Times New Roman"/>
          <w:lang w:eastAsia="vi-VN"/>
        </w:rPr>
        <w:t>7</w:t>
      </w:r>
      <w:r w:rsidRPr="005732B8">
        <w:rPr>
          <w:rFonts w:eastAsia="Times New Roman"/>
          <w:lang w:eastAsia="vi-VN"/>
        </w:rPr>
        <w:t>. Các nội dung của giấy tờ có giá</w:t>
      </w:r>
      <w:bookmarkEnd w:id="13"/>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1. Giấy tờ có giá</w:t>
      </w:r>
      <w:r w:rsidR="005941FE" w:rsidRPr="000D4FD9">
        <w:rPr>
          <w:rFonts w:asciiTheme="majorHAnsi" w:eastAsia="Times New Roman" w:hAnsiTheme="majorHAnsi" w:cstheme="majorHAnsi"/>
          <w:sz w:val="28"/>
          <w:szCs w:val="28"/>
          <w:lang w:eastAsia="vi-VN"/>
        </w:rPr>
        <w:t xml:space="preserve"> phát hành theo hình thức chứng chỉ, </w:t>
      </w:r>
      <w:r w:rsidR="005941FE" w:rsidRPr="005941FE">
        <w:rPr>
          <w:rFonts w:asciiTheme="majorHAnsi" w:eastAsia="Times New Roman" w:hAnsiTheme="majorHAnsi" w:cstheme="majorHAnsi"/>
          <w:sz w:val="28"/>
          <w:szCs w:val="28"/>
          <w:lang w:eastAsia="vi-VN"/>
        </w:rPr>
        <w:t>giấy chứng nhận quyền sở hữu giấy tờ có giá</w:t>
      </w:r>
      <w:r w:rsidR="005941FE" w:rsidRPr="000D4FD9">
        <w:rPr>
          <w:rFonts w:asciiTheme="majorHAnsi" w:eastAsia="Times New Roman" w:hAnsiTheme="majorHAnsi" w:cstheme="majorHAnsi"/>
          <w:sz w:val="28"/>
          <w:szCs w:val="28"/>
          <w:lang w:eastAsia="vi-VN"/>
        </w:rPr>
        <w:t xml:space="preserve"> phát hành theo hình thức ghi sổ</w:t>
      </w:r>
      <w:r w:rsidRPr="005732B8">
        <w:rPr>
          <w:rFonts w:asciiTheme="majorHAnsi" w:eastAsia="Times New Roman" w:hAnsiTheme="majorHAnsi" w:cstheme="majorHAnsi"/>
          <w:sz w:val="28"/>
          <w:szCs w:val="28"/>
          <w:lang w:eastAsia="vi-VN"/>
        </w:rPr>
        <w:t xml:space="preserve"> phải bao gồm </w:t>
      </w:r>
      <w:r w:rsidR="00146903" w:rsidRPr="005732B8">
        <w:rPr>
          <w:rFonts w:asciiTheme="majorHAnsi" w:eastAsia="Times New Roman" w:hAnsiTheme="majorHAnsi" w:cstheme="majorHAnsi"/>
          <w:sz w:val="28"/>
          <w:szCs w:val="28"/>
          <w:lang w:eastAsia="vi-VN"/>
        </w:rPr>
        <w:t xml:space="preserve">tối thiểu </w:t>
      </w:r>
      <w:r w:rsidRPr="005732B8">
        <w:rPr>
          <w:rFonts w:asciiTheme="majorHAnsi" w:eastAsia="Times New Roman" w:hAnsiTheme="majorHAnsi" w:cstheme="majorHAnsi"/>
          <w:sz w:val="28"/>
          <w:szCs w:val="28"/>
          <w:lang w:eastAsia="vi-VN"/>
        </w:rPr>
        <w:t>các nội dung sau:</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a) Tên tổ chức phát hành;</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b) Tên gọi giấy tờ có giá (kỳ phiếu, tín phiếu, chứng chỉ tiền gửi, trái phiếu, trái phiếu chuyển đổi, trái phiếu kèm chứng quyền);</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c) Mệnh giá, thời hạn, ngày phát hành, ngày đến hạn thanh toán;</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d) Lãi suất, phương thức trả lãi, thời điểm trả lãi, địa điểm thanh toán gốc và lãi của giấy tờ có giá;</w:t>
      </w:r>
    </w:p>
    <w:p w:rsidR="00B65FB9" w:rsidRPr="005732B8" w:rsidRDefault="00743B86" w:rsidP="002B276D">
      <w:pPr>
        <w:spacing w:before="120" w:after="0" w:line="340" w:lineRule="exact"/>
        <w:ind w:firstLine="720"/>
        <w:jc w:val="both"/>
        <w:rPr>
          <w:rFonts w:asciiTheme="majorHAnsi" w:eastAsia="Times New Roman" w:hAnsiTheme="majorHAnsi" w:cstheme="majorHAnsi"/>
          <w:sz w:val="28"/>
          <w:szCs w:val="28"/>
          <w:lang w:eastAsia="vi-VN"/>
        </w:rPr>
      </w:pPr>
      <w:r w:rsidRPr="00743B86">
        <w:rPr>
          <w:rFonts w:asciiTheme="majorHAnsi" w:eastAsia="Times New Roman" w:hAnsiTheme="majorHAnsi" w:cstheme="majorHAnsi"/>
          <w:sz w:val="28"/>
          <w:szCs w:val="28"/>
          <w:lang w:eastAsia="vi-VN"/>
        </w:rPr>
        <w:t>đ</w:t>
      </w:r>
      <w:r w:rsidR="00B65FB9" w:rsidRPr="005732B8">
        <w:rPr>
          <w:rFonts w:asciiTheme="majorHAnsi" w:eastAsia="Times New Roman" w:hAnsiTheme="majorHAnsi" w:cstheme="majorHAnsi"/>
          <w:sz w:val="28"/>
          <w:szCs w:val="28"/>
          <w:lang w:eastAsia="vi-VN"/>
        </w:rPr>
        <w:t>) Ghi rõ giấy tờ có giá ghi danh, vô danh;</w:t>
      </w:r>
    </w:p>
    <w:p w:rsidR="00B65FB9" w:rsidRPr="005732B8" w:rsidRDefault="00743B86" w:rsidP="002B276D">
      <w:pPr>
        <w:spacing w:before="120" w:after="0" w:line="340" w:lineRule="exact"/>
        <w:ind w:firstLine="720"/>
        <w:jc w:val="both"/>
        <w:rPr>
          <w:rFonts w:asciiTheme="majorHAnsi" w:eastAsia="Times New Roman" w:hAnsiTheme="majorHAnsi" w:cstheme="majorHAnsi"/>
          <w:sz w:val="28"/>
          <w:szCs w:val="28"/>
          <w:lang w:eastAsia="vi-VN"/>
        </w:rPr>
      </w:pPr>
      <w:r w:rsidRPr="00743B86">
        <w:rPr>
          <w:rFonts w:asciiTheme="majorHAnsi" w:eastAsia="Times New Roman" w:hAnsiTheme="majorHAnsi" w:cstheme="majorHAnsi"/>
          <w:sz w:val="28"/>
          <w:szCs w:val="28"/>
          <w:lang w:eastAsia="vi-VN"/>
        </w:rPr>
        <w:t>e</w:t>
      </w:r>
      <w:r w:rsidR="00B65FB9" w:rsidRPr="005732B8">
        <w:rPr>
          <w:rFonts w:asciiTheme="majorHAnsi" w:eastAsia="Times New Roman" w:hAnsiTheme="majorHAnsi" w:cstheme="majorHAnsi"/>
          <w:sz w:val="28"/>
          <w:szCs w:val="28"/>
          <w:lang w:eastAsia="vi-VN"/>
        </w:rPr>
        <w:t xml:space="preserve">) Đối với giấy tờ có giá ghi danh phải ghi rõ tên tổ chức, số giấy phép thành lập hoặc giấy phép đăng ký kinh doanh, địa chỉ của tổ chức mua giấy tờ có giá (nếu người mua là </w:t>
      </w:r>
      <w:r w:rsidR="00B65FB9" w:rsidRPr="005732B8">
        <w:rPr>
          <w:rFonts w:asciiTheme="majorHAnsi" w:eastAsia="Times New Roman" w:hAnsiTheme="majorHAnsi" w:cstheme="majorHAnsi"/>
          <w:sz w:val="28"/>
          <w:szCs w:val="28"/>
          <w:shd w:val="clear" w:color="auto" w:fill="FFFFFF"/>
          <w:lang w:eastAsia="vi-VN"/>
        </w:rPr>
        <w:t>tổ chức</w:t>
      </w:r>
      <w:r w:rsidR="00B65FB9" w:rsidRPr="005732B8">
        <w:rPr>
          <w:rFonts w:asciiTheme="majorHAnsi" w:eastAsia="Times New Roman" w:hAnsiTheme="majorHAnsi" w:cstheme="majorHAnsi"/>
          <w:sz w:val="28"/>
          <w:szCs w:val="28"/>
          <w:lang w:eastAsia="vi-VN"/>
        </w:rPr>
        <w:t xml:space="preserve">); tên, số chứng minh nhân dân </w:t>
      </w:r>
      <w:r w:rsidR="00116B2A" w:rsidRPr="00116B2A">
        <w:rPr>
          <w:rFonts w:asciiTheme="majorHAnsi" w:eastAsia="Times New Roman" w:hAnsiTheme="majorHAnsi" w:cstheme="majorHAnsi"/>
          <w:sz w:val="28"/>
          <w:szCs w:val="28"/>
          <w:lang w:eastAsia="vi-VN"/>
        </w:rPr>
        <w:t>hoặc Thẻ căn cước công dân hoặc Hộ chiếu còn thời hạn hiệu lực</w:t>
      </w:r>
      <w:r w:rsidR="00B65FB9" w:rsidRPr="005732B8">
        <w:rPr>
          <w:rFonts w:asciiTheme="majorHAnsi" w:eastAsia="Times New Roman" w:hAnsiTheme="majorHAnsi" w:cstheme="majorHAnsi"/>
          <w:sz w:val="28"/>
          <w:szCs w:val="28"/>
          <w:lang w:eastAsia="vi-VN"/>
        </w:rPr>
        <w:t>, địa chỉ của người mua giấy tờ có giá (nếu người mua là cá nhân);</w:t>
      </w:r>
    </w:p>
    <w:p w:rsidR="00B65FB9" w:rsidRPr="005732B8" w:rsidRDefault="00743B86" w:rsidP="002B276D">
      <w:pPr>
        <w:spacing w:before="120" w:after="0" w:line="340" w:lineRule="exact"/>
        <w:ind w:firstLine="720"/>
        <w:jc w:val="both"/>
        <w:rPr>
          <w:rFonts w:asciiTheme="majorHAnsi" w:eastAsia="Times New Roman" w:hAnsiTheme="majorHAnsi" w:cstheme="majorHAnsi"/>
          <w:sz w:val="28"/>
          <w:szCs w:val="28"/>
          <w:lang w:eastAsia="vi-VN"/>
        </w:rPr>
      </w:pPr>
      <w:r w:rsidRPr="00743B86">
        <w:rPr>
          <w:rFonts w:asciiTheme="majorHAnsi" w:eastAsia="Times New Roman" w:hAnsiTheme="majorHAnsi" w:cstheme="majorHAnsi"/>
          <w:sz w:val="28"/>
          <w:szCs w:val="28"/>
          <w:lang w:eastAsia="vi-VN"/>
        </w:rPr>
        <w:t>g</w:t>
      </w:r>
      <w:r w:rsidR="00B65FB9" w:rsidRPr="005732B8">
        <w:rPr>
          <w:rFonts w:asciiTheme="majorHAnsi" w:eastAsia="Times New Roman" w:hAnsiTheme="majorHAnsi" w:cstheme="majorHAnsi"/>
          <w:sz w:val="28"/>
          <w:szCs w:val="28"/>
          <w:lang w:eastAsia="vi-VN"/>
        </w:rPr>
        <w:t>) Đối với trái phiếu chuyển đổi phải ghi rõ thời hạn chuyển đổi trái phiếu, tỷ lệ chuyển đổi trái phiếu thành cổ phiếu;</w:t>
      </w:r>
    </w:p>
    <w:p w:rsidR="00B65FB9" w:rsidRPr="005732B8" w:rsidRDefault="00743B86" w:rsidP="002B276D">
      <w:pPr>
        <w:spacing w:before="120" w:after="0" w:line="340" w:lineRule="exact"/>
        <w:ind w:firstLine="720"/>
        <w:jc w:val="both"/>
        <w:rPr>
          <w:rFonts w:asciiTheme="majorHAnsi" w:eastAsia="Times New Roman" w:hAnsiTheme="majorHAnsi" w:cstheme="majorHAnsi"/>
          <w:sz w:val="28"/>
          <w:szCs w:val="28"/>
          <w:lang w:eastAsia="vi-VN"/>
        </w:rPr>
      </w:pPr>
      <w:r w:rsidRPr="00743B86">
        <w:rPr>
          <w:rFonts w:asciiTheme="majorHAnsi" w:eastAsia="Times New Roman" w:hAnsiTheme="majorHAnsi" w:cstheme="majorHAnsi"/>
          <w:sz w:val="28"/>
          <w:szCs w:val="28"/>
          <w:lang w:eastAsia="vi-VN"/>
        </w:rPr>
        <w:t>h</w:t>
      </w:r>
      <w:r w:rsidR="00B65FB9" w:rsidRPr="005732B8">
        <w:rPr>
          <w:rFonts w:asciiTheme="majorHAnsi" w:eastAsia="Times New Roman" w:hAnsiTheme="majorHAnsi" w:cstheme="majorHAnsi"/>
          <w:sz w:val="28"/>
          <w:szCs w:val="28"/>
          <w:lang w:eastAsia="vi-VN"/>
        </w:rPr>
        <w:t>) Đối với trái phiếu kèm chứng quyền phải ghi rõ điều kiện được mua cổ phiếu phổ thông của người sở hữu chứng quyền, số lượng cổ phiếu được mua của từng đơn vị chứng quyền;</w:t>
      </w:r>
    </w:p>
    <w:p w:rsidR="00B65FB9" w:rsidRPr="005732B8" w:rsidRDefault="00743B86" w:rsidP="002B276D">
      <w:pPr>
        <w:spacing w:before="120" w:after="0" w:line="340" w:lineRule="exact"/>
        <w:ind w:firstLine="720"/>
        <w:jc w:val="both"/>
        <w:rPr>
          <w:rFonts w:asciiTheme="majorHAnsi" w:eastAsia="Times New Roman" w:hAnsiTheme="majorHAnsi" w:cstheme="majorHAnsi"/>
          <w:sz w:val="28"/>
          <w:szCs w:val="28"/>
          <w:lang w:eastAsia="vi-VN"/>
        </w:rPr>
      </w:pPr>
      <w:r w:rsidRPr="00743B86">
        <w:rPr>
          <w:rFonts w:asciiTheme="majorHAnsi" w:eastAsia="Times New Roman" w:hAnsiTheme="majorHAnsi" w:cstheme="majorHAnsi"/>
          <w:sz w:val="28"/>
          <w:szCs w:val="28"/>
          <w:lang w:eastAsia="vi-VN"/>
        </w:rPr>
        <w:t>i</w:t>
      </w:r>
      <w:r w:rsidR="00B65FB9" w:rsidRPr="005732B8">
        <w:rPr>
          <w:rFonts w:asciiTheme="majorHAnsi" w:eastAsia="Times New Roman" w:hAnsiTheme="majorHAnsi" w:cstheme="majorHAnsi"/>
          <w:sz w:val="28"/>
          <w:szCs w:val="28"/>
          <w:lang w:eastAsia="vi-VN"/>
        </w:rPr>
        <w:t>) Ký hiệu, số sê-ri phát hành;</w:t>
      </w:r>
    </w:p>
    <w:p w:rsidR="00B65FB9" w:rsidRPr="005732B8" w:rsidRDefault="00743B86" w:rsidP="002B276D">
      <w:pPr>
        <w:spacing w:before="120" w:after="0" w:line="340" w:lineRule="exact"/>
        <w:ind w:firstLine="720"/>
        <w:jc w:val="both"/>
        <w:rPr>
          <w:rFonts w:asciiTheme="majorHAnsi" w:eastAsia="Times New Roman" w:hAnsiTheme="majorHAnsi" w:cstheme="majorHAnsi"/>
          <w:sz w:val="28"/>
          <w:szCs w:val="28"/>
          <w:lang w:eastAsia="vi-VN"/>
        </w:rPr>
      </w:pPr>
      <w:r w:rsidRPr="00743B86">
        <w:rPr>
          <w:rFonts w:asciiTheme="majorHAnsi" w:eastAsia="Times New Roman" w:hAnsiTheme="majorHAnsi" w:cstheme="majorHAnsi"/>
          <w:sz w:val="28"/>
          <w:szCs w:val="28"/>
          <w:lang w:eastAsia="vi-VN"/>
        </w:rPr>
        <w:t>k</w:t>
      </w:r>
      <w:r w:rsidR="00B65FB9" w:rsidRPr="005732B8">
        <w:rPr>
          <w:rFonts w:asciiTheme="majorHAnsi" w:eastAsia="Times New Roman" w:hAnsiTheme="majorHAnsi" w:cstheme="majorHAnsi"/>
          <w:sz w:val="28"/>
          <w:szCs w:val="28"/>
          <w:lang w:eastAsia="vi-VN"/>
        </w:rPr>
        <w:t>) Phiếu trả lãi kèm theo giấy tờ có giá phải có các chi tiết liên quan đến giấy tờ có giá (số sê-ri, mệnh giá), lãi suất, số tiền được lĩnh, kỳ hạn lĩnh lãi;</w:t>
      </w:r>
    </w:p>
    <w:p w:rsidR="00B65FB9" w:rsidRPr="005732B8" w:rsidRDefault="00743B86" w:rsidP="002B276D">
      <w:pPr>
        <w:spacing w:before="120" w:after="0" w:line="340" w:lineRule="exact"/>
        <w:ind w:firstLine="720"/>
        <w:jc w:val="both"/>
        <w:rPr>
          <w:rFonts w:asciiTheme="majorHAnsi" w:eastAsia="Times New Roman" w:hAnsiTheme="majorHAnsi" w:cstheme="majorHAnsi"/>
          <w:sz w:val="28"/>
          <w:szCs w:val="28"/>
          <w:lang w:eastAsia="vi-VN"/>
        </w:rPr>
      </w:pPr>
      <w:r w:rsidRPr="00743B86">
        <w:rPr>
          <w:rFonts w:asciiTheme="majorHAnsi" w:eastAsia="Times New Roman" w:hAnsiTheme="majorHAnsi" w:cstheme="majorHAnsi"/>
          <w:sz w:val="28"/>
          <w:szCs w:val="28"/>
          <w:lang w:eastAsia="vi-VN"/>
        </w:rPr>
        <w:t>l</w:t>
      </w:r>
      <w:r w:rsidR="00B65FB9" w:rsidRPr="005732B8">
        <w:rPr>
          <w:rFonts w:asciiTheme="majorHAnsi" w:eastAsia="Times New Roman" w:hAnsiTheme="majorHAnsi" w:cstheme="majorHAnsi"/>
          <w:sz w:val="28"/>
          <w:szCs w:val="28"/>
          <w:lang w:eastAsia="vi-VN"/>
        </w:rPr>
        <w:t xml:space="preserve">) </w:t>
      </w:r>
      <w:r w:rsidR="00224499" w:rsidRPr="00224499">
        <w:rPr>
          <w:rFonts w:asciiTheme="majorHAnsi" w:hAnsiTheme="majorHAnsi" w:cstheme="majorHAnsi"/>
          <w:sz w:val="28"/>
          <w:szCs w:val="28"/>
        </w:rPr>
        <w:t xml:space="preserve">Chữ ký của người đại diện </w:t>
      </w:r>
      <w:r w:rsidR="00C138B7" w:rsidRPr="00C138B7">
        <w:rPr>
          <w:rFonts w:asciiTheme="majorHAnsi" w:hAnsiTheme="majorHAnsi" w:cstheme="majorHAnsi"/>
          <w:sz w:val="28"/>
          <w:szCs w:val="28"/>
        </w:rPr>
        <w:t>hợp pháp</w:t>
      </w:r>
      <w:r w:rsidR="00224499" w:rsidRPr="00224499">
        <w:rPr>
          <w:rFonts w:asciiTheme="majorHAnsi" w:hAnsiTheme="majorHAnsi" w:cstheme="majorHAnsi"/>
          <w:sz w:val="28"/>
          <w:szCs w:val="28"/>
        </w:rPr>
        <w:t xml:space="preserve"> của tổ chức tín dụng, chi nhánh ngân hàng nước ngoài phát</w:t>
      </w:r>
      <w:r w:rsidR="00C138B7">
        <w:rPr>
          <w:rFonts w:asciiTheme="majorHAnsi" w:hAnsiTheme="majorHAnsi" w:cstheme="majorHAnsi"/>
          <w:sz w:val="28"/>
          <w:szCs w:val="28"/>
        </w:rPr>
        <w:t xml:space="preserve"> hành</w:t>
      </w:r>
      <w:r w:rsidR="00C138B7" w:rsidRPr="00C138B7">
        <w:rPr>
          <w:rFonts w:asciiTheme="majorHAnsi" w:hAnsiTheme="majorHAnsi" w:cstheme="majorHAnsi"/>
          <w:sz w:val="28"/>
          <w:szCs w:val="28"/>
        </w:rPr>
        <w:t xml:space="preserve"> </w:t>
      </w:r>
      <w:r w:rsidR="00224499" w:rsidRPr="00224499">
        <w:rPr>
          <w:rFonts w:asciiTheme="majorHAnsi" w:hAnsiTheme="majorHAnsi" w:cstheme="majorHAnsi"/>
          <w:sz w:val="28"/>
          <w:szCs w:val="28"/>
        </w:rPr>
        <w:t>và các chữ ký khác do tổ chức tín dụng, chi nhánh ngân hàng nước ngoài quy định</w:t>
      </w:r>
      <w:r w:rsidR="00B65FB9" w:rsidRPr="005732B8">
        <w:rPr>
          <w:rFonts w:asciiTheme="majorHAnsi" w:eastAsia="Times New Roman" w:hAnsiTheme="majorHAnsi" w:cstheme="majorHAnsi"/>
          <w:sz w:val="28"/>
          <w:szCs w:val="28"/>
          <w:lang w:eastAsia="vi-VN"/>
        </w:rPr>
        <w:t>;</w:t>
      </w:r>
    </w:p>
    <w:p w:rsidR="00B65FB9" w:rsidRPr="005732B8" w:rsidRDefault="00743B86" w:rsidP="002B276D">
      <w:pPr>
        <w:spacing w:before="120" w:after="0" w:line="340" w:lineRule="exact"/>
        <w:ind w:firstLine="720"/>
        <w:jc w:val="both"/>
        <w:rPr>
          <w:rFonts w:asciiTheme="majorHAnsi" w:eastAsia="Times New Roman" w:hAnsiTheme="majorHAnsi" w:cstheme="majorHAnsi"/>
          <w:sz w:val="28"/>
          <w:szCs w:val="28"/>
          <w:lang w:eastAsia="vi-VN"/>
        </w:rPr>
      </w:pPr>
      <w:r w:rsidRPr="00564215">
        <w:rPr>
          <w:rFonts w:asciiTheme="majorHAnsi" w:eastAsia="Times New Roman" w:hAnsiTheme="majorHAnsi" w:cstheme="majorHAnsi"/>
          <w:sz w:val="28"/>
          <w:szCs w:val="28"/>
          <w:lang w:eastAsia="vi-VN"/>
        </w:rPr>
        <w:t>m</w:t>
      </w:r>
      <w:r w:rsidR="00B65FB9" w:rsidRPr="005732B8">
        <w:rPr>
          <w:rFonts w:asciiTheme="majorHAnsi" w:eastAsia="Times New Roman" w:hAnsiTheme="majorHAnsi" w:cstheme="majorHAnsi"/>
          <w:sz w:val="28"/>
          <w:szCs w:val="28"/>
          <w:lang w:eastAsia="vi-VN"/>
        </w:rPr>
        <w:t xml:space="preserve">) </w:t>
      </w:r>
      <w:r w:rsidR="005941FE" w:rsidRPr="000D4FD9">
        <w:rPr>
          <w:rFonts w:asciiTheme="majorHAnsi" w:eastAsia="Times New Roman" w:hAnsiTheme="majorHAnsi" w:cstheme="majorHAnsi"/>
          <w:sz w:val="28"/>
          <w:szCs w:val="28"/>
          <w:lang w:eastAsia="vi-VN"/>
        </w:rPr>
        <w:t>Q</w:t>
      </w:r>
      <w:r w:rsidR="005941FE" w:rsidRPr="005732B8">
        <w:rPr>
          <w:rFonts w:asciiTheme="majorHAnsi" w:eastAsia="Times New Roman" w:hAnsiTheme="majorHAnsi" w:cstheme="majorHAnsi"/>
          <w:sz w:val="28"/>
          <w:szCs w:val="28"/>
          <w:lang w:eastAsia="vi-VN"/>
        </w:rPr>
        <w:t xml:space="preserve">uyền lợi và trách nhiệm của người </w:t>
      </w:r>
      <w:r w:rsidR="00C20083" w:rsidRPr="000D4FD9">
        <w:rPr>
          <w:rFonts w:asciiTheme="majorHAnsi" w:eastAsia="Times New Roman" w:hAnsiTheme="majorHAnsi" w:cstheme="majorHAnsi"/>
          <w:sz w:val="28"/>
          <w:szCs w:val="28"/>
          <w:lang w:eastAsia="vi-VN"/>
        </w:rPr>
        <w:t>sở hữu giấy tờ có giá</w:t>
      </w:r>
      <w:r w:rsidR="005941FE" w:rsidRPr="000D4FD9">
        <w:rPr>
          <w:rFonts w:asciiTheme="majorHAnsi" w:eastAsia="Times New Roman" w:hAnsiTheme="majorHAnsi" w:cstheme="majorHAnsi"/>
          <w:sz w:val="28"/>
          <w:szCs w:val="28"/>
          <w:lang w:eastAsia="vi-VN"/>
        </w:rPr>
        <w:t>.</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2. Giấy tờ có giá phát hành theo hình thức chứng chỉ phải được thiết kế và in ấn để đảm bảo khả năng chống giả cao.</w:t>
      </w:r>
    </w:p>
    <w:p w:rsidR="00B65FB9" w:rsidRPr="005732B8" w:rsidRDefault="00B65FB9" w:rsidP="002B276D">
      <w:pPr>
        <w:pStyle w:val="Heading1"/>
        <w:spacing w:line="340" w:lineRule="exact"/>
        <w:rPr>
          <w:rFonts w:eastAsia="Times New Roman"/>
          <w:lang w:eastAsia="vi-VN"/>
        </w:rPr>
      </w:pPr>
      <w:bookmarkStart w:id="14" w:name="dieu_9"/>
      <w:r w:rsidRPr="005732B8">
        <w:rPr>
          <w:rFonts w:eastAsia="Times New Roman"/>
          <w:lang w:eastAsia="vi-VN"/>
        </w:rPr>
        <w:t xml:space="preserve">Điều </w:t>
      </w:r>
      <w:r w:rsidR="004A26E3" w:rsidRPr="005732B8">
        <w:rPr>
          <w:rFonts w:eastAsia="Times New Roman"/>
          <w:lang w:eastAsia="vi-VN"/>
        </w:rPr>
        <w:t>8</w:t>
      </w:r>
      <w:r w:rsidRPr="005732B8">
        <w:rPr>
          <w:rFonts w:eastAsia="Times New Roman"/>
          <w:lang w:eastAsia="vi-VN"/>
        </w:rPr>
        <w:t>. Đồng tiền phát hành và thanh toán</w:t>
      </w:r>
      <w:bookmarkEnd w:id="14"/>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Giấy tờ có giá được phát hành và thanh toán bằng đồng Việt Nam.</w:t>
      </w:r>
    </w:p>
    <w:p w:rsidR="00B65FB9" w:rsidRPr="005732B8" w:rsidRDefault="004A26E3" w:rsidP="002B276D">
      <w:pPr>
        <w:pStyle w:val="Heading1"/>
        <w:spacing w:line="340" w:lineRule="exact"/>
        <w:rPr>
          <w:rFonts w:eastAsia="Times New Roman"/>
          <w:lang w:eastAsia="vi-VN"/>
        </w:rPr>
      </w:pPr>
      <w:bookmarkStart w:id="15" w:name="dieu_10"/>
      <w:r w:rsidRPr="005732B8">
        <w:rPr>
          <w:rFonts w:eastAsia="Times New Roman"/>
          <w:lang w:eastAsia="vi-VN"/>
        </w:rPr>
        <w:t>Điều 9</w:t>
      </w:r>
      <w:r w:rsidR="00B65FB9" w:rsidRPr="005732B8">
        <w:rPr>
          <w:rFonts w:eastAsia="Times New Roman"/>
          <w:lang w:eastAsia="vi-VN"/>
        </w:rPr>
        <w:t>. Mệnh giá của giấy tờ có giá</w:t>
      </w:r>
      <w:bookmarkEnd w:id="15"/>
    </w:p>
    <w:p w:rsidR="003A4843"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1. Mệnh giá của giấy tờ có giá là một trăm nghìn (100.000) đồng</w:t>
      </w:r>
      <w:r w:rsidR="003A4843" w:rsidRPr="005732B8">
        <w:rPr>
          <w:rFonts w:asciiTheme="majorHAnsi" w:eastAsia="Times New Roman" w:hAnsiTheme="majorHAnsi" w:cstheme="majorHAnsi"/>
          <w:sz w:val="28"/>
          <w:szCs w:val="28"/>
          <w:lang w:eastAsia="vi-VN"/>
        </w:rPr>
        <w:t xml:space="preserve"> và bội số của một trăm nghìn (100.000) đồng</w:t>
      </w:r>
      <w:r w:rsidRPr="005732B8">
        <w:rPr>
          <w:rFonts w:asciiTheme="majorHAnsi" w:eastAsia="Times New Roman" w:hAnsiTheme="majorHAnsi" w:cstheme="majorHAnsi"/>
          <w:sz w:val="28"/>
          <w:szCs w:val="28"/>
          <w:lang w:eastAsia="vi-VN"/>
        </w:rPr>
        <w:t>.</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lastRenderedPageBreak/>
        <w:t>2. Mệnh giá của giấy tờ có giá (trừ trái phiếu) phát hành theo hình thức chứng chỉ được in sẵn hoặc theo thỏa thuận của tổ chức tín dụng, chi nhánh ngân hàng nước ngoài phát hành với người mua.</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3. Mệnh giá của trái phiếu phát hành theo hình thức chứng chỉ được in sẵn trên trái phiếu.</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4. Mệnh giá của giấy tờ có giá phát hành theo hình thức ghi sổ do tổ chức tín dụng, chi nhánh ngân hàng nước ngoài phát hành thỏa thuận với người mua.</w:t>
      </w:r>
    </w:p>
    <w:p w:rsidR="00B65FB9" w:rsidRPr="005732B8" w:rsidRDefault="00B65FB9" w:rsidP="002B276D">
      <w:pPr>
        <w:pStyle w:val="Heading1"/>
        <w:spacing w:line="340" w:lineRule="exact"/>
        <w:rPr>
          <w:rFonts w:eastAsia="Times New Roman"/>
          <w:lang w:eastAsia="vi-VN"/>
        </w:rPr>
      </w:pPr>
      <w:bookmarkStart w:id="16" w:name="dieu_11"/>
      <w:r w:rsidRPr="005732B8">
        <w:rPr>
          <w:rFonts w:eastAsia="Times New Roman"/>
          <w:lang w:eastAsia="vi-VN"/>
        </w:rPr>
        <w:t>Điều 1</w:t>
      </w:r>
      <w:r w:rsidR="004A26E3" w:rsidRPr="005732B8">
        <w:rPr>
          <w:rFonts w:eastAsia="Times New Roman"/>
          <w:lang w:eastAsia="vi-VN"/>
        </w:rPr>
        <w:t>0</w:t>
      </w:r>
      <w:r w:rsidRPr="005732B8">
        <w:rPr>
          <w:rFonts w:eastAsia="Times New Roman"/>
          <w:lang w:eastAsia="vi-VN"/>
        </w:rPr>
        <w:t>. Lãi suất</w:t>
      </w:r>
      <w:bookmarkEnd w:id="16"/>
    </w:p>
    <w:p w:rsidR="004446BD" w:rsidRPr="005732B8" w:rsidRDefault="000F4721" w:rsidP="002B276D">
      <w:pPr>
        <w:spacing w:before="120" w:after="0" w:line="340" w:lineRule="exact"/>
        <w:ind w:firstLine="652"/>
        <w:jc w:val="both"/>
        <w:rPr>
          <w:rFonts w:asciiTheme="majorHAnsi" w:hAnsiTheme="majorHAnsi" w:cstheme="majorHAnsi"/>
          <w:sz w:val="28"/>
          <w:szCs w:val="28"/>
          <w:lang w:val="pt-BR"/>
        </w:rPr>
      </w:pPr>
      <w:bookmarkStart w:id="17" w:name="dieu_12"/>
      <w:r w:rsidRPr="005732B8">
        <w:rPr>
          <w:rFonts w:asciiTheme="majorHAnsi" w:eastAsia="Times New Roman" w:hAnsiTheme="majorHAnsi" w:cstheme="majorHAnsi"/>
          <w:b/>
          <w:bCs/>
          <w:sz w:val="28"/>
          <w:szCs w:val="28"/>
          <w:lang w:eastAsia="vi-VN"/>
        </w:rPr>
        <w:tab/>
      </w:r>
      <w:r w:rsidR="004446BD" w:rsidRPr="005732B8">
        <w:rPr>
          <w:rFonts w:asciiTheme="majorHAnsi" w:hAnsiTheme="majorHAnsi" w:cstheme="majorHAnsi"/>
          <w:sz w:val="28"/>
          <w:szCs w:val="28"/>
          <w:lang w:val="pl-PL" w:eastAsia="vi-VN"/>
        </w:rPr>
        <w:t xml:space="preserve">1. Lãi suất giấy tờ có giá do tổ chức tín dụng, chi nhánh ngân hàng nước ngoài phát hành quyết định phù hợp </w:t>
      </w:r>
      <w:r w:rsidR="004446BD" w:rsidRPr="005732B8">
        <w:rPr>
          <w:rFonts w:asciiTheme="majorHAnsi" w:hAnsiTheme="majorHAnsi" w:cstheme="majorHAnsi"/>
          <w:sz w:val="28"/>
          <w:szCs w:val="28"/>
          <w:lang w:val="pt-BR"/>
        </w:rPr>
        <w:t xml:space="preserve">với quy định hiện hành về lãi suất của Ngân hàng Nhà nước </w:t>
      </w:r>
      <w:r w:rsidR="004446BD" w:rsidRPr="005732B8">
        <w:rPr>
          <w:rFonts w:asciiTheme="majorHAnsi" w:hAnsiTheme="majorHAnsi" w:cstheme="majorHAnsi"/>
          <w:sz w:val="28"/>
          <w:szCs w:val="28"/>
          <w:shd w:val="clear" w:color="auto" w:fill="FFFFFF"/>
          <w:lang w:val="pt-BR"/>
        </w:rPr>
        <w:t>trong</w:t>
      </w:r>
      <w:r w:rsidR="004446BD" w:rsidRPr="005732B8">
        <w:rPr>
          <w:rFonts w:asciiTheme="majorHAnsi" w:hAnsiTheme="majorHAnsi" w:cstheme="majorHAnsi"/>
          <w:sz w:val="28"/>
          <w:szCs w:val="28"/>
          <w:lang w:val="pt-BR"/>
        </w:rPr>
        <w:t xml:space="preserve"> từng thời kỳ. </w:t>
      </w:r>
    </w:p>
    <w:p w:rsidR="004446BD" w:rsidRPr="005732B8" w:rsidRDefault="00176ACF" w:rsidP="002B276D">
      <w:pPr>
        <w:spacing w:before="120" w:after="0" w:line="340" w:lineRule="exact"/>
        <w:ind w:firstLine="652"/>
        <w:jc w:val="both"/>
        <w:rPr>
          <w:rFonts w:asciiTheme="majorHAnsi" w:hAnsiTheme="majorHAnsi" w:cstheme="majorHAnsi"/>
          <w:sz w:val="28"/>
          <w:szCs w:val="28"/>
          <w:lang w:val="pt-BR"/>
        </w:rPr>
      </w:pPr>
      <w:r w:rsidRPr="005732B8">
        <w:rPr>
          <w:rFonts w:asciiTheme="majorHAnsi" w:hAnsiTheme="majorHAnsi" w:cstheme="majorHAnsi"/>
          <w:sz w:val="28"/>
          <w:szCs w:val="28"/>
          <w:lang w:val="pt-BR"/>
        </w:rPr>
        <w:t xml:space="preserve">2. </w:t>
      </w:r>
      <w:r w:rsidR="004446BD" w:rsidRPr="005732B8">
        <w:rPr>
          <w:rFonts w:asciiTheme="majorHAnsi" w:hAnsiTheme="majorHAnsi" w:cstheme="majorHAnsi"/>
          <w:sz w:val="28"/>
          <w:szCs w:val="28"/>
          <w:lang w:val="pt-BR"/>
        </w:rPr>
        <w:t xml:space="preserve">Phương pháp tính lãi giấy tờ có giá thực hiện theo quy định của Ngân hàng Nhà nước. </w:t>
      </w:r>
    </w:p>
    <w:p w:rsidR="00B65FB9" w:rsidRPr="009D5245" w:rsidRDefault="00B65FB9" w:rsidP="002B276D">
      <w:pPr>
        <w:pStyle w:val="Heading1"/>
        <w:spacing w:line="340" w:lineRule="exact"/>
        <w:rPr>
          <w:rFonts w:eastAsia="Times New Roman"/>
          <w:lang w:val="pt-BR" w:eastAsia="vi-VN"/>
        </w:rPr>
      </w:pPr>
      <w:r w:rsidRPr="005732B8">
        <w:rPr>
          <w:rFonts w:eastAsia="Times New Roman"/>
          <w:lang w:eastAsia="vi-VN"/>
        </w:rPr>
        <w:t>Điều 1</w:t>
      </w:r>
      <w:r w:rsidR="004A26E3" w:rsidRPr="005732B8">
        <w:rPr>
          <w:rFonts w:eastAsia="Times New Roman"/>
          <w:lang w:val="pt-BR" w:eastAsia="vi-VN"/>
        </w:rPr>
        <w:t>1</w:t>
      </w:r>
      <w:r w:rsidRPr="005732B8">
        <w:rPr>
          <w:rFonts w:eastAsia="Times New Roman"/>
          <w:lang w:eastAsia="vi-VN"/>
        </w:rPr>
        <w:t xml:space="preserve">. Ngày phát hành và ngày đến hạn thanh toán của </w:t>
      </w:r>
      <w:bookmarkEnd w:id="17"/>
      <w:r w:rsidR="00A736F0" w:rsidRPr="009D5245">
        <w:rPr>
          <w:rFonts w:eastAsia="Times New Roman"/>
          <w:lang w:val="pt-BR" w:eastAsia="vi-VN"/>
        </w:rPr>
        <w:t>giấy tờ có giá</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1. Trái phiếu phát hành cùng một đợt và cùng thời hạn được ghi cùng ngày phát hành và cùng ngày đến hạn thanh toán.</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 xml:space="preserve">2. Ngày phát hành và ngày đến hạn thanh toán đối với </w:t>
      </w:r>
      <w:r w:rsidR="00331DD5" w:rsidRPr="000D4FD9">
        <w:rPr>
          <w:rFonts w:asciiTheme="majorHAnsi" w:eastAsia="Times New Roman" w:hAnsiTheme="majorHAnsi" w:cstheme="majorHAnsi"/>
          <w:sz w:val="28"/>
          <w:szCs w:val="28"/>
          <w:lang w:eastAsia="vi-VN"/>
        </w:rPr>
        <w:t>kỳ phiếu, tín phiếu, chứng chỉ tiền gửi</w:t>
      </w:r>
      <w:r w:rsidRPr="005732B8">
        <w:rPr>
          <w:rFonts w:asciiTheme="majorHAnsi" w:eastAsia="Times New Roman" w:hAnsiTheme="majorHAnsi" w:cstheme="majorHAnsi"/>
          <w:sz w:val="28"/>
          <w:szCs w:val="28"/>
          <w:lang w:eastAsia="vi-VN"/>
        </w:rPr>
        <w:t xml:space="preserve"> do tổ chức tín dụng, chi nhánh ngân hàng nước ngoài quy định.</w:t>
      </w:r>
    </w:p>
    <w:p w:rsidR="00B65FB9" w:rsidRPr="005732B8" w:rsidRDefault="00B65FB9" w:rsidP="002B276D">
      <w:pPr>
        <w:pStyle w:val="Heading1"/>
        <w:spacing w:line="340" w:lineRule="exact"/>
      </w:pPr>
      <w:bookmarkStart w:id="18" w:name="dieu_13"/>
      <w:r w:rsidRPr="005732B8">
        <w:t>Điều 1</w:t>
      </w:r>
      <w:r w:rsidR="004A26E3" w:rsidRPr="005732B8">
        <w:t>2</w:t>
      </w:r>
      <w:r w:rsidRPr="005732B8">
        <w:t>. Phương thức phát hành giấy tờ có giá</w:t>
      </w:r>
      <w:bookmarkEnd w:id="18"/>
    </w:p>
    <w:p w:rsidR="002B276D" w:rsidRPr="002B276D" w:rsidRDefault="002B276D" w:rsidP="002B276D">
      <w:pPr>
        <w:spacing w:before="120" w:after="0" w:line="340" w:lineRule="exact"/>
        <w:ind w:firstLine="720"/>
        <w:jc w:val="both"/>
        <w:rPr>
          <w:rFonts w:ascii="Times New Roman" w:eastAsia="Times New Roman" w:hAnsi="Times New Roman" w:cs="Times New Roman"/>
          <w:sz w:val="28"/>
          <w:szCs w:val="28"/>
          <w:lang w:eastAsia="vi-VN"/>
        </w:rPr>
      </w:pPr>
      <w:bookmarkStart w:id="19" w:name="dieu_14"/>
      <w:r w:rsidRPr="002B276D">
        <w:rPr>
          <w:rFonts w:ascii="Times New Roman" w:eastAsia="Times New Roman" w:hAnsi="Times New Roman" w:cs="Times New Roman"/>
          <w:sz w:val="28"/>
          <w:szCs w:val="28"/>
          <w:lang w:eastAsia="vi-VN"/>
        </w:rPr>
        <w:t>1.</w:t>
      </w:r>
      <w:r w:rsidR="00087AED" w:rsidRPr="009D5245">
        <w:rPr>
          <w:rFonts w:ascii="Times New Roman" w:eastAsia="Times New Roman" w:hAnsi="Times New Roman" w:cs="Times New Roman"/>
          <w:sz w:val="28"/>
          <w:szCs w:val="28"/>
          <w:lang w:eastAsia="vi-VN"/>
        </w:rPr>
        <w:t xml:space="preserve"> T</w:t>
      </w:r>
      <w:r w:rsidRPr="002B276D">
        <w:rPr>
          <w:rFonts w:ascii="Times New Roman" w:eastAsia="Times New Roman" w:hAnsi="Times New Roman" w:cs="Times New Roman"/>
          <w:sz w:val="28"/>
          <w:szCs w:val="28"/>
          <w:lang w:eastAsia="vi-VN"/>
        </w:rPr>
        <w:t xml:space="preserve">ổ chức tín dụng thực hiện phát hành </w:t>
      </w:r>
      <w:r w:rsidR="00087AED" w:rsidRPr="009D5245">
        <w:rPr>
          <w:rFonts w:ascii="Times New Roman" w:eastAsia="Times New Roman" w:hAnsi="Times New Roman" w:cs="Times New Roman"/>
          <w:sz w:val="28"/>
          <w:szCs w:val="28"/>
          <w:lang w:eastAsia="vi-VN"/>
        </w:rPr>
        <w:t xml:space="preserve">trái phiếu theo phương thức phát hành trái phiếu quy định tại </w:t>
      </w:r>
      <w:r w:rsidR="006F5974" w:rsidRPr="009D5245">
        <w:rPr>
          <w:rFonts w:ascii="Times New Roman" w:eastAsia="Times New Roman" w:hAnsi="Times New Roman" w:cs="Times New Roman"/>
          <w:sz w:val="28"/>
          <w:szCs w:val="28"/>
          <w:lang w:eastAsia="vi-VN"/>
        </w:rPr>
        <w:t>Luật Chứng khoán và các văn bản hướng dẫn Luật Chứng khoán</w:t>
      </w:r>
      <w:r w:rsidR="00087AED" w:rsidRPr="009D5245">
        <w:rPr>
          <w:rFonts w:ascii="Times New Roman" w:eastAsia="Times New Roman" w:hAnsi="Times New Roman" w:cs="Times New Roman"/>
          <w:sz w:val="28"/>
          <w:szCs w:val="28"/>
          <w:lang w:eastAsia="vi-VN"/>
        </w:rPr>
        <w:t>.</w:t>
      </w:r>
    </w:p>
    <w:p w:rsidR="004555BC" w:rsidRPr="009D5245" w:rsidRDefault="006F5974" w:rsidP="004555BC">
      <w:pPr>
        <w:spacing w:before="120" w:after="0" w:line="340" w:lineRule="exact"/>
        <w:ind w:firstLine="720"/>
        <w:jc w:val="both"/>
        <w:rPr>
          <w:rFonts w:ascii="Times New Roman" w:eastAsia="Calibri" w:hAnsi="Times New Roman" w:cs="Times New Roman"/>
          <w:sz w:val="28"/>
        </w:rPr>
      </w:pPr>
      <w:r w:rsidRPr="009D5245">
        <w:rPr>
          <w:rFonts w:ascii="Times New Roman" w:eastAsia="Times New Roman" w:hAnsi="Times New Roman" w:cs="Times New Roman"/>
          <w:sz w:val="28"/>
          <w:szCs w:val="28"/>
          <w:lang w:eastAsia="vi-VN"/>
        </w:rPr>
        <w:t>2</w:t>
      </w:r>
      <w:r w:rsidR="002B276D" w:rsidRPr="002B276D">
        <w:rPr>
          <w:rFonts w:ascii="Times New Roman" w:eastAsia="Times New Roman" w:hAnsi="Times New Roman" w:cs="Times New Roman"/>
          <w:sz w:val="28"/>
          <w:szCs w:val="28"/>
          <w:lang w:eastAsia="vi-VN"/>
        </w:rPr>
        <w:t xml:space="preserve">. </w:t>
      </w:r>
      <w:r w:rsidR="00087AED" w:rsidRPr="009D5245">
        <w:rPr>
          <w:rFonts w:ascii="Times New Roman" w:eastAsia="Times New Roman" w:hAnsi="Times New Roman" w:cs="Times New Roman"/>
          <w:sz w:val="28"/>
          <w:szCs w:val="28"/>
          <w:lang w:eastAsia="vi-VN"/>
        </w:rPr>
        <w:t>T</w:t>
      </w:r>
      <w:r w:rsidR="00087AED" w:rsidRPr="00087AED">
        <w:rPr>
          <w:rFonts w:ascii="Times New Roman" w:eastAsia="Times New Roman" w:hAnsi="Times New Roman" w:cs="Times New Roman"/>
          <w:sz w:val="28"/>
          <w:szCs w:val="28"/>
          <w:lang w:eastAsia="vi-VN"/>
        </w:rPr>
        <w:t xml:space="preserve">ổ chức tín dụng, chi nhánh ngân hàng nước ngoài </w:t>
      </w:r>
      <w:r w:rsidR="004555BC" w:rsidRPr="009D5245">
        <w:rPr>
          <w:rFonts w:ascii="Times New Roman" w:eastAsia="Times New Roman" w:hAnsi="Times New Roman" w:cs="Times New Roman"/>
          <w:sz w:val="28"/>
          <w:szCs w:val="28"/>
          <w:lang w:eastAsia="vi-VN"/>
        </w:rPr>
        <w:t xml:space="preserve">quyết định </w:t>
      </w:r>
      <w:r w:rsidR="009D3947" w:rsidRPr="009D5245">
        <w:rPr>
          <w:rFonts w:ascii="Times New Roman" w:eastAsia="Times New Roman" w:hAnsi="Times New Roman" w:cs="Times New Roman"/>
          <w:sz w:val="28"/>
          <w:szCs w:val="28"/>
          <w:lang w:eastAsia="vi-VN"/>
        </w:rPr>
        <w:t xml:space="preserve">phát hành </w:t>
      </w:r>
      <w:r w:rsidR="009D3947" w:rsidRPr="009D5245">
        <w:rPr>
          <w:rFonts w:ascii="Times New Roman" w:eastAsia="Times New Roman" w:hAnsi="Times New Roman" w:cs="Times New Roman"/>
          <w:iCs/>
          <w:sz w:val="28"/>
          <w:szCs w:val="28"/>
          <w:lang w:eastAsia="vi-VN"/>
        </w:rPr>
        <w:t>kỳ phiếu, tín phiếu, chứng chỉ tiền gửi theo các phương thức trực tiếp phát hành, bảo lãnh phát hành, đại lý phát hành, đấu thầu</w:t>
      </w:r>
      <w:r w:rsidR="004555BC" w:rsidRPr="009D5245">
        <w:rPr>
          <w:rFonts w:ascii="Times New Roman" w:eastAsia="Times New Roman" w:hAnsi="Times New Roman" w:cs="Times New Roman"/>
          <w:iCs/>
          <w:sz w:val="28"/>
          <w:szCs w:val="28"/>
          <w:lang w:eastAsia="vi-VN"/>
        </w:rPr>
        <w:t xml:space="preserve"> </w:t>
      </w:r>
      <w:r w:rsidR="009D3947" w:rsidRPr="009D5245">
        <w:rPr>
          <w:rFonts w:ascii="Times New Roman" w:eastAsia="Times New Roman" w:hAnsi="Times New Roman" w:cs="Times New Roman"/>
          <w:iCs/>
          <w:sz w:val="28"/>
          <w:szCs w:val="28"/>
          <w:lang w:eastAsia="vi-VN"/>
        </w:rPr>
        <w:t>phù hợp v</w:t>
      </w:r>
      <w:r w:rsidR="009D3947" w:rsidRPr="009D3947">
        <w:rPr>
          <w:rFonts w:ascii="Times New Roman" w:eastAsia="Times New Roman" w:hAnsi="Times New Roman" w:cs="Times New Roman"/>
          <w:iCs/>
          <w:sz w:val="28"/>
          <w:szCs w:val="28"/>
          <w:lang w:eastAsia="vi-VN"/>
        </w:rPr>
        <w:t xml:space="preserve">ới </w:t>
      </w:r>
      <w:r w:rsidR="009D3947" w:rsidRPr="009D5245">
        <w:rPr>
          <w:rFonts w:ascii="Times New Roman" w:eastAsia="Times New Roman" w:hAnsi="Times New Roman" w:cs="Times New Roman"/>
          <w:iCs/>
          <w:sz w:val="28"/>
          <w:szCs w:val="28"/>
          <w:lang w:eastAsia="vi-VN"/>
        </w:rPr>
        <w:t>quy định pháp luật</w:t>
      </w:r>
      <w:r w:rsidR="002B276D" w:rsidRPr="002B276D">
        <w:rPr>
          <w:rFonts w:ascii="Times New Roman" w:eastAsia="Times New Roman" w:hAnsi="Times New Roman" w:cs="Times New Roman"/>
          <w:sz w:val="28"/>
          <w:szCs w:val="28"/>
          <w:lang w:eastAsia="vi-VN"/>
        </w:rPr>
        <w:t>.</w:t>
      </w:r>
      <w:r w:rsidR="004555BC" w:rsidRPr="004555BC">
        <w:rPr>
          <w:rFonts w:ascii="Times New Roman" w:eastAsia="Calibri" w:hAnsi="Times New Roman" w:cs="Times New Roman"/>
          <w:sz w:val="28"/>
        </w:rPr>
        <w:t xml:space="preserve"> </w:t>
      </w:r>
    </w:p>
    <w:p w:rsidR="004555BC" w:rsidRPr="004555BC" w:rsidRDefault="004555BC" w:rsidP="004555BC">
      <w:pPr>
        <w:spacing w:before="120" w:after="0" w:line="340" w:lineRule="exact"/>
        <w:ind w:firstLine="720"/>
        <w:jc w:val="both"/>
        <w:rPr>
          <w:rFonts w:ascii="Times New Roman" w:eastAsia="Times New Roman" w:hAnsi="Times New Roman" w:cs="Times New Roman"/>
          <w:sz w:val="28"/>
          <w:szCs w:val="28"/>
          <w:lang w:eastAsia="vi-VN"/>
        </w:rPr>
      </w:pPr>
      <w:r w:rsidRPr="004555BC">
        <w:rPr>
          <w:rFonts w:ascii="Times New Roman" w:eastAsia="Times New Roman" w:hAnsi="Times New Roman" w:cs="Times New Roman"/>
          <w:sz w:val="28"/>
          <w:szCs w:val="28"/>
          <w:lang w:eastAsia="vi-VN"/>
        </w:rPr>
        <w:t>3. Phí bảo lãnh phát hành, đại lý phát hành, đấu thầu giấy tờ có giá do tổ chức tín dụng, chi nhánh ngân hàng nước ngoài phát hành thỏa thuận với tổ chức bảo lãnh phát hành, đại lý phát hành, đấu thầu giấy tờ có giá.</w:t>
      </w:r>
    </w:p>
    <w:p w:rsidR="00116B2A" w:rsidRPr="00116B2A" w:rsidRDefault="00116B2A" w:rsidP="00116B2A">
      <w:pPr>
        <w:spacing w:before="120" w:after="0" w:line="340" w:lineRule="exact"/>
        <w:ind w:firstLine="720"/>
        <w:jc w:val="both"/>
        <w:rPr>
          <w:rFonts w:ascii="Times New Roman" w:eastAsia="Times New Roman" w:hAnsi="Times New Roman" w:cs="Times New Roman"/>
          <w:sz w:val="28"/>
          <w:szCs w:val="28"/>
          <w:lang w:eastAsia="vi-VN"/>
        </w:rPr>
      </w:pPr>
      <w:r w:rsidRPr="00116B2A">
        <w:rPr>
          <w:rFonts w:ascii="Times New Roman" w:eastAsia="Times New Roman" w:hAnsi="Times New Roman" w:cs="Times New Roman"/>
          <w:b/>
          <w:bCs/>
          <w:sz w:val="28"/>
          <w:szCs w:val="28"/>
          <w:lang w:eastAsia="vi-VN"/>
        </w:rPr>
        <w:t>Điều 1</w:t>
      </w:r>
      <w:r w:rsidRPr="009D5245">
        <w:rPr>
          <w:rFonts w:ascii="Times New Roman" w:eastAsia="Times New Roman" w:hAnsi="Times New Roman" w:cs="Times New Roman"/>
          <w:b/>
          <w:bCs/>
          <w:sz w:val="28"/>
          <w:szCs w:val="28"/>
          <w:lang w:eastAsia="vi-VN"/>
        </w:rPr>
        <w:t>3</w:t>
      </w:r>
      <w:r w:rsidRPr="00116B2A">
        <w:rPr>
          <w:rFonts w:ascii="Times New Roman" w:eastAsia="Times New Roman" w:hAnsi="Times New Roman" w:cs="Times New Roman"/>
          <w:b/>
          <w:bCs/>
          <w:sz w:val="28"/>
          <w:szCs w:val="28"/>
          <w:lang w:eastAsia="vi-VN"/>
        </w:rPr>
        <w:t>. Đối tượng tham gia đấu thầu, bảo lãnh, đại lý phát hành</w:t>
      </w:r>
    </w:p>
    <w:p w:rsidR="00116B2A" w:rsidRPr="00116B2A" w:rsidRDefault="00116B2A" w:rsidP="00116B2A">
      <w:pPr>
        <w:spacing w:before="120" w:after="0" w:line="340" w:lineRule="exact"/>
        <w:ind w:firstLine="720"/>
        <w:jc w:val="both"/>
        <w:rPr>
          <w:rFonts w:ascii="Times New Roman" w:eastAsia="Times New Roman" w:hAnsi="Times New Roman" w:cs="Times New Roman"/>
          <w:sz w:val="28"/>
          <w:szCs w:val="28"/>
          <w:lang w:eastAsia="vi-VN"/>
        </w:rPr>
      </w:pPr>
      <w:r w:rsidRPr="00116B2A">
        <w:rPr>
          <w:rFonts w:ascii="Times New Roman" w:eastAsia="Times New Roman" w:hAnsi="Times New Roman" w:cs="Times New Roman"/>
          <w:sz w:val="28"/>
          <w:szCs w:val="28"/>
          <w:lang w:eastAsia="vi-VN"/>
        </w:rPr>
        <w:t>Đối tượng tham gia đại lý</w:t>
      </w:r>
      <w:r w:rsidR="00D974A4" w:rsidRPr="00D974A4">
        <w:rPr>
          <w:rFonts w:ascii="Times New Roman" w:eastAsia="Times New Roman" w:hAnsi="Times New Roman" w:cs="Times New Roman"/>
          <w:sz w:val="28"/>
          <w:szCs w:val="28"/>
          <w:lang w:eastAsia="vi-VN"/>
        </w:rPr>
        <w:t xml:space="preserve">, </w:t>
      </w:r>
      <w:r w:rsidR="00D974A4" w:rsidRPr="00116B2A">
        <w:rPr>
          <w:rFonts w:ascii="Times New Roman" w:eastAsia="Times New Roman" w:hAnsi="Times New Roman" w:cs="Times New Roman"/>
          <w:sz w:val="28"/>
          <w:szCs w:val="28"/>
          <w:lang w:eastAsia="vi-VN"/>
        </w:rPr>
        <w:t>đấu thầu, bảo lãnh</w:t>
      </w:r>
      <w:r w:rsidRPr="00116B2A">
        <w:rPr>
          <w:rFonts w:ascii="Times New Roman" w:eastAsia="Times New Roman" w:hAnsi="Times New Roman" w:cs="Times New Roman"/>
          <w:sz w:val="28"/>
          <w:szCs w:val="28"/>
          <w:lang w:eastAsia="vi-VN"/>
        </w:rPr>
        <w:t xml:space="preserve"> phát hành giấy tờ có giá gồm</w:t>
      </w:r>
      <w:r w:rsidR="00657638" w:rsidRPr="009D5245">
        <w:rPr>
          <w:rFonts w:ascii="Times New Roman" w:eastAsia="Times New Roman" w:hAnsi="Times New Roman" w:cs="Times New Roman"/>
          <w:sz w:val="28"/>
          <w:szCs w:val="28"/>
          <w:lang w:eastAsia="vi-VN"/>
        </w:rPr>
        <w:t xml:space="preserve">: </w:t>
      </w:r>
      <w:r w:rsidR="00804052" w:rsidRPr="009D5245">
        <w:rPr>
          <w:rFonts w:ascii="Times New Roman" w:eastAsia="Times New Roman" w:hAnsi="Times New Roman" w:cs="Times New Roman"/>
          <w:sz w:val="28"/>
          <w:szCs w:val="28"/>
          <w:lang w:eastAsia="vi-VN"/>
        </w:rPr>
        <w:t>các tổ chức tín dụng</w:t>
      </w:r>
      <w:r w:rsidR="00657638" w:rsidRPr="00657638">
        <w:rPr>
          <w:rFonts w:ascii="Times New Roman" w:eastAsia="Times New Roman" w:hAnsi="Times New Roman" w:cs="Times New Roman"/>
          <w:sz w:val="28"/>
          <w:szCs w:val="28"/>
          <w:lang w:eastAsia="vi-VN"/>
        </w:rPr>
        <w:t xml:space="preserve">, chi nhánh ngân hàng nước ngoài được </w:t>
      </w:r>
      <w:r w:rsidR="00804052" w:rsidRPr="009D5245">
        <w:rPr>
          <w:rFonts w:ascii="Times New Roman" w:eastAsia="Times New Roman" w:hAnsi="Times New Roman" w:cs="Times New Roman"/>
          <w:sz w:val="28"/>
          <w:szCs w:val="28"/>
          <w:lang w:eastAsia="vi-VN"/>
        </w:rPr>
        <w:t xml:space="preserve">làm đại lý trong lĩnh vực liên quan đến hoạt động ngân hàng theo </w:t>
      </w:r>
      <w:r w:rsidR="00B87F39" w:rsidRPr="00B87F39">
        <w:rPr>
          <w:rFonts w:ascii="Times New Roman" w:eastAsia="Times New Roman" w:hAnsi="Times New Roman" w:cs="Times New Roman"/>
          <w:sz w:val="28"/>
          <w:szCs w:val="28"/>
          <w:lang w:eastAsia="vi-VN"/>
        </w:rPr>
        <w:t>Giấy phép thành lập, hoạt động của tổ chức tín dụng</w:t>
      </w:r>
      <w:r w:rsidR="00B87F39" w:rsidRPr="009D5245">
        <w:rPr>
          <w:rFonts w:ascii="Times New Roman" w:eastAsia="Times New Roman" w:hAnsi="Times New Roman" w:cs="Times New Roman"/>
          <w:sz w:val="28"/>
          <w:szCs w:val="28"/>
          <w:lang w:eastAsia="vi-VN"/>
        </w:rPr>
        <w:t>, chi nhánh ngân hàng nước ngoài</w:t>
      </w:r>
      <w:r w:rsidR="00657638" w:rsidRPr="009D5245">
        <w:rPr>
          <w:rFonts w:ascii="Times New Roman" w:eastAsia="Times New Roman" w:hAnsi="Times New Roman" w:cs="Times New Roman"/>
          <w:sz w:val="28"/>
          <w:szCs w:val="28"/>
          <w:lang w:eastAsia="vi-VN"/>
        </w:rPr>
        <w:t>;</w:t>
      </w:r>
      <w:r w:rsidRPr="00116B2A">
        <w:rPr>
          <w:rFonts w:ascii="Times New Roman" w:eastAsia="Times New Roman" w:hAnsi="Times New Roman" w:cs="Times New Roman"/>
          <w:sz w:val="28"/>
          <w:szCs w:val="28"/>
          <w:lang w:eastAsia="vi-VN"/>
        </w:rPr>
        <w:t xml:space="preserve"> các công t</w:t>
      </w:r>
      <w:r w:rsidR="004555BC">
        <w:rPr>
          <w:rFonts w:ascii="Times New Roman" w:eastAsia="Times New Roman" w:hAnsi="Times New Roman" w:cs="Times New Roman"/>
          <w:sz w:val="28"/>
          <w:szCs w:val="28"/>
          <w:lang w:eastAsia="vi-VN"/>
        </w:rPr>
        <w:t xml:space="preserve">y chứng khoán, </w:t>
      </w:r>
      <w:r w:rsidRPr="00116B2A">
        <w:rPr>
          <w:rFonts w:ascii="Times New Roman" w:eastAsia="Times New Roman" w:hAnsi="Times New Roman" w:cs="Times New Roman"/>
          <w:sz w:val="28"/>
          <w:szCs w:val="28"/>
          <w:lang w:eastAsia="vi-VN"/>
        </w:rPr>
        <w:t xml:space="preserve">các </w:t>
      </w:r>
      <w:r w:rsidR="00804052" w:rsidRPr="009D5245">
        <w:rPr>
          <w:rFonts w:ascii="Times New Roman" w:eastAsia="Times New Roman" w:hAnsi="Times New Roman" w:cs="Times New Roman"/>
          <w:sz w:val="28"/>
          <w:szCs w:val="28"/>
          <w:lang w:eastAsia="vi-VN"/>
        </w:rPr>
        <w:t xml:space="preserve">tổ chức </w:t>
      </w:r>
      <w:r w:rsidR="00657638" w:rsidRPr="009D5245">
        <w:rPr>
          <w:rFonts w:ascii="Times New Roman" w:eastAsia="Times New Roman" w:hAnsi="Times New Roman" w:cs="Times New Roman"/>
          <w:sz w:val="28"/>
          <w:szCs w:val="28"/>
          <w:lang w:eastAsia="vi-VN"/>
        </w:rPr>
        <w:t>được</w:t>
      </w:r>
      <w:r w:rsidRPr="00116B2A">
        <w:rPr>
          <w:rFonts w:ascii="Times New Roman" w:eastAsia="Times New Roman" w:hAnsi="Times New Roman" w:cs="Times New Roman"/>
          <w:sz w:val="28"/>
          <w:szCs w:val="28"/>
          <w:lang w:eastAsia="vi-VN"/>
        </w:rPr>
        <w:t xml:space="preserve"> phép cung cấp dịch vụ đại lý</w:t>
      </w:r>
      <w:r w:rsidR="00D45F98" w:rsidRPr="00D45F98">
        <w:rPr>
          <w:rFonts w:ascii="Times New Roman" w:eastAsia="Times New Roman" w:hAnsi="Times New Roman" w:cs="Times New Roman"/>
          <w:sz w:val="28"/>
          <w:szCs w:val="28"/>
          <w:lang w:eastAsia="vi-VN"/>
        </w:rPr>
        <w:t xml:space="preserve">, </w:t>
      </w:r>
      <w:r w:rsidR="00D45F98" w:rsidRPr="00116B2A">
        <w:rPr>
          <w:rFonts w:ascii="Times New Roman" w:eastAsia="Times New Roman" w:hAnsi="Times New Roman" w:cs="Times New Roman"/>
          <w:sz w:val="28"/>
          <w:szCs w:val="28"/>
          <w:lang w:eastAsia="vi-VN"/>
        </w:rPr>
        <w:t>đấu thầu, bảo lãnh</w:t>
      </w:r>
      <w:r w:rsidRPr="00116B2A">
        <w:rPr>
          <w:rFonts w:ascii="Times New Roman" w:eastAsia="Times New Roman" w:hAnsi="Times New Roman" w:cs="Times New Roman"/>
          <w:sz w:val="28"/>
          <w:szCs w:val="28"/>
          <w:lang w:eastAsia="vi-VN"/>
        </w:rPr>
        <w:t xml:space="preserve"> phát hành </w:t>
      </w:r>
      <w:r w:rsidR="00085C9C" w:rsidRPr="00085C9C">
        <w:rPr>
          <w:rFonts w:ascii="Times New Roman" w:eastAsia="Times New Roman" w:hAnsi="Times New Roman" w:cs="Times New Roman"/>
          <w:sz w:val="28"/>
          <w:szCs w:val="28"/>
          <w:lang w:eastAsia="vi-VN"/>
        </w:rPr>
        <w:t>trái phiếu</w:t>
      </w:r>
      <w:r w:rsidR="00034EDF" w:rsidRPr="009D5245">
        <w:rPr>
          <w:rFonts w:ascii="Times New Roman" w:eastAsia="Times New Roman" w:hAnsi="Times New Roman" w:cs="Times New Roman"/>
          <w:sz w:val="28"/>
          <w:szCs w:val="28"/>
          <w:lang w:eastAsia="vi-VN"/>
        </w:rPr>
        <w:t xml:space="preserve"> </w:t>
      </w:r>
      <w:r w:rsidRPr="00116B2A">
        <w:rPr>
          <w:rFonts w:ascii="Times New Roman" w:eastAsia="Times New Roman" w:hAnsi="Times New Roman" w:cs="Times New Roman"/>
          <w:sz w:val="28"/>
          <w:szCs w:val="28"/>
          <w:lang w:eastAsia="vi-VN"/>
        </w:rPr>
        <w:t>theo quy định pháp luật.</w:t>
      </w:r>
    </w:p>
    <w:p w:rsidR="00B65FB9" w:rsidRPr="005732B8" w:rsidRDefault="00B65FB9" w:rsidP="002B276D">
      <w:pPr>
        <w:pStyle w:val="Heading1"/>
        <w:spacing w:line="340" w:lineRule="exact"/>
      </w:pPr>
      <w:bookmarkStart w:id="20" w:name="dieu_15"/>
      <w:bookmarkEnd w:id="19"/>
      <w:r w:rsidRPr="005732B8">
        <w:lastRenderedPageBreak/>
        <w:t>Điều 1</w:t>
      </w:r>
      <w:r w:rsidR="00116B2A" w:rsidRPr="009D5245">
        <w:t>4</w:t>
      </w:r>
      <w:r w:rsidRPr="005732B8">
        <w:t>. Thủ tục phát hành và thanh toán giấy tờ có giá</w:t>
      </w:r>
      <w:bookmarkEnd w:id="20"/>
    </w:p>
    <w:p w:rsidR="004555BC" w:rsidRPr="009D5245" w:rsidRDefault="004555BC"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Thủ tục phát hành và thanh toán giấy tờ có giá do tổ chức tín dụng, chi nhánh ngân hàng nước ngoài quy định phù hợp với đặc điểm, mô hình quản lý của tổ chức tín dụng, chi nhánh ngân hàng nước ngoài và các quy định pháp luật hiện hành, đảm bảo việc phát hành và thanh toán giấy tờ có giá được chính xác và an toàn.</w:t>
      </w:r>
    </w:p>
    <w:p w:rsidR="000F4721" w:rsidRPr="005732B8" w:rsidRDefault="000F4721" w:rsidP="002B276D">
      <w:pPr>
        <w:pStyle w:val="Heading1"/>
        <w:spacing w:line="340" w:lineRule="exact"/>
      </w:pPr>
      <w:r w:rsidRPr="005732B8">
        <w:t>Điều 1</w:t>
      </w:r>
      <w:r w:rsidR="00116B2A" w:rsidRPr="009D5245">
        <w:t>5</w:t>
      </w:r>
      <w:r w:rsidRPr="005732B8">
        <w:t>. Thanh toán giấy tờ có giá</w:t>
      </w:r>
    </w:p>
    <w:p w:rsidR="00D36BB0" w:rsidRDefault="00857703" w:rsidP="002B276D">
      <w:pPr>
        <w:spacing w:before="120" w:after="0" w:line="340" w:lineRule="exact"/>
        <w:ind w:firstLine="652"/>
        <w:jc w:val="both"/>
        <w:rPr>
          <w:rFonts w:asciiTheme="majorHAnsi" w:hAnsiTheme="majorHAnsi" w:cstheme="majorHAnsi"/>
          <w:sz w:val="28"/>
          <w:szCs w:val="28"/>
          <w:lang w:val="pl-PL"/>
        </w:rPr>
      </w:pPr>
      <w:bookmarkStart w:id="21" w:name="dieu_17"/>
      <w:r w:rsidRPr="005732B8">
        <w:rPr>
          <w:rFonts w:asciiTheme="majorHAnsi" w:hAnsiTheme="majorHAnsi" w:cstheme="majorHAnsi"/>
          <w:sz w:val="28"/>
          <w:szCs w:val="28"/>
          <w:lang w:val="pl-PL"/>
        </w:rPr>
        <w:t>1.</w:t>
      </w:r>
      <w:r w:rsidR="00D36BB0">
        <w:rPr>
          <w:rFonts w:asciiTheme="majorHAnsi" w:hAnsiTheme="majorHAnsi" w:cstheme="majorHAnsi"/>
          <w:sz w:val="28"/>
          <w:szCs w:val="28"/>
          <w:lang w:val="pl-PL"/>
        </w:rPr>
        <w:t xml:space="preserve"> Tổ chức tín dụng, chi nhánh ngân hàng nước ngoài có trách nhiệm </w:t>
      </w:r>
      <w:r w:rsidR="00D36BB0" w:rsidRPr="009D5245">
        <w:rPr>
          <w:rFonts w:asciiTheme="majorHAnsi" w:eastAsia="Times New Roman" w:hAnsiTheme="majorHAnsi" w:cstheme="majorHAnsi"/>
          <w:sz w:val="28"/>
          <w:szCs w:val="28"/>
          <w:lang w:eastAsia="vi-VN"/>
        </w:rPr>
        <w:t>thanh toán tiền gốc, lãi giấy tờ có giá đầy đủ và đúng hạn cho người mua giấy tờ có giá.</w:t>
      </w:r>
    </w:p>
    <w:p w:rsidR="00857703" w:rsidRPr="005732B8" w:rsidRDefault="00D36BB0" w:rsidP="002B276D">
      <w:pPr>
        <w:spacing w:before="120" w:after="0" w:line="340" w:lineRule="exact"/>
        <w:ind w:firstLine="652"/>
        <w:jc w:val="both"/>
        <w:rPr>
          <w:rFonts w:asciiTheme="majorHAnsi" w:hAnsiTheme="majorHAnsi" w:cstheme="majorHAnsi"/>
          <w:sz w:val="28"/>
          <w:szCs w:val="28"/>
          <w:lang w:val="pl-PL"/>
        </w:rPr>
      </w:pPr>
      <w:r>
        <w:rPr>
          <w:rFonts w:asciiTheme="majorHAnsi" w:hAnsiTheme="majorHAnsi" w:cstheme="majorHAnsi"/>
          <w:sz w:val="28"/>
          <w:szCs w:val="28"/>
          <w:lang w:val="pl-PL"/>
        </w:rPr>
        <w:t>2.</w:t>
      </w:r>
      <w:r w:rsidR="00857703" w:rsidRPr="005732B8">
        <w:rPr>
          <w:rFonts w:asciiTheme="majorHAnsi" w:hAnsiTheme="majorHAnsi" w:cstheme="majorHAnsi"/>
          <w:sz w:val="28"/>
          <w:szCs w:val="28"/>
          <w:lang w:val="pl-PL"/>
        </w:rPr>
        <w:t xml:space="preserve"> Phương thức thanh toán gốc, lãi giấy tờ có giá do tổ chức tín dụng, chi nhánh ngân hàng nước ngoài quyết định phù hợp với các quy định pháp luật có liên quan, được công bố cho người mua giấy tờ có giá trước khi phát hành giấy tờ có giá.</w:t>
      </w:r>
    </w:p>
    <w:p w:rsidR="00D676B7" w:rsidRPr="005732B8" w:rsidRDefault="00D36BB0" w:rsidP="002B276D">
      <w:pPr>
        <w:spacing w:before="120" w:after="0" w:line="340" w:lineRule="exact"/>
        <w:ind w:firstLine="652"/>
        <w:jc w:val="both"/>
        <w:rPr>
          <w:rFonts w:asciiTheme="majorHAnsi" w:hAnsiTheme="majorHAnsi" w:cstheme="majorHAnsi"/>
          <w:sz w:val="28"/>
          <w:szCs w:val="28"/>
          <w:lang w:val="pl-PL"/>
        </w:rPr>
      </w:pPr>
      <w:r>
        <w:rPr>
          <w:rFonts w:asciiTheme="majorHAnsi" w:hAnsiTheme="majorHAnsi" w:cstheme="majorHAnsi"/>
          <w:sz w:val="28"/>
          <w:szCs w:val="28"/>
          <w:lang w:val="pl-PL"/>
        </w:rPr>
        <w:t>3</w:t>
      </w:r>
      <w:r w:rsidR="00857703" w:rsidRPr="005732B8">
        <w:rPr>
          <w:rFonts w:asciiTheme="majorHAnsi" w:hAnsiTheme="majorHAnsi" w:cstheme="majorHAnsi"/>
          <w:sz w:val="28"/>
          <w:szCs w:val="28"/>
          <w:lang w:val="pl-PL"/>
        </w:rPr>
        <w:t>. Việc thanh toán trước hạn giấy tờ có giá do tổ chức tín dụng, chi nhánh ngân hàng nước ngoài quyết định trên cơ sở đề nghị của người mua giấy tờ có giá, bảo đảm an toàn hoạt động của tổ chức tín dụng, chi nhánh ngân hàng nước ngoài. Lãi suất áp dụng đối với việc thanh toán trước hạn giấy tờ có giá phù hợp với quy định của Ngân hàng Nhà nước.</w:t>
      </w:r>
    </w:p>
    <w:p w:rsidR="00B65FB9" w:rsidRPr="005732B8" w:rsidRDefault="00B65FB9" w:rsidP="002B276D">
      <w:pPr>
        <w:pStyle w:val="Heading1"/>
        <w:spacing w:line="340" w:lineRule="exact"/>
      </w:pPr>
      <w:r w:rsidRPr="005732B8">
        <w:t>Điều 1</w:t>
      </w:r>
      <w:r w:rsidR="00116B2A" w:rsidRPr="009D5245">
        <w:rPr>
          <w:lang w:val="pl-PL"/>
        </w:rPr>
        <w:t>6</w:t>
      </w:r>
      <w:r w:rsidRPr="005732B8">
        <w:t>. Chuyển quyền sở hữu giấy tờ có giá và xử lý các trường hợp rủi ro khác</w:t>
      </w:r>
      <w:bookmarkEnd w:id="21"/>
    </w:p>
    <w:p w:rsidR="00B65FB9" w:rsidRDefault="00B2750A" w:rsidP="002B276D">
      <w:pPr>
        <w:spacing w:before="120" w:after="0" w:line="340" w:lineRule="exact"/>
        <w:ind w:firstLine="652"/>
        <w:jc w:val="both"/>
        <w:rPr>
          <w:rFonts w:asciiTheme="majorHAnsi" w:hAnsiTheme="majorHAnsi" w:cstheme="majorHAnsi"/>
          <w:sz w:val="28"/>
          <w:szCs w:val="28"/>
          <w:lang w:val="pl-PL" w:eastAsia="vi-VN"/>
        </w:rPr>
      </w:pPr>
      <w:r w:rsidRPr="005732B8">
        <w:rPr>
          <w:rFonts w:asciiTheme="majorHAnsi" w:eastAsia="Times New Roman" w:hAnsiTheme="majorHAnsi" w:cstheme="majorHAnsi"/>
          <w:sz w:val="28"/>
          <w:szCs w:val="28"/>
          <w:lang w:eastAsia="vi-VN"/>
        </w:rPr>
        <w:t xml:space="preserve">1. </w:t>
      </w:r>
      <w:r w:rsidRPr="005732B8">
        <w:rPr>
          <w:rFonts w:asciiTheme="majorHAnsi" w:hAnsiTheme="majorHAnsi" w:cstheme="majorHAnsi"/>
          <w:sz w:val="28"/>
          <w:szCs w:val="28"/>
          <w:lang w:val="pl-PL" w:eastAsia="vi-VN"/>
        </w:rPr>
        <w:t xml:space="preserve">Giấy tờ có giá được chuyển quyền sở hữu dưới các hình thức mua, bán, cho, tặng, trao đổi và thừa kế </w:t>
      </w:r>
      <w:r w:rsidRPr="005732B8">
        <w:rPr>
          <w:rFonts w:asciiTheme="majorHAnsi" w:hAnsiTheme="majorHAnsi" w:cstheme="majorHAnsi"/>
          <w:sz w:val="28"/>
          <w:szCs w:val="28"/>
          <w:lang w:eastAsia="vi-VN"/>
        </w:rPr>
        <w:t>phù hợp</w:t>
      </w:r>
      <w:r w:rsidRPr="005732B8">
        <w:rPr>
          <w:rFonts w:asciiTheme="majorHAnsi" w:hAnsiTheme="majorHAnsi" w:cstheme="majorHAnsi"/>
          <w:sz w:val="28"/>
          <w:szCs w:val="28"/>
          <w:lang w:val="pl-PL" w:eastAsia="vi-VN"/>
        </w:rPr>
        <w:t xml:space="preserve"> với quy định pháp luật có liên quan</w:t>
      </w:r>
      <w:r w:rsidRPr="005732B8">
        <w:rPr>
          <w:rFonts w:asciiTheme="majorHAnsi" w:hAnsiTheme="majorHAnsi" w:cstheme="majorHAnsi"/>
          <w:i/>
          <w:sz w:val="28"/>
          <w:szCs w:val="28"/>
          <w:lang w:val="pl-PL" w:eastAsia="vi-VN"/>
        </w:rPr>
        <w:t>.</w:t>
      </w:r>
    </w:p>
    <w:p w:rsidR="00E330D7" w:rsidRPr="000D4FD9" w:rsidRDefault="00E330D7" w:rsidP="002B276D">
      <w:pPr>
        <w:spacing w:before="120" w:after="0" w:line="340" w:lineRule="exact"/>
        <w:ind w:firstLine="652"/>
        <w:jc w:val="both"/>
        <w:rPr>
          <w:rFonts w:asciiTheme="majorHAnsi" w:eastAsia="Times New Roman" w:hAnsiTheme="majorHAnsi" w:cstheme="majorHAnsi"/>
          <w:sz w:val="28"/>
          <w:szCs w:val="28"/>
          <w:lang w:val="pl-PL" w:eastAsia="vi-VN"/>
        </w:rPr>
      </w:pPr>
      <w:r>
        <w:rPr>
          <w:rFonts w:asciiTheme="majorHAnsi" w:eastAsia="Times New Roman" w:hAnsiTheme="majorHAnsi" w:cstheme="majorHAnsi"/>
          <w:sz w:val="28"/>
          <w:szCs w:val="28"/>
          <w:lang w:val="pl-PL" w:eastAsia="vi-VN"/>
        </w:rPr>
        <w:t xml:space="preserve">2. </w:t>
      </w:r>
      <w:r w:rsidRPr="000D4FD9">
        <w:rPr>
          <w:rFonts w:asciiTheme="majorHAnsi" w:eastAsia="Times New Roman" w:hAnsiTheme="majorHAnsi" w:cstheme="majorHAnsi"/>
          <w:sz w:val="28"/>
          <w:szCs w:val="28"/>
          <w:lang w:val="pl-PL" w:eastAsia="vi-VN"/>
        </w:rPr>
        <w:t>G</w:t>
      </w:r>
      <w:r w:rsidRPr="005732B8">
        <w:rPr>
          <w:rFonts w:asciiTheme="majorHAnsi" w:eastAsia="Times New Roman" w:hAnsiTheme="majorHAnsi" w:cstheme="majorHAnsi"/>
          <w:sz w:val="28"/>
          <w:szCs w:val="28"/>
          <w:lang w:eastAsia="vi-VN"/>
        </w:rPr>
        <w:t>iấy tờ có giá do</w:t>
      </w:r>
      <w:r w:rsidRPr="00E330D7">
        <w:rPr>
          <w:rFonts w:asciiTheme="majorHAnsi" w:eastAsia="Times New Roman" w:hAnsiTheme="majorHAnsi" w:cstheme="majorHAnsi"/>
          <w:sz w:val="28"/>
          <w:szCs w:val="28"/>
          <w:lang w:eastAsia="vi-VN"/>
        </w:rPr>
        <w:t xml:space="preserve"> </w:t>
      </w:r>
      <w:r w:rsidRPr="00D2486E">
        <w:rPr>
          <w:rFonts w:asciiTheme="majorHAnsi" w:eastAsia="Times New Roman" w:hAnsiTheme="majorHAnsi" w:cstheme="majorHAnsi"/>
          <w:sz w:val="28"/>
          <w:szCs w:val="28"/>
          <w:lang w:eastAsia="vi-VN"/>
        </w:rPr>
        <w:t>c</w:t>
      </w:r>
      <w:r w:rsidRPr="00F878E9">
        <w:rPr>
          <w:rFonts w:asciiTheme="majorHAnsi" w:eastAsia="Times New Roman" w:hAnsiTheme="majorHAnsi" w:cstheme="majorHAnsi"/>
          <w:sz w:val="28"/>
          <w:szCs w:val="28"/>
          <w:lang w:eastAsia="vi-VN"/>
        </w:rPr>
        <w:t xml:space="preserve">ông ty tài chính, công ty cho thuê tài chính </w:t>
      </w:r>
      <w:r w:rsidRPr="009D5245">
        <w:rPr>
          <w:rFonts w:asciiTheme="majorHAnsi" w:eastAsia="Times New Roman" w:hAnsiTheme="majorHAnsi" w:cstheme="majorHAnsi"/>
          <w:sz w:val="28"/>
          <w:szCs w:val="28"/>
          <w:lang w:eastAsia="vi-VN"/>
        </w:rPr>
        <w:t xml:space="preserve">phát hành </w:t>
      </w:r>
      <w:r w:rsidRPr="000D4FD9">
        <w:rPr>
          <w:rFonts w:asciiTheme="majorHAnsi" w:eastAsia="Times New Roman" w:hAnsiTheme="majorHAnsi" w:cstheme="majorHAnsi"/>
          <w:sz w:val="28"/>
          <w:szCs w:val="28"/>
          <w:lang w:val="pl-PL" w:eastAsia="vi-VN"/>
        </w:rPr>
        <w:t xml:space="preserve">chỉ </w:t>
      </w:r>
      <w:r w:rsidRPr="005732B8">
        <w:rPr>
          <w:rFonts w:asciiTheme="majorHAnsi" w:hAnsiTheme="majorHAnsi" w:cstheme="majorHAnsi"/>
          <w:sz w:val="28"/>
          <w:szCs w:val="28"/>
          <w:lang w:val="pl-PL" w:eastAsia="vi-VN"/>
        </w:rPr>
        <w:t xml:space="preserve">được chuyển quyền sở hữu </w:t>
      </w:r>
      <w:r w:rsidRPr="000D4FD9">
        <w:rPr>
          <w:rFonts w:asciiTheme="majorHAnsi" w:eastAsia="Times New Roman" w:hAnsiTheme="majorHAnsi" w:cstheme="majorHAnsi"/>
          <w:sz w:val="28"/>
          <w:szCs w:val="28"/>
          <w:lang w:val="pl-PL" w:eastAsia="vi-VN"/>
        </w:rPr>
        <w:t>giữa các</w:t>
      </w:r>
      <w:r w:rsidRPr="009D5245">
        <w:rPr>
          <w:rFonts w:asciiTheme="majorHAnsi" w:eastAsia="Times New Roman" w:hAnsiTheme="majorHAnsi" w:cstheme="majorHAnsi"/>
          <w:sz w:val="28"/>
          <w:szCs w:val="28"/>
          <w:lang w:eastAsia="vi-VN"/>
        </w:rPr>
        <w:t xml:space="preserve"> tổ chức</w:t>
      </w:r>
      <w:r w:rsidRPr="00D2486E">
        <w:rPr>
          <w:rFonts w:asciiTheme="majorHAnsi" w:eastAsia="Times New Roman" w:hAnsiTheme="majorHAnsi" w:cstheme="majorHAnsi"/>
          <w:sz w:val="28"/>
          <w:szCs w:val="28"/>
          <w:lang w:eastAsia="vi-VN"/>
        </w:rPr>
        <w:t>.</w:t>
      </w:r>
    </w:p>
    <w:p w:rsidR="007E35BF" w:rsidRPr="005732B8" w:rsidRDefault="00E330D7" w:rsidP="002B276D">
      <w:pPr>
        <w:spacing w:before="120" w:after="0" w:line="340" w:lineRule="exact"/>
        <w:ind w:firstLine="652"/>
        <w:jc w:val="both"/>
        <w:rPr>
          <w:rFonts w:asciiTheme="majorHAnsi" w:eastAsia="Times New Roman" w:hAnsiTheme="majorHAnsi" w:cstheme="majorHAnsi"/>
          <w:sz w:val="28"/>
          <w:szCs w:val="28"/>
          <w:lang w:eastAsia="vi-VN"/>
        </w:rPr>
      </w:pPr>
      <w:r w:rsidRPr="000D4FD9">
        <w:rPr>
          <w:rFonts w:asciiTheme="majorHAnsi" w:eastAsia="Times New Roman" w:hAnsiTheme="majorHAnsi" w:cstheme="majorHAnsi"/>
          <w:sz w:val="28"/>
          <w:szCs w:val="28"/>
          <w:lang w:val="pl-PL" w:eastAsia="vi-VN"/>
        </w:rPr>
        <w:t>3</w:t>
      </w:r>
      <w:r w:rsidR="00B65FB9" w:rsidRPr="005732B8">
        <w:rPr>
          <w:rFonts w:asciiTheme="majorHAnsi" w:eastAsia="Times New Roman" w:hAnsiTheme="majorHAnsi" w:cstheme="majorHAnsi"/>
          <w:sz w:val="28"/>
          <w:szCs w:val="28"/>
          <w:lang w:eastAsia="vi-VN"/>
        </w:rPr>
        <w:t xml:space="preserve">. Thủ tục chuyển quyền sở hữu giấy tờ có giá, xử lý các </w:t>
      </w:r>
      <w:r w:rsidR="00B65FB9" w:rsidRPr="005732B8">
        <w:rPr>
          <w:rFonts w:asciiTheme="majorHAnsi" w:eastAsia="Times New Roman" w:hAnsiTheme="majorHAnsi" w:cstheme="majorHAnsi"/>
          <w:sz w:val="28"/>
          <w:szCs w:val="28"/>
          <w:shd w:val="clear" w:color="auto" w:fill="FFFFFF"/>
          <w:lang w:eastAsia="vi-VN"/>
        </w:rPr>
        <w:t>trường hợp</w:t>
      </w:r>
      <w:r w:rsidR="00B65FB9" w:rsidRPr="005732B8">
        <w:rPr>
          <w:rFonts w:asciiTheme="majorHAnsi" w:eastAsia="Times New Roman" w:hAnsiTheme="majorHAnsi" w:cstheme="majorHAnsi"/>
          <w:sz w:val="28"/>
          <w:szCs w:val="28"/>
          <w:lang w:eastAsia="vi-VN"/>
        </w:rPr>
        <w:t xml:space="preserve"> rủi ro (nhàu nát, rách, mất giấy tờ có giá và các trường hợp rủi ro khác) do tổ chức tín dụng, chi nhánh ngân hàng nước ngoài quy định phù hợp với quy định pháp luật, đặc điểm điều kiện kinh doanh của</w:t>
      </w:r>
      <w:r w:rsidR="00C20083" w:rsidRPr="000D4FD9">
        <w:rPr>
          <w:rFonts w:asciiTheme="majorHAnsi" w:eastAsia="Times New Roman" w:hAnsiTheme="majorHAnsi" w:cstheme="majorHAnsi"/>
          <w:sz w:val="28"/>
          <w:szCs w:val="28"/>
          <w:lang w:eastAsia="vi-VN"/>
        </w:rPr>
        <w:t xml:space="preserve"> tổ chức tín dụng, chi nhánh ngân hàng nước ngoài</w:t>
      </w:r>
      <w:r w:rsidR="00B65FB9" w:rsidRPr="005732B8">
        <w:rPr>
          <w:rFonts w:asciiTheme="majorHAnsi" w:eastAsia="Times New Roman" w:hAnsiTheme="majorHAnsi" w:cstheme="majorHAnsi"/>
          <w:sz w:val="28"/>
          <w:szCs w:val="28"/>
          <w:lang w:eastAsia="vi-VN"/>
        </w:rPr>
        <w:t xml:space="preserve"> và đảm bảo quyền lợi hợp pháp của người sở hữu giấy tờ có giá.</w:t>
      </w:r>
      <w:bookmarkStart w:id="22" w:name="dieu_18"/>
    </w:p>
    <w:p w:rsidR="00B65FB9" w:rsidRPr="005732B8" w:rsidRDefault="00B65FB9" w:rsidP="002B276D">
      <w:pPr>
        <w:pStyle w:val="Heading1"/>
        <w:spacing w:line="340" w:lineRule="exact"/>
        <w:rPr>
          <w:rFonts w:eastAsia="Times New Roman"/>
          <w:lang w:eastAsia="vi-VN"/>
        </w:rPr>
      </w:pPr>
      <w:r w:rsidRPr="005732B8">
        <w:rPr>
          <w:rFonts w:eastAsia="Times New Roman"/>
          <w:lang w:eastAsia="vi-VN"/>
        </w:rPr>
        <w:t>Điều 1</w:t>
      </w:r>
      <w:r w:rsidR="00116B2A" w:rsidRPr="009D5245">
        <w:rPr>
          <w:rFonts w:eastAsia="Times New Roman"/>
          <w:lang w:eastAsia="vi-VN"/>
        </w:rPr>
        <w:t>7</w:t>
      </w:r>
      <w:r w:rsidRPr="005732B8">
        <w:rPr>
          <w:rFonts w:eastAsia="Times New Roman"/>
          <w:lang w:eastAsia="vi-VN"/>
        </w:rPr>
        <w:t xml:space="preserve">. </w:t>
      </w:r>
      <w:r w:rsidR="007E35BF" w:rsidRPr="005732B8">
        <w:rPr>
          <w:rFonts w:eastAsia="Times New Roman"/>
          <w:lang w:eastAsia="vi-VN"/>
        </w:rPr>
        <w:t>Mua lại trái phiếu trước hạn, h</w:t>
      </w:r>
      <w:r w:rsidRPr="005732B8">
        <w:rPr>
          <w:rFonts w:eastAsia="Times New Roman"/>
          <w:shd w:val="clear" w:color="auto" w:fill="FFFFFF"/>
          <w:lang w:eastAsia="vi-VN"/>
        </w:rPr>
        <w:t>oán</w:t>
      </w:r>
      <w:r w:rsidRPr="005732B8">
        <w:rPr>
          <w:rFonts w:eastAsia="Times New Roman"/>
          <w:lang w:eastAsia="vi-VN"/>
        </w:rPr>
        <w:t xml:space="preserve"> đổi trái phiếu</w:t>
      </w:r>
      <w:bookmarkEnd w:id="22"/>
    </w:p>
    <w:p w:rsidR="007A611D" w:rsidRPr="005732B8" w:rsidRDefault="003B5E92" w:rsidP="002B276D">
      <w:pPr>
        <w:spacing w:before="120" w:after="0" w:line="340" w:lineRule="exact"/>
        <w:ind w:firstLine="652"/>
        <w:jc w:val="both"/>
        <w:rPr>
          <w:rFonts w:asciiTheme="majorHAnsi" w:hAnsiTheme="majorHAnsi" w:cstheme="majorHAnsi"/>
          <w:sz w:val="28"/>
          <w:szCs w:val="28"/>
          <w:lang w:val="de-DE"/>
        </w:rPr>
      </w:pPr>
      <w:r w:rsidRPr="005732B8">
        <w:rPr>
          <w:rFonts w:asciiTheme="majorHAnsi" w:hAnsiTheme="majorHAnsi" w:cstheme="majorHAnsi"/>
          <w:sz w:val="28"/>
          <w:szCs w:val="28"/>
          <w:lang w:val="pl-PL"/>
        </w:rPr>
        <w:t>Tổ chức tín dụng mua lại trái phiếu trước hạn, hoán đổi trái phiếu theo quy định của Luật Chứng khoán</w:t>
      </w:r>
      <w:r w:rsidR="00B66E44" w:rsidRPr="005732B8">
        <w:rPr>
          <w:rFonts w:asciiTheme="majorHAnsi" w:hAnsiTheme="majorHAnsi" w:cstheme="majorHAnsi"/>
          <w:sz w:val="28"/>
          <w:szCs w:val="28"/>
          <w:lang w:val="pl-PL"/>
        </w:rPr>
        <w:t xml:space="preserve"> và</w:t>
      </w:r>
      <w:r w:rsidRPr="005732B8">
        <w:rPr>
          <w:rFonts w:asciiTheme="majorHAnsi" w:hAnsiTheme="majorHAnsi" w:cstheme="majorHAnsi"/>
          <w:sz w:val="28"/>
          <w:szCs w:val="28"/>
          <w:lang w:val="pl-PL"/>
        </w:rPr>
        <w:t xml:space="preserve"> các </w:t>
      </w:r>
      <w:r w:rsidR="006709AD">
        <w:rPr>
          <w:rFonts w:asciiTheme="majorHAnsi" w:hAnsiTheme="majorHAnsi" w:cstheme="majorHAnsi"/>
          <w:sz w:val="28"/>
          <w:szCs w:val="28"/>
          <w:lang w:val="pl-PL"/>
        </w:rPr>
        <w:t>quy định pháp luật khác có liên quan</w:t>
      </w:r>
      <w:r w:rsidRPr="005732B8">
        <w:rPr>
          <w:rFonts w:asciiTheme="majorHAnsi" w:hAnsiTheme="majorHAnsi" w:cstheme="majorHAnsi"/>
          <w:sz w:val="28"/>
          <w:szCs w:val="28"/>
          <w:lang w:val="de-DE"/>
        </w:rPr>
        <w:t>.</w:t>
      </w:r>
    </w:p>
    <w:p w:rsidR="00EC010B" w:rsidRPr="005732B8" w:rsidRDefault="007A611D" w:rsidP="002B276D">
      <w:pPr>
        <w:pStyle w:val="Heading1"/>
        <w:spacing w:line="340" w:lineRule="exact"/>
        <w:rPr>
          <w:lang w:val="de-DE"/>
        </w:rPr>
      </w:pPr>
      <w:r w:rsidRPr="005732B8">
        <w:rPr>
          <w:rFonts w:eastAsia="Times New Roman"/>
          <w:lang w:eastAsia="vi-VN"/>
        </w:rPr>
        <w:t xml:space="preserve">Điều </w:t>
      </w:r>
      <w:r w:rsidRPr="005732B8">
        <w:rPr>
          <w:rFonts w:eastAsia="Times New Roman"/>
          <w:lang w:val="de-DE" w:eastAsia="vi-VN"/>
        </w:rPr>
        <w:t>1</w:t>
      </w:r>
      <w:r w:rsidR="00116B2A">
        <w:rPr>
          <w:rFonts w:eastAsia="Times New Roman"/>
          <w:lang w:val="de-DE" w:eastAsia="vi-VN"/>
        </w:rPr>
        <w:t>8</w:t>
      </w:r>
      <w:r w:rsidRPr="005732B8">
        <w:rPr>
          <w:rFonts w:eastAsia="Times New Roman"/>
          <w:lang w:val="de-DE" w:eastAsia="vi-VN"/>
        </w:rPr>
        <w:t xml:space="preserve">. </w:t>
      </w:r>
      <w:r w:rsidR="00696D05">
        <w:rPr>
          <w:rFonts w:eastAsia="Times New Roman"/>
          <w:lang w:val="de-DE" w:eastAsia="vi-VN"/>
        </w:rPr>
        <w:t>Nguyên tắc p</w:t>
      </w:r>
      <w:r w:rsidRPr="005732B8">
        <w:rPr>
          <w:lang w:val="de-DE"/>
        </w:rPr>
        <w:t>hát hành kỳ phiếu, tín phiếu, chứng chỉ tiền gửi</w:t>
      </w:r>
    </w:p>
    <w:p w:rsidR="007A611D" w:rsidRPr="005732B8" w:rsidRDefault="007A611D" w:rsidP="002B276D">
      <w:pPr>
        <w:spacing w:before="120" w:after="0" w:line="340" w:lineRule="exact"/>
        <w:ind w:firstLine="652"/>
        <w:jc w:val="both"/>
        <w:rPr>
          <w:rFonts w:asciiTheme="majorHAnsi" w:eastAsia="Times New Roman" w:hAnsiTheme="majorHAnsi" w:cstheme="majorHAnsi"/>
          <w:sz w:val="28"/>
          <w:szCs w:val="28"/>
          <w:lang w:val="de-DE" w:eastAsia="vi-VN"/>
        </w:rPr>
      </w:pPr>
      <w:r w:rsidRPr="005732B8">
        <w:rPr>
          <w:rFonts w:asciiTheme="majorHAnsi" w:eastAsia="Times New Roman" w:hAnsiTheme="majorHAnsi" w:cstheme="majorHAnsi"/>
          <w:sz w:val="28"/>
          <w:szCs w:val="28"/>
          <w:lang w:eastAsia="vi-VN"/>
        </w:rPr>
        <w:t xml:space="preserve">Tổ chức tín dụng, chi nhánh ngân hàng nước ngoài </w:t>
      </w:r>
      <w:r w:rsidR="00145AAD" w:rsidRPr="005732B8">
        <w:rPr>
          <w:rFonts w:asciiTheme="majorHAnsi" w:eastAsia="Times New Roman" w:hAnsiTheme="majorHAnsi" w:cstheme="majorHAnsi"/>
          <w:sz w:val="28"/>
          <w:szCs w:val="28"/>
          <w:lang w:val="de-DE" w:eastAsia="vi-VN"/>
        </w:rPr>
        <w:t xml:space="preserve">chủ động </w:t>
      </w:r>
      <w:r w:rsidRPr="005732B8">
        <w:rPr>
          <w:rFonts w:asciiTheme="majorHAnsi" w:eastAsia="Times New Roman" w:hAnsiTheme="majorHAnsi" w:cstheme="majorHAnsi"/>
          <w:sz w:val="28"/>
          <w:szCs w:val="28"/>
          <w:lang w:eastAsia="vi-VN"/>
        </w:rPr>
        <w:t xml:space="preserve">tổ chức các đợt phát hành </w:t>
      </w:r>
      <w:r w:rsidR="00145AAD" w:rsidRPr="005732B8">
        <w:rPr>
          <w:rFonts w:asciiTheme="majorHAnsi" w:hAnsiTheme="majorHAnsi" w:cstheme="majorHAnsi"/>
          <w:sz w:val="28"/>
          <w:szCs w:val="28"/>
          <w:lang w:val="de-DE"/>
        </w:rPr>
        <w:t>kỳ phiếu, tín phiếu, chứng chỉ tiền gửi</w:t>
      </w:r>
      <w:r w:rsidR="00487D0C">
        <w:rPr>
          <w:rFonts w:asciiTheme="majorHAnsi" w:hAnsiTheme="majorHAnsi" w:cstheme="majorHAnsi"/>
          <w:sz w:val="28"/>
          <w:szCs w:val="28"/>
          <w:lang w:val="de-DE"/>
        </w:rPr>
        <w:t xml:space="preserve"> theo quy định tại Thông tư này</w:t>
      </w:r>
      <w:r w:rsidR="00145AAD" w:rsidRPr="005732B8">
        <w:rPr>
          <w:rFonts w:asciiTheme="majorHAnsi" w:eastAsia="Times New Roman" w:hAnsiTheme="majorHAnsi" w:cstheme="majorHAnsi"/>
          <w:sz w:val="28"/>
          <w:szCs w:val="28"/>
          <w:lang w:eastAsia="vi-VN"/>
        </w:rPr>
        <w:t xml:space="preserve"> </w:t>
      </w:r>
      <w:r w:rsidRPr="005732B8">
        <w:rPr>
          <w:rFonts w:asciiTheme="majorHAnsi" w:eastAsia="Times New Roman" w:hAnsiTheme="majorHAnsi" w:cstheme="majorHAnsi"/>
          <w:sz w:val="28"/>
          <w:szCs w:val="28"/>
          <w:lang w:eastAsia="vi-VN"/>
        </w:rPr>
        <w:t>khi tuân thủ các tỷ lệ bảo đảm an toàn theo quy định tại khoản 1 Điều 130 Luật các tổ chức tín dụng</w:t>
      </w:r>
      <w:r w:rsidRPr="005732B8">
        <w:rPr>
          <w:rFonts w:asciiTheme="majorHAnsi" w:eastAsia="Times New Roman" w:hAnsiTheme="majorHAnsi" w:cstheme="majorHAnsi"/>
          <w:sz w:val="28"/>
          <w:szCs w:val="28"/>
          <w:lang w:val="de-DE" w:eastAsia="vi-VN"/>
        </w:rPr>
        <w:t>.</w:t>
      </w:r>
    </w:p>
    <w:p w:rsidR="00B65FB9" w:rsidRPr="005732B8" w:rsidRDefault="00B65FB9" w:rsidP="002B276D">
      <w:pPr>
        <w:pStyle w:val="Heading1"/>
        <w:spacing w:line="340" w:lineRule="exact"/>
        <w:rPr>
          <w:rFonts w:eastAsia="Times New Roman"/>
          <w:lang w:eastAsia="vi-VN"/>
        </w:rPr>
      </w:pPr>
      <w:bookmarkStart w:id="23" w:name="dieu_20"/>
      <w:r w:rsidRPr="005732B8">
        <w:rPr>
          <w:rFonts w:eastAsia="Times New Roman"/>
          <w:lang w:eastAsia="vi-VN"/>
        </w:rPr>
        <w:lastRenderedPageBreak/>
        <w:t xml:space="preserve">Điều </w:t>
      </w:r>
      <w:r w:rsidR="004A26E3" w:rsidRPr="005732B8">
        <w:rPr>
          <w:rFonts w:eastAsia="Times New Roman"/>
          <w:lang w:val="de-DE" w:eastAsia="vi-VN"/>
        </w:rPr>
        <w:t>1</w:t>
      </w:r>
      <w:r w:rsidR="00116B2A">
        <w:rPr>
          <w:rFonts w:eastAsia="Times New Roman"/>
          <w:lang w:val="de-DE" w:eastAsia="vi-VN"/>
        </w:rPr>
        <w:t>9</w:t>
      </w:r>
      <w:r w:rsidRPr="005732B8">
        <w:rPr>
          <w:rFonts w:eastAsia="Times New Roman"/>
          <w:lang w:eastAsia="vi-VN"/>
        </w:rPr>
        <w:t xml:space="preserve">. Nguyên tắc phát hành </w:t>
      </w:r>
      <w:bookmarkStart w:id="24" w:name="_ftnref3"/>
      <w:bookmarkEnd w:id="23"/>
      <w:bookmarkEnd w:id="24"/>
      <w:r w:rsidR="009D1792" w:rsidRPr="005732B8">
        <w:rPr>
          <w:rFonts w:eastAsia="Times New Roman"/>
          <w:lang w:eastAsia="vi-VN"/>
        </w:rPr>
        <w:t>trái phiếu</w:t>
      </w:r>
    </w:p>
    <w:p w:rsidR="00FE7A1B" w:rsidRPr="009D5245" w:rsidRDefault="00B66E44"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Tổ chức tín dụng</w:t>
      </w:r>
      <w:r w:rsidR="00145AAD" w:rsidRPr="005732B8">
        <w:rPr>
          <w:rFonts w:asciiTheme="majorHAnsi" w:eastAsia="Times New Roman" w:hAnsiTheme="majorHAnsi" w:cstheme="majorHAnsi"/>
          <w:sz w:val="28"/>
          <w:szCs w:val="28"/>
          <w:lang w:eastAsia="vi-VN"/>
        </w:rPr>
        <w:t xml:space="preserve"> </w:t>
      </w:r>
      <w:r w:rsidRPr="005732B8">
        <w:rPr>
          <w:rFonts w:asciiTheme="majorHAnsi" w:eastAsia="Times New Roman" w:hAnsiTheme="majorHAnsi" w:cstheme="majorHAnsi"/>
          <w:sz w:val="28"/>
          <w:szCs w:val="28"/>
          <w:lang w:eastAsia="vi-VN"/>
        </w:rPr>
        <w:t xml:space="preserve">phát hành </w:t>
      </w:r>
      <w:r w:rsidR="001645EF" w:rsidRPr="005732B8">
        <w:rPr>
          <w:rFonts w:asciiTheme="majorHAnsi" w:eastAsia="Times New Roman" w:hAnsiTheme="majorHAnsi" w:cstheme="majorHAnsi"/>
          <w:sz w:val="28"/>
          <w:szCs w:val="28"/>
          <w:lang w:eastAsia="vi-VN"/>
        </w:rPr>
        <w:t>trái phiếu phải</w:t>
      </w:r>
      <w:r w:rsidRPr="005732B8">
        <w:rPr>
          <w:rFonts w:asciiTheme="majorHAnsi" w:eastAsia="Times New Roman" w:hAnsiTheme="majorHAnsi" w:cstheme="majorHAnsi"/>
          <w:sz w:val="28"/>
          <w:szCs w:val="28"/>
          <w:lang w:eastAsia="vi-VN"/>
        </w:rPr>
        <w:t xml:space="preserve"> tuân thủ </w:t>
      </w:r>
      <w:r w:rsidR="00177135" w:rsidRPr="005732B8">
        <w:rPr>
          <w:rFonts w:asciiTheme="majorHAnsi" w:eastAsia="Times New Roman" w:hAnsiTheme="majorHAnsi" w:cstheme="majorHAnsi"/>
          <w:sz w:val="28"/>
          <w:szCs w:val="28"/>
          <w:lang w:eastAsia="vi-VN"/>
        </w:rPr>
        <w:t xml:space="preserve">các </w:t>
      </w:r>
      <w:r w:rsidR="001645EF" w:rsidRPr="005732B8">
        <w:rPr>
          <w:rFonts w:asciiTheme="majorHAnsi" w:eastAsia="Times New Roman" w:hAnsiTheme="majorHAnsi" w:cstheme="majorHAnsi"/>
          <w:sz w:val="28"/>
          <w:szCs w:val="28"/>
          <w:lang w:eastAsia="vi-VN"/>
        </w:rPr>
        <w:t>quy định tại Luật Chứng khoán</w:t>
      </w:r>
      <w:r w:rsidR="00696D05" w:rsidRPr="009D5245">
        <w:rPr>
          <w:rFonts w:asciiTheme="majorHAnsi" w:eastAsia="Times New Roman" w:hAnsiTheme="majorHAnsi" w:cstheme="majorHAnsi"/>
          <w:sz w:val="28"/>
          <w:szCs w:val="28"/>
          <w:lang w:eastAsia="vi-VN"/>
        </w:rPr>
        <w:t>,</w:t>
      </w:r>
      <w:r w:rsidR="001645EF" w:rsidRPr="005732B8">
        <w:rPr>
          <w:rFonts w:asciiTheme="majorHAnsi" w:hAnsiTheme="majorHAnsi" w:cstheme="majorHAnsi"/>
          <w:sz w:val="28"/>
          <w:szCs w:val="28"/>
          <w:lang w:val="de-DE" w:eastAsia="vi-VN"/>
        </w:rPr>
        <w:t xml:space="preserve"> các văn bản hướng dẫn Luật Chứng khoán</w:t>
      </w:r>
      <w:r w:rsidR="00696D05">
        <w:rPr>
          <w:rFonts w:asciiTheme="majorHAnsi" w:hAnsiTheme="majorHAnsi" w:cstheme="majorHAnsi"/>
          <w:sz w:val="28"/>
          <w:szCs w:val="28"/>
          <w:lang w:val="de-DE" w:eastAsia="vi-VN"/>
        </w:rPr>
        <w:t xml:space="preserve"> và quy định tại Thông tư này</w:t>
      </w:r>
      <w:r w:rsidR="001645EF" w:rsidRPr="005732B8">
        <w:rPr>
          <w:rFonts w:asciiTheme="majorHAnsi" w:eastAsia="Times New Roman" w:hAnsiTheme="majorHAnsi" w:cstheme="majorHAnsi"/>
          <w:sz w:val="28"/>
          <w:szCs w:val="28"/>
          <w:lang w:eastAsia="vi-VN"/>
        </w:rPr>
        <w:t xml:space="preserve">. Riêng về điều kiện </w:t>
      </w:r>
      <w:r w:rsidR="00CA511B" w:rsidRPr="005732B8">
        <w:rPr>
          <w:rFonts w:asciiTheme="majorHAnsi" w:eastAsia="Times New Roman" w:hAnsiTheme="majorHAnsi" w:cstheme="majorHAnsi"/>
          <w:sz w:val="28"/>
          <w:szCs w:val="28"/>
          <w:lang w:eastAsia="vi-VN"/>
        </w:rPr>
        <w:t xml:space="preserve">phát hành trái phiếu riêng lẻ </w:t>
      </w:r>
      <w:r w:rsidR="001645EF" w:rsidRPr="005732B8">
        <w:rPr>
          <w:rFonts w:asciiTheme="majorHAnsi" w:eastAsia="Times New Roman" w:hAnsiTheme="majorHAnsi" w:cstheme="majorHAnsi"/>
          <w:sz w:val="28"/>
          <w:szCs w:val="28"/>
          <w:lang w:eastAsia="vi-VN"/>
        </w:rPr>
        <w:t xml:space="preserve">quy định tại điểm e khoản 2 </w:t>
      </w:r>
      <w:r w:rsidR="00B31EEA" w:rsidRPr="005732B8">
        <w:rPr>
          <w:rFonts w:asciiTheme="majorHAnsi" w:eastAsia="Times New Roman" w:hAnsiTheme="majorHAnsi" w:cstheme="majorHAnsi"/>
          <w:sz w:val="28"/>
          <w:szCs w:val="28"/>
          <w:lang w:eastAsia="vi-VN"/>
        </w:rPr>
        <w:t xml:space="preserve">Điều 31 Luật Chứng khoán, tổ chức tín dụng tuân thủ </w:t>
      </w:r>
      <w:r w:rsidRPr="005732B8">
        <w:rPr>
          <w:rFonts w:asciiTheme="majorHAnsi" w:eastAsia="Times New Roman" w:hAnsiTheme="majorHAnsi" w:cstheme="majorHAnsi"/>
          <w:sz w:val="28"/>
          <w:szCs w:val="28"/>
          <w:lang w:eastAsia="vi-VN"/>
        </w:rPr>
        <w:t>theo quy định tại khoản 1 Điều 130 Luật các tổ chức tín dụng.</w:t>
      </w:r>
    </w:p>
    <w:p w:rsidR="00290C86" w:rsidRPr="005732B8" w:rsidRDefault="00B65FB9" w:rsidP="002B276D">
      <w:pPr>
        <w:pStyle w:val="Heading1"/>
        <w:spacing w:line="340" w:lineRule="exact"/>
        <w:rPr>
          <w:lang w:val="de-DE"/>
        </w:rPr>
      </w:pPr>
      <w:bookmarkStart w:id="25" w:name="dieu_24"/>
      <w:r w:rsidRPr="005732B8">
        <w:rPr>
          <w:rFonts w:eastAsia="Times New Roman"/>
          <w:lang w:eastAsia="vi-VN"/>
        </w:rPr>
        <w:t xml:space="preserve">Điều </w:t>
      </w:r>
      <w:r w:rsidR="00116B2A" w:rsidRPr="009D5245">
        <w:rPr>
          <w:rFonts w:eastAsia="Times New Roman"/>
          <w:lang w:eastAsia="vi-VN"/>
        </w:rPr>
        <w:t>20</w:t>
      </w:r>
      <w:r w:rsidRPr="005732B8">
        <w:rPr>
          <w:rFonts w:eastAsia="Times New Roman"/>
          <w:lang w:eastAsia="vi-VN"/>
        </w:rPr>
        <w:t xml:space="preserve">. </w:t>
      </w:r>
      <w:bookmarkEnd w:id="25"/>
      <w:r w:rsidR="00C404F3" w:rsidRPr="009D5245">
        <w:rPr>
          <w:rFonts w:eastAsia="Times New Roman"/>
          <w:lang w:eastAsia="vi-VN"/>
        </w:rPr>
        <w:t xml:space="preserve">Yêu cầu của việc phát hành </w:t>
      </w:r>
      <w:r w:rsidR="00290C86" w:rsidRPr="005732B8">
        <w:rPr>
          <w:lang w:val="de-DE"/>
        </w:rPr>
        <w:t>trái phiếu chuyển đổi thành cổ phiếu, mua cổ phiếu đối với trái phiếu kèm theo chứng quyền</w:t>
      </w:r>
    </w:p>
    <w:p w:rsidR="00E236AE" w:rsidRPr="005732B8" w:rsidRDefault="00E236AE" w:rsidP="002B276D">
      <w:pPr>
        <w:spacing w:before="120" w:after="0" w:line="340" w:lineRule="exact"/>
        <w:ind w:firstLine="720"/>
        <w:jc w:val="both"/>
        <w:rPr>
          <w:rFonts w:asciiTheme="majorHAnsi" w:hAnsiTheme="majorHAnsi" w:cstheme="majorHAnsi"/>
          <w:bCs/>
          <w:sz w:val="28"/>
          <w:szCs w:val="28"/>
          <w:lang w:val="de-DE"/>
        </w:rPr>
      </w:pPr>
      <w:r w:rsidRPr="005732B8">
        <w:rPr>
          <w:rFonts w:asciiTheme="majorHAnsi" w:hAnsiTheme="majorHAnsi" w:cstheme="majorHAnsi"/>
          <w:sz w:val="28"/>
          <w:szCs w:val="28"/>
          <w:lang w:val="pt-BR"/>
        </w:rPr>
        <w:t xml:space="preserve">1. Trường hợp tổ chức tín dụng phát hành trái phiếu chuyển đổi, trái phiếu kèm theo chứng quyền, </w:t>
      </w:r>
      <w:r w:rsidR="00C935EE">
        <w:rPr>
          <w:rFonts w:asciiTheme="majorHAnsi" w:hAnsiTheme="majorHAnsi" w:cstheme="majorHAnsi"/>
          <w:sz w:val="28"/>
          <w:szCs w:val="28"/>
          <w:lang w:val="pt-BR"/>
        </w:rPr>
        <w:t xml:space="preserve">trong phương án phát hành trái phiếu phải có </w:t>
      </w:r>
      <w:r w:rsidRPr="005732B8">
        <w:rPr>
          <w:rFonts w:asciiTheme="majorHAnsi" w:hAnsiTheme="majorHAnsi" w:cstheme="majorHAnsi"/>
          <w:bCs/>
          <w:sz w:val="28"/>
          <w:szCs w:val="28"/>
          <w:lang w:val="de-DE"/>
        </w:rPr>
        <w:t xml:space="preserve">nội dung về việc chuyển đổi trái phiếu thành cổ phiếu, thực hiện quyền mua cổ phiếu đối với trái phiếu kèm theo chứng quyền như sau: </w:t>
      </w:r>
    </w:p>
    <w:p w:rsidR="00E236AE" w:rsidRPr="005732B8" w:rsidRDefault="00E236AE" w:rsidP="002B276D">
      <w:pPr>
        <w:spacing w:before="120" w:after="0" w:line="340" w:lineRule="exact"/>
        <w:ind w:firstLine="720"/>
        <w:jc w:val="both"/>
        <w:rPr>
          <w:rFonts w:asciiTheme="majorHAnsi" w:hAnsiTheme="majorHAnsi" w:cstheme="majorHAnsi"/>
          <w:sz w:val="28"/>
          <w:szCs w:val="28"/>
          <w:lang w:val="de-DE"/>
        </w:rPr>
      </w:pPr>
      <w:r w:rsidRPr="005732B8">
        <w:rPr>
          <w:rFonts w:asciiTheme="majorHAnsi" w:hAnsiTheme="majorHAnsi" w:cstheme="majorHAnsi"/>
          <w:sz w:val="28"/>
          <w:szCs w:val="28"/>
          <w:lang w:val="de-DE"/>
        </w:rPr>
        <w:t xml:space="preserve">a) </w:t>
      </w:r>
      <w:r w:rsidRPr="005732B8">
        <w:rPr>
          <w:rFonts w:asciiTheme="majorHAnsi" w:hAnsiTheme="majorHAnsi" w:cstheme="majorHAnsi"/>
          <w:sz w:val="28"/>
          <w:szCs w:val="28"/>
          <w:lang w:val="pt-BR"/>
        </w:rPr>
        <w:t xml:space="preserve">Người mua trái phiếu phải </w:t>
      </w:r>
      <w:r w:rsidRPr="005732B8">
        <w:rPr>
          <w:rFonts w:asciiTheme="majorHAnsi" w:hAnsiTheme="majorHAnsi" w:cstheme="majorHAnsi"/>
          <w:bCs/>
          <w:sz w:val="28"/>
          <w:szCs w:val="28"/>
          <w:lang w:val="de-DE"/>
        </w:rPr>
        <w:t>đáp ứng quy định pháp luật hiện hành về giới hạn góp vốn, mua cổ phần</w:t>
      </w:r>
      <w:r w:rsidR="006778A4">
        <w:rPr>
          <w:rFonts w:asciiTheme="majorHAnsi" w:hAnsiTheme="majorHAnsi" w:cstheme="majorHAnsi"/>
          <w:bCs/>
          <w:sz w:val="28"/>
          <w:szCs w:val="28"/>
          <w:lang w:val="de-DE"/>
        </w:rPr>
        <w:t>, tỷ lệ sở hữu tối đa của nhà đầu tư nước ngoài</w:t>
      </w:r>
      <w:r w:rsidRPr="005732B8">
        <w:rPr>
          <w:rFonts w:asciiTheme="majorHAnsi" w:hAnsiTheme="majorHAnsi" w:cstheme="majorHAnsi"/>
          <w:bCs/>
          <w:sz w:val="28"/>
          <w:szCs w:val="28"/>
          <w:lang w:val="de-DE"/>
        </w:rPr>
        <w:t xml:space="preserve"> tại thời điểm thực </w:t>
      </w:r>
      <w:r w:rsidRPr="005732B8">
        <w:rPr>
          <w:rFonts w:asciiTheme="majorHAnsi" w:hAnsiTheme="majorHAnsi" w:cstheme="majorHAnsi"/>
          <w:sz w:val="28"/>
          <w:szCs w:val="28"/>
          <w:lang w:val="pt-BR"/>
        </w:rPr>
        <w:t xml:space="preserve">hiện </w:t>
      </w:r>
      <w:r w:rsidRPr="005732B8">
        <w:rPr>
          <w:rFonts w:asciiTheme="majorHAnsi" w:hAnsiTheme="majorHAnsi" w:cstheme="majorHAnsi"/>
          <w:sz w:val="28"/>
          <w:szCs w:val="28"/>
          <w:lang w:val="de-DE"/>
        </w:rPr>
        <w:t xml:space="preserve">chuyển đổi trái phiếu thành cổ phiếu, thực hiện quyền mua cổ phiếu đối với trái phiếu kèm theo chứng quyền; </w:t>
      </w:r>
    </w:p>
    <w:p w:rsidR="00E236AE" w:rsidRPr="005732B8" w:rsidRDefault="00E236AE" w:rsidP="002B276D">
      <w:pPr>
        <w:spacing w:before="120" w:after="0" w:line="340" w:lineRule="exact"/>
        <w:ind w:firstLine="720"/>
        <w:jc w:val="both"/>
        <w:rPr>
          <w:rFonts w:asciiTheme="majorHAnsi" w:hAnsiTheme="majorHAnsi" w:cstheme="majorHAnsi"/>
          <w:sz w:val="28"/>
          <w:szCs w:val="28"/>
          <w:lang w:val="de-DE"/>
        </w:rPr>
      </w:pPr>
      <w:r w:rsidRPr="005732B8">
        <w:rPr>
          <w:rFonts w:asciiTheme="majorHAnsi" w:hAnsiTheme="majorHAnsi" w:cstheme="majorHAnsi"/>
          <w:sz w:val="28"/>
          <w:szCs w:val="28"/>
          <w:lang w:val="de-DE"/>
        </w:rPr>
        <w:t>b) Việc chuyển đổi trái phiếu chuyển đổi thành cổ phiếu, thực hiện quyền mua cổ phiếu đối với trái phiếu kèm theo chứng quyền chỉ được thực hiện sau khi Ngân hàng Nhà nước chấp thuận tăng vốn điều lệ theo quy định</w:t>
      </w:r>
      <w:r w:rsidRPr="005732B8">
        <w:rPr>
          <w:rFonts w:asciiTheme="majorHAnsi" w:hAnsiTheme="majorHAnsi" w:cstheme="majorHAnsi"/>
          <w:sz w:val="28"/>
          <w:szCs w:val="28"/>
          <w:lang w:val="pl-PL"/>
        </w:rPr>
        <w:t xml:space="preserve"> của Ngân hàng Nhà nước</w:t>
      </w:r>
      <w:r w:rsidRPr="005732B8">
        <w:rPr>
          <w:rFonts w:asciiTheme="majorHAnsi" w:hAnsiTheme="majorHAnsi" w:cstheme="majorHAnsi"/>
          <w:sz w:val="28"/>
          <w:szCs w:val="28"/>
          <w:lang w:val="de-DE"/>
        </w:rPr>
        <w:t xml:space="preserve"> về hồ sơ, trình tự, thủ tục chấp thuận tăng vốn điều lệ của </w:t>
      </w:r>
      <w:r w:rsidRPr="005732B8">
        <w:rPr>
          <w:rFonts w:asciiTheme="majorHAnsi" w:hAnsiTheme="majorHAnsi" w:cstheme="majorHAnsi"/>
          <w:sz w:val="28"/>
          <w:szCs w:val="28"/>
        </w:rPr>
        <w:t>tổ chức tín dụng</w:t>
      </w:r>
      <w:r w:rsidRPr="005732B8">
        <w:rPr>
          <w:rFonts w:asciiTheme="majorHAnsi" w:hAnsiTheme="majorHAnsi" w:cstheme="majorHAnsi"/>
          <w:sz w:val="28"/>
          <w:szCs w:val="28"/>
          <w:lang w:val="de-DE"/>
        </w:rPr>
        <w:t>.</w:t>
      </w:r>
    </w:p>
    <w:p w:rsidR="000B71B3" w:rsidRPr="005732B8" w:rsidRDefault="00E236AE"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hAnsiTheme="majorHAnsi" w:cstheme="majorHAnsi"/>
          <w:sz w:val="28"/>
          <w:szCs w:val="28"/>
          <w:lang w:val="pt-BR"/>
        </w:rPr>
        <w:t xml:space="preserve">2. Khi thực hiện </w:t>
      </w:r>
      <w:r w:rsidRPr="005732B8">
        <w:rPr>
          <w:rFonts w:asciiTheme="majorHAnsi" w:hAnsiTheme="majorHAnsi" w:cstheme="majorHAnsi"/>
          <w:sz w:val="28"/>
          <w:szCs w:val="28"/>
          <w:lang w:val="de-DE"/>
        </w:rPr>
        <w:t>chuyển đổi trái phiếu chuyển đổi thành cổ phiếu, thực hiện quyền mua cổ phiếu đối với trái phiếu kèm theo chứng quyền</w:t>
      </w:r>
      <w:r w:rsidRPr="005732B8">
        <w:rPr>
          <w:rFonts w:asciiTheme="majorHAnsi" w:hAnsiTheme="majorHAnsi" w:cstheme="majorHAnsi"/>
          <w:sz w:val="28"/>
          <w:szCs w:val="28"/>
          <w:lang w:val="pt-BR"/>
        </w:rPr>
        <w:t xml:space="preserve">, </w:t>
      </w:r>
      <w:r w:rsidRPr="005732B8">
        <w:rPr>
          <w:rFonts w:asciiTheme="majorHAnsi" w:hAnsiTheme="majorHAnsi" w:cstheme="majorHAnsi"/>
          <w:sz w:val="28"/>
          <w:szCs w:val="28"/>
        </w:rPr>
        <w:t>tổ chức tín dụng</w:t>
      </w:r>
      <w:r w:rsidRPr="005732B8">
        <w:rPr>
          <w:rFonts w:asciiTheme="majorHAnsi" w:hAnsiTheme="majorHAnsi" w:cstheme="majorHAnsi"/>
          <w:sz w:val="28"/>
          <w:szCs w:val="28"/>
          <w:lang w:val="pt-BR"/>
        </w:rPr>
        <w:t xml:space="preserve"> và người mua trái phiếu chuyển đổi, trái phiếu kèm theo chứng quyền </w:t>
      </w:r>
      <w:r w:rsidRPr="005732B8">
        <w:rPr>
          <w:rFonts w:asciiTheme="majorHAnsi" w:hAnsiTheme="majorHAnsi" w:cstheme="majorHAnsi"/>
          <w:sz w:val="28"/>
          <w:szCs w:val="28"/>
          <w:lang w:val="de-DE"/>
        </w:rPr>
        <w:t>thực hiện theo quy định</w:t>
      </w:r>
      <w:r w:rsidRPr="005732B8">
        <w:rPr>
          <w:rFonts w:asciiTheme="majorHAnsi" w:hAnsiTheme="majorHAnsi" w:cstheme="majorHAnsi"/>
          <w:sz w:val="28"/>
          <w:szCs w:val="28"/>
          <w:lang w:val="pl-PL"/>
        </w:rPr>
        <w:t xml:space="preserve"> của Ngân hàng Nhà nước</w:t>
      </w:r>
      <w:r w:rsidRPr="005732B8">
        <w:rPr>
          <w:rFonts w:asciiTheme="majorHAnsi" w:hAnsiTheme="majorHAnsi" w:cstheme="majorHAnsi"/>
          <w:sz w:val="28"/>
          <w:szCs w:val="28"/>
          <w:lang w:val="de-DE"/>
        </w:rPr>
        <w:t xml:space="preserve"> về hồ sơ, trình tự, thủ tục chấp thuận tăng vốn điều lệ của </w:t>
      </w:r>
      <w:r w:rsidRPr="005732B8">
        <w:rPr>
          <w:rFonts w:asciiTheme="majorHAnsi" w:hAnsiTheme="majorHAnsi" w:cstheme="majorHAnsi"/>
          <w:sz w:val="28"/>
          <w:szCs w:val="28"/>
        </w:rPr>
        <w:t>tổ chức tín dụng</w:t>
      </w:r>
      <w:r w:rsidRPr="005732B8">
        <w:rPr>
          <w:rFonts w:asciiTheme="majorHAnsi" w:hAnsiTheme="majorHAnsi" w:cstheme="majorHAnsi"/>
          <w:sz w:val="28"/>
          <w:szCs w:val="28"/>
          <w:lang w:val="de-DE"/>
        </w:rPr>
        <w:t>.</w:t>
      </w:r>
    </w:p>
    <w:p w:rsidR="00B65FB9" w:rsidRPr="005732B8" w:rsidRDefault="004A26E3" w:rsidP="002B276D">
      <w:pPr>
        <w:pStyle w:val="Heading1"/>
        <w:spacing w:line="340" w:lineRule="exact"/>
        <w:rPr>
          <w:rFonts w:eastAsia="Times New Roman"/>
          <w:lang w:eastAsia="vi-VN"/>
        </w:rPr>
      </w:pPr>
      <w:bookmarkStart w:id="26" w:name="dieu_25"/>
      <w:r w:rsidRPr="005732B8">
        <w:rPr>
          <w:rFonts w:eastAsia="Times New Roman"/>
          <w:lang w:eastAsia="vi-VN"/>
        </w:rPr>
        <w:t>Điều 2</w:t>
      </w:r>
      <w:r w:rsidR="00116B2A" w:rsidRPr="009D5245">
        <w:rPr>
          <w:rFonts w:eastAsia="Times New Roman"/>
          <w:lang w:eastAsia="vi-VN"/>
        </w:rPr>
        <w:t>1</w:t>
      </w:r>
      <w:r w:rsidR="00B65FB9" w:rsidRPr="005732B8">
        <w:rPr>
          <w:rFonts w:eastAsia="Times New Roman"/>
          <w:lang w:eastAsia="vi-VN"/>
        </w:rPr>
        <w:t>.</w:t>
      </w:r>
      <w:bookmarkStart w:id="27" w:name="dieu_29"/>
      <w:bookmarkEnd w:id="26"/>
      <w:r w:rsidR="002570DA" w:rsidRPr="002570DA">
        <w:rPr>
          <w:rFonts w:eastAsia="Times New Roman"/>
          <w:lang w:eastAsia="vi-VN"/>
        </w:rPr>
        <w:t xml:space="preserve"> </w:t>
      </w:r>
      <w:r w:rsidR="002B276D" w:rsidRPr="00D047EA">
        <w:rPr>
          <w:rFonts w:eastAsia="Times New Roman"/>
          <w:lang w:eastAsia="vi-VN"/>
        </w:rPr>
        <w:t>Điều khoản</w:t>
      </w:r>
      <w:r w:rsidR="00B65FB9" w:rsidRPr="005732B8">
        <w:rPr>
          <w:rFonts w:eastAsia="Times New Roman"/>
          <w:lang w:eastAsia="vi-VN"/>
        </w:rPr>
        <w:t xml:space="preserve"> thi hành</w:t>
      </w:r>
      <w:bookmarkEnd w:id="27"/>
    </w:p>
    <w:p w:rsidR="00B65FB9" w:rsidRPr="00564215"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 xml:space="preserve">1. Thông tư này có hiệu lực thi hành kể từ ngày </w:t>
      </w:r>
      <w:r w:rsidR="00564215" w:rsidRPr="00564215">
        <w:rPr>
          <w:rFonts w:asciiTheme="majorHAnsi" w:eastAsia="Times New Roman" w:hAnsiTheme="majorHAnsi" w:cstheme="majorHAnsi"/>
          <w:sz w:val="28"/>
          <w:szCs w:val="28"/>
          <w:lang w:eastAsia="vi-VN"/>
        </w:rPr>
        <w:t>01</w:t>
      </w:r>
      <w:r w:rsidR="00447B8E" w:rsidRPr="005732B8">
        <w:rPr>
          <w:rFonts w:asciiTheme="majorHAnsi" w:eastAsia="Times New Roman" w:hAnsiTheme="majorHAnsi" w:cstheme="majorHAnsi"/>
          <w:sz w:val="28"/>
          <w:szCs w:val="28"/>
          <w:lang w:eastAsia="vi-VN"/>
        </w:rPr>
        <w:t xml:space="preserve"> tháng </w:t>
      </w:r>
      <w:r w:rsidR="00564215" w:rsidRPr="00564215">
        <w:rPr>
          <w:rFonts w:asciiTheme="majorHAnsi" w:eastAsia="Times New Roman" w:hAnsiTheme="majorHAnsi" w:cstheme="majorHAnsi"/>
          <w:sz w:val="28"/>
          <w:szCs w:val="28"/>
          <w:lang w:eastAsia="vi-VN"/>
        </w:rPr>
        <w:t>01</w:t>
      </w:r>
      <w:r w:rsidR="00447B8E" w:rsidRPr="005732B8">
        <w:rPr>
          <w:rFonts w:asciiTheme="majorHAnsi" w:eastAsia="Times New Roman" w:hAnsiTheme="majorHAnsi" w:cstheme="majorHAnsi"/>
          <w:sz w:val="28"/>
          <w:szCs w:val="28"/>
          <w:lang w:eastAsia="vi-VN"/>
        </w:rPr>
        <w:t xml:space="preserve"> </w:t>
      </w:r>
      <w:r w:rsidR="00A10C0A" w:rsidRPr="005732B8">
        <w:rPr>
          <w:rFonts w:asciiTheme="majorHAnsi" w:eastAsia="Times New Roman" w:hAnsiTheme="majorHAnsi" w:cstheme="majorHAnsi"/>
          <w:sz w:val="28"/>
          <w:szCs w:val="28"/>
          <w:lang w:eastAsia="vi-VN"/>
        </w:rPr>
        <w:t>n</w:t>
      </w:r>
      <w:r w:rsidR="00447B8E" w:rsidRPr="005732B8">
        <w:rPr>
          <w:rFonts w:asciiTheme="majorHAnsi" w:eastAsia="Times New Roman" w:hAnsiTheme="majorHAnsi" w:cstheme="majorHAnsi"/>
          <w:sz w:val="28"/>
          <w:szCs w:val="28"/>
          <w:lang w:eastAsia="vi-VN"/>
        </w:rPr>
        <w:t>ăm</w:t>
      </w:r>
      <w:r w:rsidR="00A10C0A" w:rsidRPr="005732B8">
        <w:rPr>
          <w:rFonts w:asciiTheme="majorHAnsi" w:eastAsia="Times New Roman" w:hAnsiTheme="majorHAnsi" w:cstheme="majorHAnsi"/>
          <w:sz w:val="28"/>
          <w:szCs w:val="28"/>
          <w:lang w:eastAsia="vi-VN"/>
        </w:rPr>
        <w:t xml:space="preserve"> 20</w:t>
      </w:r>
      <w:r w:rsidR="00564215" w:rsidRPr="00564215">
        <w:rPr>
          <w:rFonts w:asciiTheme="majorHAnsi" w:eastAsia="Times New Roman" w:hAnsiTheme="majorHAnsi" w:cstheme="majorHAnsi"/>
          <w:sz w:val="28"/>
          <w:szCs w:val="28"/>
          <w:lang w:eastAsia="vi-VN"/>
        </w:rPr>
        <w:t>21.</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2. Thông tư này thay thế các văn bản sau:</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 xml:space="preserve">a) </w:t>
      </w:r>
      <w:r w:rsidR="00A10C0A" w:rsidRPr="005732B8">
        <w:rPr>
          <w:rFonts w:asciiTheme="majorHAnsi" w:eastAsia="Times New Roman" w:hAnsiTheme="majorHAnsi" w:cstheme="majorHAnsi"/>
          <w:sz w:val="28"/>
          <w:szCs w:val="28"/>
          <w:lang w:eastAsia="vi-VN"/>
        </w:rPr>
        <w:t>Thông tư số 34/2013/TT-NHNN</w:t>
      </w:r>
      <w:r w:rsidRPr="005732B8">
        <w:rPr>
          <w:rFonts w:asciiTheme="majorHAnsi" w:eastAsia="Times New Roman" w:hAnsiTheme="majorHAnsi" w:cstheme="majorHAnsi"/>
          <w:sz w:val="28"/>
          <w:szCs w:val="28"/>
          <w:lang w:eastAsia="vi-VN"/>
        </w:rPr>
        <w:t xml:space="preserve"> ngày </w:t>
      </w:r>
      <w:r w:rsidR="00A10C0A" w:rsidRPr="005732B8">
        <w:rPr>
          <w:rFonts w:asciiTheme="majorHAnsi" w:eastAsia="Times New Roman" w:hAnsiTheme="majorHAnsi" w:cstheme="majorHAnsi"/>
          <w:sz w:val="28"/>
          <w:szCs w:val="28"/>
          <w:lang w:eastAsia="vi-VN"/>
        </w:rPr>
        <w:t>3</w:t>
      </w:r>
      <w:r w:rsidRPr="005732B8">
        <w:rPr>
          <w:rFonts w:asciiTheme="majorHAnsi" w:eastAsia="Times New Roman" w:hAnsiTheme="majorHAnsi" w:cstheme="majorHAnsi"/>
          <w:sz w:val="28"/>
          <w:szCs w:val="28"/>
          <w:lang w:eastAsia="vi-VN"/>
        </w:rPr>
        <w:t>1/</w:t>
      </w:r>
      <w:r w:rsidR="00A10C0A" w:rsidRPr="005732B8">
        <w:rPr>
          <w:rFonts w:asciiTheme="majorHAnsi" w:eastAsia="Times New Roman" w:hAnsiTheme="majorHAnsi" w:cstheme="majorHAnsi"/>
          <w:sz w:val="28"/>
          <w:szCs w:val="28"/>
          <w:lang w:eastAsia="vi-VN"/>
        </w:rPr>
        <w:t>12</w:t>
      </w:r>
      <w:r w:rsidRPr="005732B8">
        <w:rPr>
          <w:rFonts w:asciiTheme="majorHAnsi" w:eastAsia="Times New Roman" w:hAnsiTheme="majorHAnsi" w:cstheme="majorHAnsi"/>
          <w:sz w:val="28"/>
          <w:szCs w:val="28"/>
          <w:lang w:eastAsia="vi-VN"/>
        </w:rPr>
        <w:t>/20</w:t>
      </w:r>
      <w:r w:rsidR="00A10C0A" w:rsidRPr="005732B8">
        <w:rPr>
          <w:rFonts w:asciiTheme="majorHAnsi" w:eastAsia="Times New Roman" w:hAnsiTheme="majorHAnsi" w:cstheme="majorHAnsi"/>
          <w:sz w:val="28"/>
          <w:szCs w:val="28"/>
          <w:lang w:eastAsia="vi-VN"/>
        </w:rPr>
        <w:t>13</w:t>
      </w:r>
      <w:r w:rsidRPr="005732B8">
        <w:rPr>
          <w:rFonts w:asciiTheme="majorHAnsi" w:eastAsia="Times New Roman" w:hAnsiTheme="majorHAnsi" w:cstheme="majorHAnsi"/>
          <w:sz w:val="28"/>
          <w:szCs w:val="28"/>
          <w:lang w:eastAsia="vi-VN"/>
        </w:rPr>
        <w:t xml:space="preserve"> của Thống đốc Ngân hàng Nhà nước </w:t>
      </w:r>
      <w:r w:rsidR="00A10C0A" w:rsidRPr="005732B8">
        <w:rPr>
          <w:rFonts w:asciiTheme="majorHAnsi" w:eastAsia="Times New Roman" w:hAnsiTheme="majorHAnsi" w:cstheme="majorHAnsi"/>
          <w:sz w:val="28"/>
          <w:szCs w:val="28"/>
          <w:lang w:eastAsia="vi-VN"/>
        </w:rPr>
        <w:t xml:space="preserve">quy định </w:t>
      </w:r>
      <w:r w:rsidRPr="005732B8">
        <w:rPr>
          <w:rFonts w:asciiTheme="majorHAnsi" w:eastAsia="Times New Roman" w:hAnsiTheme="majorHAnsi" w:cstheme="majorHAnsi"/>
          <w:sz w:val="28"/>
          <w:szCs w:val="28"/>
          <w:lang w:eastAsia="vi-VN"/>
        </w:rPr>
        <w:t xml:space="preserve">về phát hành </w:t>
      </w:r>
      <w:r w:rsidR="00A10C0A" w:rsidRPr="005732B8">
        <w:rPr>
          <w:rFonts w:asciiTheme="majorHAnsi" w:eastAsia="Times New Roman" w:hAnsiTheme="majorHAnsi" w:cstheme="majorHAnsi"/>
          <w:sz w:val="28"/>
          <w:szCs w:val="28"/>
          <w:lang w:eastAsia="vi-VN"/>
        </w:rPr>
        <w:t>kỳ phiếu, tín phiếu, chứng chỉ tiền gửi, trái phiếu trong n</w:t>
      </w:r>
      <w:r w:rsidRPr="005732B8">
        <w:rPr>
          <w:rFonts w:asciiTheme="majorHAnsi" w:eastAsia="Times New Roman" w:hAnsiTheme="majorHAnsi" w:cstheme="majorHAnsi"/>
          <w:sz w:val="28"/>
          <w:szCs w:val="28"/>
          <w:lang w:eastAsia="vi-VN"/>
        </w:rPr>
        <w:t>ước của tổ chức tín dụng</w:t>
      </w:r>
      <w:r w:rsidR="00A10C0A" w:rsidRPr="005732B8">
        <w:rPr>
          <w:rFonts w:asciiTheme="majorHAnsi" w:eastAsia="Times New Roman" w:hAnsiTheme="majorHAnsi" w:cstheme="majorHAnsi"/>
          <w:sz w:val="28"/>
          <w:szCs w:val="28"/>
          <w:lang w:eastAsia="vi-VN"/>
        </w:rPr>
        <w:t>, chi nhánh ngân hàng nước ngoài</w:t>
      </w:r>
      <w:r w:rsidRPr="005732B8">
        <w:rPr>
          <w:rFonts w:asciiTheme="majorHAnsi" w:eastAsia="Times New Roman" w:hAnsiTheme="majorHAnsi" w:cstheme="majorHAnsi"/>
          <w:sz w:val="28"/>
          <w:szCs w:val="28"/>
          <w:lang w:eastAsia="vi-VN"/>
        </w:rPr>
        <w:t>;</w:t>
      </w:r>
    </w:p>
    <w:p w:rsidR="00A10C0A" w:rsidRPr="005732B8" w:rsidRDefault="00A10C0A" w:rsidP="002B276D">
      <w:pPr>
        <w:spacing w:before="120" w:after="0" w:line="340" w:lineRule="exact"/>
        <w:ind w:firstLine="720"/>
        <w:jc w:val="both"/>
        <w:rPr>
          <w:rFonts w:asciiTheme="majorHAnsi" w:eastAsia="Times New Roman" w:hAnsiTheme="majorHAnsi" w:cstheme="majorHAnsi"/>
          <w:sz w:val="28"/>
          <w:szCs w:val="28"/>
          <w:lang w:eastAsia="vi-VN"/>
        </w:rPr>
      </w:pPr>
      <w:r w:rsidRPr="005732B8">
        <w:rPr>
          <w:rFonts w:asciiTheme="majorHAnsi" w:eastAsia="Times New Roman" w:hAnsiTheme="majorHAnsi" w:cstheme="majorHAnsi"/>
          <w:sz w:val="28"/>
          <w:szCs w:val="28"/>
          <w:lang w:eastAsia="vi-VN"/>
        </w:rPr>
        <w:t>b) Thông tư số 33/2019/TT-NHNN ngày 31/12/2019 của Thống đốc Ngân hàng Nhà nước sửa đổi, bổ sung một số điều của Thông tư số 34/2013/TT-NHNN ngày 31/12/2013 của Thống đốc Ngân hàng Nhà nước quy định về phát hành kỳ phiếu, tín phiếu, chứng chỉ tiền gửi, trái phiếu trong nước của tổ chức tín dụng, chi nhánh ngân hàng nước ngoài</w:t>
      </w:r>
      <w:r w:rsidR="0007660D" w:rsidRPr="005732B8">
        <w:rPr>
          <w:rFonts w:asciiTheme="majorHAnsi" w:eastAsia="Times New Roman" w:hAnsiTheme="majorHAnsi" w:cstheme="majorHAnsi"/>
          <w:sz w:val="28"/>
          <w:szCs w:val="28"/>
          <w:lang w:eastAsia="vi-VN"/>
        </w:rPr>
        <w:t>.</w:t>
      </w:r>
    </w:p>
    <w:p w:rsidR="00A10C0A" w:rsidRPr="005732B8" w:rsidRDefault="00A10C0A" w:rsidP="002B276D">
      <w:pPr>
        <w:spacing w:before="120" w:after="0" w:line="340" w:lineRule="exact"/>
        <w:ind w:firstLine="720"/>
        <w:jc w:val="both"/>
        <w:rPr>
          <w:rFonts w:asciiTheme="majorHAnsi" w:eastAsia="Times New Roman" w:hAnsiTheme="majorHAnsi" w:cstheme="majorHAnsi"/>
          <w:b/>
          <w:sz w:val="28"/>
          <w:szCs w:val="28"/>
          <w:lang w:val="pt-BR" w:eastAsia="vi-VN"/>
        </w:rPr>
      </w:pPr>
      <w:r w:rsidRPr="005732B8">
        <w:rPr>
          <w:rFonts w:asciiTheme="majorHAnsi" w:eastAsia="Times New Roman" w:hAnsiTheme="majorHAnsi" w:cstheme="majorHAnsi"/>
          <w:bCs/>
          <w:sz w:val="28"/>
          <w:szCs w:val="28"/>
          <w:lang w:val="de-DE" w:eastAsia="vi-VN"/>
        </w:rPr>
        <w:lastRenderedPageBreak/>
        <w:t>3. Đối với Phương án phát hành trái phiếu đã được cấp có thẩm quyền của tổ chức tín dụng phê duyệt hoặc đã được Ngân hàng Nhà nước chấp thuận trước thời điểm Thông tư này có hiệu lực thi hành, tổ chức tín dụng tiếp tục thực hiện theo Phương án phát hành trái phiếu đã được phê duyệt, chấp thuận</w:t>
      </w:r>
      <w:r w:rsidR="001B1624">
        <w:rPr>
          <w:rFonts w:asciiTheme="majorHAnsi" w:eastAsia="Times New Roman" w:hAnsiTheme="majorHAnsi" w:cstheme="majorHAnsi"/>
          <w:sz w:val="28"/>
          <w:szCs w:val="28"/>
          <w:lang w:val="pt-BR" w:eastAsia="vi-VN"/>
        </w:rPr>
        <w:t>,</w:t>
      </w:r>
      <w:r w:rsidR="00C3538D" w:rsidRPr="005732B8">
        <w:rPr>
          <w:rFonts w:asciiTheme="majorHAnsi" w:eastAsia="Times New Roman" w:hAnsiTheme="majorHAnsi" w:cstheme="majorHAnsi"/>
          <w:sz w:val="28"/>
          <w:szCs w:val="28"/>
          <w:lang w:val="pt-BR" w:eastAsia="vi-VN"/>
        </w:rPr>
        <w:t xml:space="preserve"> </w:t>
      </w:r>
      <w:r w:rsidRPr="005732B8">
        <w:rPr>
          <w:rFonts w:asciiTheme="majorHAnsi" w:eastAsia="Times New Roman" w:hAnsiTheme="majorHAnsi" w:cstheme="majorHAnsi"/>
          <w:sz w:val="28"/>
          <w:szCs w:val="28"/>
          <w:lang w:val="pt-BR" w:eastAsia="vi-VN"/>
        </w:rPr>
        <w:t xml:space="preserve">trừ trường hợp tổ chức tín dụng mua lại trái phiếu trước hạn thì thực hiện theo quy định của Luật Chứng khoán </w:t>
      </w:r>
      <w:r w:rsidRPr="005732B8">
        <w:rPr>
          <w:rFonts w:asciiTheme="majorHAnsi" w:eastAsia="Times New Roman" w:hAnsiTheme="majorHAnsi" w:cstheme="majorHAnsi"/>
          <w:sz w:val="28"/>
          <w:szCs w:val="28"/>
          <w:lang w:val="pl-PL" w:eastAsia="vi-VN"/>
        </w:rPr>
        <w:t>và các quy định</w:t>
      </w:r>
      <w:r w:rsidRPr="005732B8">
        <w:rPr>
          <w:rFonts w:asciiTheme="majorHAnsi" w:eastAsia="Times New Roman" w:hAnsiTheme="majorHAnsi" w:cstheme="majorHAnsi"/>
          <w:sz w:val="28"/>
          <w:szCs w:val="28"/>
          <w:lang w:val="de-DE" w:eastAsia="vi-VN"/>
        </w:rPr>
        <w:t xml:space="preserve"> pháp luật khác có liên quan.</w:t>
      </w:r>
    </w:p>
    <w:p w:rsidR="00B65FB9" w:rsidRPr="002570DA" w:rsidRDefault="004A26E3" w:rsidP="002B276D">
      <w:pPr>
        <w:pStyle w:val="Heading1"/>
        <w:spacing w:line="340" w:lineRule="exact"/>
        <w:rPr>
          <w:rFonts w:eastAsia="Times New Roman"/>
          <w:lang w:val="pt-BR" w:eastAsia="vi-VN"/>
        </w:rPr>
      </w:pPr>
      <w:bookmarkStart w:id="28" w:name="dieu_30"/>
      <w:r w:rsidRPr="005732B8">
        <w:rPr>
          <w:rFonts w:eastAsia="Times New Roman"/>
          <w:lang w:eastAsia="vi-VN"/>
        </w:rPr>
        <w:t xml:space="preserve">Điều </w:t>
      </w:r>
      <w:r w:rsidRPr="005732B8">
        <w:rPr>
          <w:rFonts w:eastAsia="Times New Roman"/>
          <w:lang w:val="pt-BR" w:eastAsia="vi-VN"/>
        </w:rPr>
        <w:t>2</w:t>
      </w:r>
      <w:r w:rsidR="00FC5AB7">
        <w:rPr>
          <w:rFonts w:eastAsia="Times New Roman"/>
          <w:lang w:val="pt-BR" w:eastAsia="vi-VN"/>
        </w:rPr>
        <w:t>2</w:t>
      </w:r>
      <w:r w:rsidR="00B65FB9" w:rsidRPr="005732B8">
        <w:rPr>
          <w:rFonts w:eastAsia="Times New Roman"/>
          <w:lang w:eastAsia="vi-VN"/>
        </w:rPr>
        <w:t xml:space="preserve">. Tổ chức </w:t>
      </w:r>
      <w:bookmarkEnd w:id="28"/>
      <w:r w:rsidR="002B276D" w:rsidRPr="002570DA">
        <w:rPr>
          <w:rFonts w:eastAsia="Times New Roman"/>
          <w:lang w:val="pt-BR" w:eastAsia="vi-VN"/>
        </w:rPr>
        <w:t>thực hiện</w:t>
      </w:r>
    </w:p>
    <w:p w:rsidR="00B65FB9" w:rsidRPr="005732B8" w:rsidRDefault="00B65FB9" w:rsidP="002B276D">
      <w:pPr>
        <w:spacing w:before="120" w:after="0" w:line="340" w:lineRule="exact"/>
        <w:ind w:firstLine="720"/>
        <w:jc w:val="both"/>
        <w:rPr>
          <w:rFonts w:asciiTheme="majorHAnsi" w:eastAsia="Times New Roman" w:hAnsiTheme="majorHAnsi" w:cstheme="majorHAnsi"/>
          <w:sz w:val="28"/>
          <w:szCs w:val="28"/>
          <w:lang w:val="pt-BR" w:eastAsia="vi-VN"/>
        </w:rPr>
      </w:pPr>
      <w:r w:rsidRPr="005732B8">
        <w:rPr>
          <w:rFonts w:asciiTheme="majorHAnsi" w:eastAsia="Times New Roman" w:hAnsiTheme="majorHAnsi" w:cstheme="majorHAnsi"/>
          <w:sz w:val="28"/>
          <w:szCs w:val="28"/>
          <w:lang w:eastAsia="vi-VN"/>
        </w:rPr>
        <w:t>Chánh Văn phòng, Vụ trưởng Vụ Chính sách tiền tệ và Thủ trưởng các đơn vị thuộc Ngân hàng Nhà nước; Giám đốc Ngân hàng Nhà nước chi nhánh tỉnh thành phố trực thuộc Trung ương; Chủ tịch Hội đồng quản trị, Chủ tịch Hội đồng thành viên, Tổng Giám đốc (Giám đốc) tổ chức tín dụng, chi nhánh ngân hàng nước ngoài chịu trách nhiệm tổ chức thi hành Thông tư này.</w:t>
      </w:r>
      <w:r w:rsidR="00612257" w:rsidRPr="005732B8">
        <w:rPr>
          <w:rFonts w:asciiTheme="majorHAnsi" w:eastAsia="Times New Roman" w:hAnsiTheme="majorHAnsi" w:cstheme="majorHAnsi"/>
          <w:sz w:val="28"/>
          <w:szCs w:val="28"/>
          <w:lang w:eastAsia="vi-VN"/>
        </w:rPr>
        <w:t>/.</w:t>
      </w:r>
    </w:p>
    <w:p w:rsidR="009C77F5" w:rsidRPr="005732B8" w:rsidRDefault="009C77F5" w:rsidP="00612257">
      <w:pPr>
        <w:tabs>
          <w:tab w:val="left" w:pos="1985"/>
        </w:tabs>
        <w:spacing w:before="120" w:after="0" w:line="252" w:lineRule="auto"/>
        <w:ind w:firstLine="720"/>
        <w:jc w:val="both"/>
        <w:rPr>
          <w:rFonts w:asciiTheme="majorHAnsi" w:eastAsia="Times New Roman" w:hAnsiTheme="majorHAnsi" w:cstheme="majorHAnsi"/>
          <w:sz w:val="28"/>
          <w:szCs w:val="28"/>
          <w:lang w:val="pt-BR" w:eastAsia="vi-VN"/>
        </w:rPr>
      </w:pPr>
    </w:p>
    <w:p w:rsidR="00544DFD" w:rsidRPr="005732B8" w:rsidRDefault="00612257" w:rsidP="009C77F5">
      <w:pPr>
        <w:spacing w:after="0" w:line="340" w:lineRule="exact"/>
        <w:ind w:left="5041" w:firstLine="720"/>
        <w:jc w:val="both"/>
        <w:rPr>
          <w:rFonts w:ascii="Times New Roman" w:eastAsia="Times New Roman" w:hAnsi="Times New Roman" w:cs="Times New Roman"/>
          <w:sz w:val="28"/>
          <w:szCs w:val="28"/>
          <w:lang w:val="de-DE"/>
        </w:rPr>
      </w:pPr>
      <w:r w:rsidRPr="005732B8">
        <w:rPr>
          <w:rFonts w:ascii="Times New Roman" w:eastAsia="Times New Roman" w:hAnsi="Times New Roman" w:cs="Times New Roman"/>
          <w:b/>
          <w:bCs/>
          <w:sz w:val="28"/>
          <w:szCs w:val="28"/>
          <w:lang w:val="de-DE"/>
        </w:rPr>
        <w:t xml:space="preserve">      </w:t>
      </w:r>
      <w:r w:rsidR="00544DFD" w:rsidRPr="005732B8">
        <w:rPr>
          <w:rFonts w:ascii="Times New Roman" w:eastAsia="Times New Roman" w:hAnsi="Times New Roman" w:cs="Times New Roman"/>
          <w:b/>
          <w:bCs/>
          <w:sz w:val="28"/>
          <w:szCs w:val="28"/>
          <w:lang w:val="de-DE"/>
        </w:rPr>
        <w:t>THỐNG ĐỐC</w:t>
      </w:r>
    </w:p>
    <w:tbl>
      <w:tblPr>
        <w:tblW w:w="9288" w:type="dxa"/>
        <w:tblInd w:w="108" w:type="dxa"/>
        <w:tblLook w:val="04A0" w:firstRow="1" w:lastRow="0" w:firstColumn="1" w:lastColumn="0" w:noHBand="0" w:noVBand="1"/>
      </w:tblPr>
      <w:tblGrid>
        <w:gridCol w:w="4644"/>
        <w:gridCol w:w="4644"/>
      </w:tblGrid>
      <w:tr w:rsidR="00544DFD" w:rsidRPr="00544DFD" w:rsidTr="003E4972">
        <w:tc>
          <w:tcPr>
            <w:tcW w:w="4644" w:type="dxa"/>
            <w:shd w:val="clear" w:color="auto" w:fill="auto"/>
          </w:tcPr>
          <w:p w:rsidR="00544DFD" w:rsidRPr="005732B8" w:rsidRDefault="00544DFD" w:rsidP="00544DFD">
            <w:pPr>
              <w:spacing w:after="0" w:line="240" w:lineRule="auto"/>
              <w:ind w:left="-250" w:firstLine="142"/>
              <w:rPr>
                <w:rFonts w:ascii="Times New Roman" w:eastAsia="Times New Roman" w:hAnsi="Times New Roman" w:cs="Times New Roman"/>
                <w:b/>
                <w:i/>
                <w:sz w:val="24"/>
                <w:szCs w:val="24"/>
                <w:lang w:val="de-DE"/>
              </w:rPr>
            </w:pPr>
            <w:r w:rsidRPr="005732B8">
              <w:rPr>
                <w:rFonts w:ascii="Times New Roman" w:eastAsia="Times New Roman" w:hAnsi="Times New Roman" w:cs="Times New Roman"/>
                <w:b/>
                <w:i/>
                <w:sz w:val="24"/>
                <w:szCs w:val="24"/>
                <w:lang w:val="de-DE"/>
              </w:rPr>
              <w:t xml:space="preserve">Nơi nhận: </w:t>
            </w:r>
          </w:p>
          <w:p w:rsidR="00544DFD" w:rsidRPr="005732B8" w:rsidRDefault="00544DFD" w:rsidP="00544DFD">
            <w:pPr>
              <w:spacing w:after="0" w:line="240" w:lineRule="auto"/>
              <w:ind w:left="-108"/>
              <w:rPr>
                <w:rFonts w:ascii="Times New Roman" w:eastAsia="Times New Roman" w:hAnsi="Times New Roman" w:cs="Times New Roman"/>
                <w:sz w:val="24"/>
                <w:szCs w:val="24"/>
                <w:lang w:val="de-DE"/>
              </w:rPr>
            </w:pPr>
            <w:r w:rsidRPr="005732B8">
              <w:rPr>
                <w:rFonts w:ascii="Times New Roman" w:eastAsia="Times New Roman" w:hAnsi="Times New Roman" w:cs="Times New Roman"/>
                <w:sz w:val="24"/>
                <w:szCs w:val="24"/>
                <w:lang w:val="de-DE"/>
              </w:rPr>
              <w:t xml:space="preserve">- Như Điều </w:t>
            </w:r>
            <w:r w:rsidR="004A26E3" w:rsidRPr="005732B8">
              <w:rPr>
                <w:rFonts w:ascii="Times New Roman" w:eastAsia="Times New Roman" w:hAnsi="Times New Roman" w:cs="Times New Roman"/>
                <w:sz w:val="24"/>
                <w:szCs w:val="24"/>
                <w:lang w:val="de-DE"/>
              </w:rPr>
              <w:t>2</w:t>
            </w:r>
            <w:r w:rsidR="002570DA">
              <w:rPr>
                <w:rFonts w:ascii="Times New Roman" w:eastAsia="Times New Roman" w:hAnsi="Times New Roman" w:cs="Times New Roman"/>
                <w:sz w:val="24"/>
                <w:szCs w:val="24"/>
                <w:lang w:val="de-DE"/>
              </w:rPr>
              <w:t>2</w:t>
            </w:r>
            <w:r w:rsidRPr="005732B8">
              <w:rPr>
                <w:rFonts w:ascii="Times New Roman" w:eastAsia="Times New Roman" w:hAnsi="Times New Roman" w:cs="Times New Roman"/>
                <w:sz w:val="24"/>
                <w:szCs w:val="24"/>
                <w:lang w:val="de-DE"/>
              </w:rPr>
              <w:t xml:space="preserve">; </w:t>
            </w:r>
          </w:p>
          <w:p w:rsidR="00544DFD" w:rsidRPr="005732B8" w:rsidRDefault="00544DFD" w:rsidP="00544DFD">
            <w:pPr>
              <w:spacing w:after="0" w:line="240" w:lineRule="auto"/>
              <w:ind w:hanging="108"/>
              <w:rPr>
                <w:rFonts w:ascii="Times New Roman" w:eastAsia="Times New Roman" w:hAnsi="Times New Roman" w:cs="Times New Roman"/>
                <w:sz w:val="24"/>
                <w:szCs w:val="24"/>
                <w:lang w:val="de-DE"/>
              </w:rPr>
            </w:pPr>
            <w:r w:rsidRPr="005732B8">
              <w:rPr>
                <w:rFonts w:ascii="Times New Roman" w:eastAsia="Times New Roman" w:hAnsi="Times New Roman" w:cs="Times New Roman"/>
                <w:sz w:val="24"/>
                <w:szCs w:val="24"/>
                <w:lang w:val="de-DE"/>
              </w:rPr>
              <w:t>- Ban Lãnh đạo NHNN;</w:t>
            </w:r>
          </w:p>
          <w:p w:rsidR="00544DFD" w:rsidRPr="005732B8" w:rsidRDefault="00544DFD" w:rsidP="00544DFD">
            <w:pPr>
              <w:spacing w:after="0" w:line="240" w:lineRule="auto"/>
              <w:ind w:hanging="108"/>
              <w:rPr>
                <w:rFonts w:ascii="Times New Roman" w:eastAsia="Times New Roman" w:hAnsi="Times New Roman" w:cs="Times New Roman"/>
                <w:sz w:val="24"/>
                <w:szCs w:val="24"/>
                <w:lang w:val="de-DE"/>
              </w:rPr>
            </w:pPr>
            <w:r w:rsidRPr="005732B8">
              <w:rPr>
                <w:rFonts w:ascii="Times New Roman" w:eastAsia="Times New Roman" w:hAnsi="Times New Roman" w:cs="Times New Roman"/>
                <w:sz w:val="24"/>
                <w:szCs w:val="24"/>
                <w:lang w:val="de-DE"/>
              </w:rPr>
              <w:t>- Văn phòng Chính phủ;</w:t>
            </w:r>
          </w:p>
          <w:p w:rsidR="00544DFD" w:rsidRPr="005732B8" w:rsidRDefault="00544DFD" w:rsidP="00544DFD">
            <w:pPr>
              <w:spacing w:after="0" w:line="240" w:lineRule="auto"/>
              <w:ind w:hanging="108"/>
              <w:rPr>
                <w:rFonts w:ascii="Times New Roman" w:eastAsia="Times New Roman" w:hAnsi="Times New Roman" w:cs="Times New Roman"/>
                <w:sz w:val="24"/>
                <w:szCs w:val="24"/>
                <w:lang w:val="de-DE"/>
              </w:rPr>
            </w:pPr>
            <w:r w:rsidRPr="005732B8">
              <w:rPr>
                <w:rFonts w:ascii="Times New Roman" w:eastAsia="Times New Roman" w:hAnsi="Times New Roman" w:cs="Times New Roman"/>
                <w:sz w:val="24"/>
                <w:szCs w:val="24"/>
                <w:lang w:val="de-DE"/>
              </w:rPr>
              <w:t>- Bộ Tư pháp (để kiểm tra);</w:t>
            </w:r>
          </w:p>
          <w:p w:rsidR="00544DFD" w:rsidRPr="005732B8" w:rsidRDefault="00544DFD" w:rsidP="00544DFD">
            <w:pPr>
              <w:spacing w:after="0" w:line="240" w:lineRule="auto"/>
              <w:ind w:hanging="108"/>
              <w:rPr>
                <w:rFonts w:ascii="Times New Roman" w:eastAsia="Times New Roman" w:hAnsi="Times New Roman" w:cs="Times New Roman"/>
                <w:sz w:val="24"/>
                <w:szCs w:val="24"/>
                <w:lang w:val="de-DE"/>
              </w:rPr>
            </w:pPr>
            <w:r w:rsidRPr="005732B8">
              <w:rPr>
                <w:rFonts w:ascii="Times New Roman" w:eastAsia="Times New Roman" w:hAnsi="Times New Roman" w:cs="Times New Roman"/>
                <w:sz w:val="24"/>
                <w:szCs w:val="24"/>
                <w:lang w:val="de-DE"/>
              </w:rPr>
              <w:t>- Công báo;</w:t>
            </w:r>
          </w:p>
          <w:p w:rsidR="00544DFD" w:rsidRPr="00544DFD" w:rsidRDefault="00544DFD" w:rsidP="008A122E">
            <w:pPr>
              <w:spacing w:after="0" w:line="240" w:lineRule="auto"/>
              <w:ind w:hanging="108"/>
              <w:rPr>
                <w:rFonts w:ascii="Times New Roman" w:eastAsia="Times New Roman" w:hAnsi="Times New Roman" w:cs="Times New Roman"/>
                <w:sz w:val="24"/>
                <w:szCs w:val="24"/>
                <w:lang w:val="de-DE"/>
              </w:rPr>
            </w:pPr>
            <w:r w:rsidRPr="005732B8">
              <w:rPr>
                <w:rFonts w:ascii="Times New Roman" w:eastAsia="Times New Roman" w:hAnsi="Times New Roman" w:cs="Times New Roman"/>
                <w:sz w:val="24"/>
                <w:szCs w:val="24"/>
                <w:lang w:val="de-DE"/>
              </w:rPr>
              <w:t>- Lưu</w:t>
            </w:r>
            <w:r w:rsidR="008A122E" w:rsidRPr="005732B8">
              <w:rPr>
                <w:rFonts w:ascii="Times New Roman" w:eastAsia="Times New Roman" w:hAnsi="Times New Roman" w:cs="Times New Roman"/>
                <w:sz w:val="24"/>
                <w:szCs w:val="24"/>
                <w:lang w:val="de-DE"/>
              </w:rPr>
              <w:t xml:space="preserve">: VP, </w:t>
            </w:r>
            <w:r w:rsidRPr="005732B8">
              <w:rPr>
                <w:rFonts w:ascii="Times New Roman" w:eastAsia="Times New Roman" w:hAnsi="Times New Roman" w:cs="Times New Roman"/>
                <w:sz w:val="24"/>
                <w:szCs w:val="24"/>
                <w:lang w:val="de-DE"/>
              </w:rPr>
              <w:t>PC, CSTT (3 bản).</w:t>
            </w:r>
          </w:p>
        </w:tc>
        <w:tc>
          <w:tcPr>
            <w:tcW w:w="4644" w:type="dxa"/>
            <w:shd w:val="clear" w:color="auto" w:fill="auto"/>
          </w:tcPr>
          <w:p w:rsidR="00544DFD" w:rsidRPr="00544DFD" w:rsidRDefault="00544DFD" w:rsidP="00544DFD">
            <w:pPr>
              <w:spacing w:before="120" w:after="0" w:line="340" w:lineRule="exact"/>
              <w:jc w:val="both"/>
              <w:rPr>
                <w:rFonts w:ascii="Times New Roman" w:eastAsia="Times New Roman" w:hAnsi="Times New Roman" w:cs="Times New Roman"/>
                <w:sz w:val="28"/>
                <w:szCs w:val="28"/>
                <w:lang w:val="de-DE"/>
              </w:rPr>
            </w:pPr>
          </w:p>
        </w:tc>
      </w:tr>
    </w:tbl>
    <w:p w:rsidR="00544DFD" w:rsidRPr="00544DFD" w:rsidRDefault="00544DFD" w:rsidP="00C33167">
      <w:pPr>
        <w:spacing w:before="120" w:after="0" w:line="252" w:lineRule="auto"/>
        <w:jc w:val="both"/>
        <w:rPr>
          <w:rFonts w:asciiTheme="majorHAnsi" w:eastAsia="Times New Roman" w:hAnsiTheme="majorHAnsi" w:cstheme="majorHAnsi"/>
          <w:sz w:val="26"/>
          <w:szCs w:val="26"/>
          <w:lang w:val="de-DE" w:eastAsia="vi-VN"/>
        </w:rPr>
      </w:pPr>
    </w:p>
    <w:p w:rsidR="00B65FB9" w:rsidRPr="002B0CB5" w:rsidRDefault="00B65FB9" w:rsidP="00B65FB9">
      <w:pPr>
        <w:spacing w:before="100" w:beforeAutospacing="1" w:after="100" w:afterAutospacing="1" w:line="240" w:lineRule="auto"/>
        <w:rPr>
          <w:rFonts w:asciiTheme="majorHAnsi" w:eastAsia="Times New Roman" w:hAnsiTheme="majorHAnsi" w:cstheme="majorHAnsi"/>
          <w:sz w:val="24"/>
          <w:szCs w:val="24"/>
          <w:lang w:eastAsia="vi-VN"/>
        </w:rPr>
      </w:pPr>
      <w:r w:rsidRPr="002B0CB5">
        <w:rPr>
          <w:rFonts w:asciiTheme="majorHAnsi" w:eastAsia="Times New Roman" w:hAnsiTheme="majorHAnsi" w:cstheme="majorHAnsi"/>
          <w:sz w:val="24"/>
          <w:szCs w:val="24"/>
          <w:lang w:eastAsia="vi-VN"/>
        </w:rPr>
        <w:br w:type="textWrapping" w:clear="all"/>
      </w:r>
    </w:p>
    <w:p w:rsidR="00B65FB9" w:rsidRPr="002B0CB5" w:rsidRDefault="00B65FB9" w:rsidP="00B65FB9">
      <w:pPr>
        <w:spacing w:after="0" w:line="240" w:lineRule="auto"/>
        <w:rPr>
          <w:rFonts w:asciiTheme="majorHAnsi" w:eastAsia="Times New Roman" w:hAnsiTheme="majorHAnsi" w:cstheme="majorHAnsi"/>
          <w:sz w:val="24"/>
          <w:szCs w:val="24"/>
          <w:lang w:eastAsia="vi-VN"/>
        </w:rPr>
      </w:pPr>
    </w:p>
    <w:sectPr w:rsidR="00B65FB9" w:rsidRPr="002B0CB5" w:rsidSect="00BF0913">
      <w:headerReference w:type="default" r:id="rId8"/>
      <w:pgSz w:w="11906" w:h="16838"/>
      <w:pgMar w:top="964" w:right="96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E8" w:rsidRDefault="00292EE8" w:rsidP="00826B40">
      <w:pPr>
        <w:spacing w:after="0" w:line="240" w:lineRule="auto"/>
      </w:pPr>
      <w:r>
        <w:separator/>
      </w:r>
    </w:p>
  </w:endnote>
  <w:endnote w:type="continuationSeparator" w:id="0">
    <w:p w:rsidR="00292EE8" w:rsidRDefault="00292EE8" w:rsidP="0082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E8" w:rsidRDefault="00292EE8" w:rsidP="00826B40">
      <w:pPr>
        <w:spacing w:after="0" w:line="240" w:lineRule="auto"/>
      </w:pPr>
      <w:r>
        <w:separator/>
      </w:r>
    </w:p>
  </w:footnote>
  <w:footnote w:type="continuationSeparator" w:id="0">
    <w:p w:rsidR="00292EE8" w:rsidRDefault="00292EE8" w:rsidP="00826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607319"/>
      <w:docPartObj>
        <w:docPartGallery w:val="Page Numbers (Top of Page)"/>
        <w:docPartUnique/>
      </w:docPartObj>
    </w:sdtPr>
    <w:sdtEndPr>
      <w:rPr>
        <w:rFonts w:asciiTheme="majorHAnsi" w:hAnsiTheme="majorHAnsi" w:cstheme="majorHAnsi"/>
        <w:noProof/>
        <w:sz w:val="24"/>
        <w:szCs w:val="24"/>
      </w:rPr>
    </w:sdtEndPr>
    <w:sdtContent>
      <w:p w:rsidR="005E75A9" w:rsidRPr="001C716B" w:rsidRDefault="005E75A9">
        <w:pPr>
          <w:pStyle w:val="Header"/>
          <w:jc w:val="center"/>
          <w:rPr>
            <w:rFonts w:asciiTheme="majorHAnsi" w:hAnsiTheme="majorHAnsi" w:cstheme="majorHAnsi"/>
            <w:sz w:val="24"/>
            <w:szCs w:val="24"/>
          </w:rPr>
        </w:pPr>
        <w:r w:rsidRPr="001C716B">
          <w:rPr>
            <w:rFonts w:asciiTheme="majorHAnsi" w:hAnsiTheme="majorHAnsi" w:cstheme="majorHAnsi"/>
            <w:sz w:val="24"/>
            <w:szCs w:val="24"/>
          </w:rPr>
          <w:fldChar w:fldCharType="begin"/>
        </w:r>
        <w:r w:rsidRPr="001C716B">
          <w:rPr>
            <w:rFonts w:asciiTheme="majorHAnsi" w:hAnsiTheme="majorHAnsi" w:cstheme="majorHAnsi"/>
            <w:sz w:val="24"/>
            <w:szCs w:val="24"/>
          </w:rPr>
          <w:instrText xml:space="preserve"> PAGE   \* MERGEFORMAT </w:instrText>
        </w:r>
        <w:r w:rsidRPr="001C716B">
          <w:rPr>
            <w:rFonts w:asciiTheme="majorHAnsi" w:hAnsiTheme="majorHAnsi" w:cstheme="majorHAnsi"/>
            <w:sz w:val="24"/>
            <w:szCs w:val="24"/>
          </w:rPr>
          <w:fldChar w:fldCharType="separate"/>
        </w:r>
        <w:r w:rsidR="00C87BA3">
          <w:rPr>
            <w:rFonts w:asciiTheme="majorHAnsi" w:hAnsiTheme="majorHAnsi" w:cstheme="majorHAnsi"/>
            <w:noProof/>
            <w:sz w:val="24"/>
            <w:szCs w:val="24"/>
          </w:rPr>
          <w:t>7</w:t>
        </w:r>
        <w:r w:rsidRPr="001C716B">
          <w:rPr>
            <w:rFonts w:asciiTheme="majorHAnsi" w:hAnsiTheme="majorHAnsi" w:cstheme="majorHAnsi"/>
            <w:noProof/>
            <w:sz w:val="24"/>
            <w:szCs w:val="24"/>
          </w:rPr>
          <w:fldChar w:fldCharType="end"/>
        </w:r>
      </w:p>
    </w:sdtContent>
  </w:sdt>
  <w:p w:rsidR="005E75A9" w:rsidRDefault="005E7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E04E8"/>
    <w:multiLevelType w:val="multilevel"/>
    <w:tmpl w:val="EA6C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35805"/>
    <w:multiLevelType w:val="multilevel"/>
    <w:tmpl w:val="FEC8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D3D53"/>
    <w:multiLevelType w:val="multilevel"/>
    <w:tmpl w:val="CD78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4593C"/>
    <w:multiLevelType w:val="multilevel"/>
    <w:tmpl w:val="4C80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B9"/>
    <w:rsid w:val="000109AA"/>
    <w:rsid w:val="00030929"/>
    <w:rsid w:val="00034EDF"/>
    <w:rsid w:val="00052CCA"/>
    <w:rsid w:val="0007660D"/>
    <w:rsid w:val="00077AB6"/>
    <w:rsid w:val="00085C9C"/>
    <w:rsid w:val="00087AED"/>
    <w:rsid w:val="000A0051"/>
    <w:rsid w:val="000B5969"/>
    <w:rsid w:val="000B71B3"/>
    <w:rsid w:val="000C10B1"/>
    <w:rsid w:val="000C18F5"/>
    <w:rsid w:val="000D4FD9"/>
    <w:rsid w:val="000E420F"/>
    <w:rsid w:val="000E508B"/>
    <w:rsid w:val="000E6F3B"/>
    <w:rsid w:val="000F4721"/>
    <w:rsid w:val="000F73A7"/>
    <w:rsid w:val="000F75A7"/>
    <w:rsid w:val="00111343"/>
    <w:rsid w:val="00116B2A"/>
    <w:rsid w:val="00116C18"/>
    <w:rsid w:val="0011758C"/>
    <w:rsid w:val="00145AAD"/>
    <w:rsid w:val="00146903"/>
    <w:rsid w:val="00162C55"/>
    <w:rsid w:val="001638CF"/>
    <w:rsid w:val="0016437F"/>
    <w:rsid w:val="001645EF"/>
    <w:rsid w:val="00171833"/>
    <w:rsid w:val="00174D89"/>
    <w:rsid w:val="00175A5E"/>
    <w:rsid w:val="00176ACF"/>
    <w:rsid w:val="00177135"/>
    <w:rsid w:val="001940E2"/>
    <w:rsid w:val="0019505E"/>
    <w:rsid w:val="001964BC"/>
    <w:rsid w:val="0019685E"/>
    <w:rsid w:val="001B1624"/>
    <w:rsid w:val="001B37B0"/>
    <w:rsid w:val="001C716B"/>
    <w:rsid w:val="001D5C01"/>
    <w:rsid w:val="001E08F1"/>
    <w:rsid w:val="001F3397"/>
    <w:rsid w:val="002051DE"/>
    <w:rsid w:val="0021443B"/>
    <w:rsid w:val="00224499"/>
    <w:rsid w:val="00231854"/>
    <w:rsid w:val="00232ED3"/>
    <w:rsid w:val="00246050"/>
    <w:rsid w:val="002524BA"/>
    <w:rsid w:val="00252866"/>
    <w:rsid w:val="002570DA"/>
    <w:rsid w:val="002638B2"/>
    <w:rsid w:val="00281D33"/>
    <w:rsid w:val="00290B59"/>
    <w:rsid w:val="00290C86"/>
    <w:rsid w:val="0029250F"/>
    <w:rsid w:val="00292EE8"/>
    <w:rsid w:val="002A659B"/>
    <w:rsid w:val="002B0CB5"/>
    <w:rsid w:val="002B276D"/>
    <w:rsid w:val="002C113D"/>
    <w:rsid w:val="002C5919"/>
    <w:rsid w:val="002D020F"/>
    <w:rsid w:val="002D47C0"/>
    <w:rsid w:val="002E3DB2"/>
    <w:rsid w:val="002F0A98"/>
    <w:rsid w:val="003051C2"/>
    <w:rsid w:val="003226E8"/>
    <w:rsid w:val="00327569"/>
    <w:rsid w:val="00330342"/>
    <w:rsid w:val="00331DD5"/>
    <w:rsid w:val="00336FF2"/>
    <w:rsid w:val="00344BE1"/>
    <w:rsid w:val="00347D6D"/>
    <w:rsid w:val="003505A8"/>
    <w:rsid w:val="003569E3"/>
    <w:rsid w:val="003623B2"/>
    <w:rsid w:val="003659C1"/>
    <w:rsid w:val="003745B7"/>
    <w:rsid w:val="003817D8"/>
    <w:rsid w:val="00392163"/>
    <w:rsid w:val="003A4843"/>
    <w:rsid w:val="003B5E92"/>
    <w:rsid w:val="003C7AB5"/>
    <w:rsid w:val="003D771B"/>
    <w:rsid w:val="003E7E84"/>
    <w:rsid w:val="00417E40"/>
    <w:rsid w:val="0042774C"/>
    <w:rsid w:val="004446BD"/>
    <w:rsid w:val="00447B8E"/>
    <w:rsid w:val="004555BC"/>
    <w:rsid w:val="00465316"/>
    <w:rsid w:val="0047101F"/>
    <w:rsid w:val="00487D0C"/>
    <w:rsid w:val="004A26E3"/>
    <w:rsid w:val="004C412E"/>
    <w:rsid w:val="004D0398"/>
    <w:rsid w:val="004D39C2"/>
    <w:rsid w:val="004D774C"/>
    <w:rsid w:val="004F15A4"/>
    <w:rsid w:val="0053009F"/>
    <w:rsid w:val="00536D75"/>
    <w:rsid w:val="00544DFD"/>
    <w:rsid w:val="005466A7"/>
    <w:rsid w:val="00550CE0"/>
    <w:rsid w:val="00564215"/>
    <w:rsid w:val="005732B8"/>
    <w:rsid w:val="00576AD6"/>
    <w:rsid w:val="00581A70"/>
    <w:rsid w:val="00585F7D"/>
    <w:rsid w:val="00587E50"/>
    <w:rsid w:val="005941FE"/>
    <w:rsid w:val="005B7208"/>
    <w:rsid w:val="005D3154"/>
    <w:rsid w:val="005D3340"/>
    <w:rsid w:val="005D56BB"/>
    <w:rsid w:val="005D7216"/>
    <w:rsid w:val="005E75A9"/>
    <w:rsid w:val="005F0F35"/>
    <w:rsid w:val="005F46B4"/>
    <w:rsid w:val="005F6B95"/>
    <w:rsid w:val="0060599B"/>
    <w:rsid w:val="00612257"/>
    <w:rsid w:val="00620586"/>
    <w:rsid w:val="006240E4"/>
    <w:rsid w:val="0062740F"/>
    <w:rsid w:val="00631E71"/>
    <w:rsid w:val="00645767"/>
    <w:rsid w:val="006475B6"/>
    <w:rsid w:val="00657638"/>
    <w:rsid w:val="00661D7A"/>
    <w:rsid w:val="006709AD"/>
    <w:rsid w:val="006709CD"/>
    <w:rsid w:val="0067394B"/>
    <w:rsid w:val="006778A4"/>
    <w:rsid w:val="00686B5E"/>
    <w:rsid w:val="00696D05"/>
    <w:rsid w:val="006A6D0F"/>
    <w:rsid w:val="006B0913"/>
    <w:rsid w:val="006C579E"/>
    <w:rsid w:val="006E47A5"/>
    <w:rsid w:val="006F5974"/>
    <w:rsid w:val="006F7AD0"/>
    <w:rsid w:val="00701018"/>
    <w:rsid w:val="00743B86"/>
    <w:rsid w:val="00744234"/>
    <w:rsid w:val="00767E84"/>
    <w:rsid w:val="007810E2"/>
    <w:rsid w:val="00783433"/>
    <w:rsid w:val="007A33DB"/>
    <w:rsid w:val="007A418A"/>
    <w:rsid w:val="007A611D"/>
    <w:rsid w:val="007E03B6"/>
    <w:rsid w:val="007E35BF"/>
    <w:rsid w:val="008006DE"/>
    <w:rsid w:val="00804052"/>
    <w:rsid w:val="00826B40"/>
    <w:rsid w:val="00826BBC"/>
    <w:rsid w:val="00841D65"/>
    <w:rsid w:val="008460FC"/>
    <w:rsid w:val="008464DF"/>
    <w:rsid w:val="00853551"/>
    <w:rsid w:val="00857703"/>
    <w:rsid w:val="008631F5"/>
    <w:rsid w:val="008777EF"/>
    <w:rsid w:val="00880E90"/>
    <w:rsid w:val="008823BE"/>
    <w:rsid w:val="008A122E"/>
    <w:rsid w:val="008B1646"/>
    <w:rsid w:val="008C385A"/>
    <w:rsid w:val="008D003F"/>
    <w:rsid w:val="008D6EA4"/>
    <w:rsid w:val="008E18D1"/>
    <w:rsid w:val="008E3609"/>
    <w:rsid w:val="008E6D13"/>
    <w:rsid w:val="00906F9A"/>
    <w:rsid w:val="0094110A"/>
    <w:rsid w:val="00947686"/>
    <w:rsid w:val="00950844"/>
    <w:rsid w:val="0096653B"/>
    <w:rsid w:val="00973E91"/>
    <w:rsid w:val="00976EB3"/>
    <w:rsid w:val="00985C2C"/>
    <w:rsid w:val="00991ED0"/>
    <w:rsid w:val="009A1BC9"/>
    <w:rsid w:val="009A787B"/>
    <w:rsid w:val="009C77F5"/>
    <w:rsid w:val="009D1792"/>
    <w:rsid w:val="009D3947"/>
    <w:rsid w:val="009D5245"/>
    <w:rsid w:val="009F0A7E"/>
    <w:rsid w:val="009F55AD"/>
    <w:rsid w:val="009F62F5"/>
    <w:rsid w:val="00A10C0A"/>
    <w:rsid w:val="00A16CF9"/>
    <w:rsid w:val="00A210C3"/>
    <w:rsid w:val="00A278FA"/>
    <w:rsid w:val="00A3317C"/>
    <w:rsid w:val="00A510B3"/>
    <w:rsid w:val="00A52B87"/>
    <w:rsid w:val="00A54C38"/>
    <w:rsid w:val="00A717E8"/>
    <w:rsid w:val="00A7299A"/>
    <w:rsid w:val="00A736F0"/>
    <w:rsid w:val="00A828C1"/>
    <w:rsid w:val="00A859AF"/>
    <w:rsid w:val="00A91086"/>
    <w:rsid w:val="00A91497"/>
    <w:rsid w:val="00AC014D"/>
    <w:rsid w:val="00AF5A98"/>
    <w:rsid w:val="00B22FE7"/>
    <w:rsid w:val="00B2722A"/>
    <w:rsid w:val="00B2750A"/>
    <w:rsid w:val="00B31EEA"/>
    <w:rsid w:val="00B4211D"/>
    <w:rsid w:val="00B434A9"/>
    <w:rsid w:val="00B65FB9"/>
    <w:rsid w:val="00B66E44"/>
    <w:rsid w:val="00B67115"/>
    <w:rsid w:val="00B744EF"/>
    <w:rsid w:val="00B87F39"/>
    <w:rsid w:val="00B90160"/>
    <w:rsid w:val="00B94250"/>
    <w:rsid w:val="00BB048B"/>
    <w:rsid w:val="00BB7309"/>
    <w:rsid w:val="00BC7B8C"/>
    <w:rsid w:val="00BE2C3A"/>
    <w:rsid w:val="00BE4B13"/>
    <w:rsid w:val="00BF0913"/>
    <w:rsid w:val="00BF52B9"/>
    <w:rsid w:val="00C04AE5"/>
    <w:rsid w:val="00C13029"/>
    <w:rsid w:val="00C138B7"/>
    <w:rsid w:val="00C141D2"/>
    <w:rsid w:val="00C14A81"/>
    <w:rsid w:val="00C20083"/>
    <w:rsid w:val="00C23713"/>
    <w:rsid w:val="00C30B50"/>
    <w:rsid w:val="00C32AC0"/>
    <w:rsid w:val="00C33167"/>
    <w:rsid w:val="00C3538D"/>
    <w:rsid w:val="00C37CB9"/>
    <w:rsid w:val="00C404F3"/>
    <w:rsid w:val="00C4467E"/>
    <w:rsid w:val="00C47876"/>
    <w:rsid w:val="00C704A4"/>
    <w:rsid w:val="00C7597A"/>
    <w:rsid w:val="00C82821"/>
    <w:rsid w:val="00C84415"/>
    <w:rsid w:val="00C87BA3"/>
    <w:rsid w:val="00C935EE"/>
    <w:rsid w:val="00C939A4"/>
    <w:rsid w:val="00C95BC6"/>
    <w:rsid w:val="00C971E2"/>
    <w:rsid w:val="00CA50AB"/>
    <w:rsid w:val="00CA511B"/>
    <w:rsid w:val="00CC2976"/>
    <w:rsid w:val="00CC37D9"/>
    <w:rsid w:val="00CD621C"/>
    <w:rsid w:val="00CE1DF7"/>
    <w:rsid w:val="00CF6283"/>
    <w:rsid w:val="00CF6AE1"/>
    <w:rsid w:val="00D047EA"/>
    <w:rsid w:val="00D04B54"/>
    <w:rsid w:val="00D36BB0"/>
    <w:rsid w:val="00D3744E"/>
    <w:rsid w:val="00D45F98"/>
    <w:rsid w:val="00D46F07"/>
    <w:rsid w:val="00D676B7"/>
    <w:rsid w:val="00D72163"/>
    <w:rsid w:val="00D743FB"/>
    <w:rsid w:val="00D87EF1"/>
    <w:rsid w:val="00D974A4"/>
    <w:rsid w:val="00DB037A"/>
    <w:rsid w:val="00DB424C"/>
    <w:rsid w:val="00DE0272"/>
    <w:rsid w:val="00DE2A72"/>
    <w:rsid w:val="00DF2379"/>
    <w:rsid w:val="00DF2A5D"/>
    <w:rsid w:val="00DF5076"/>
    <w:rsid w:val="00E06645"/>
    <w:rsid w:val="00E06661"/>
    <w:rsid w:val="00E109F6"/>
    <w:rsid w:val="00E236AE"/>
    <w:rsid w:val="00E2373D"/>
    <w:rsid w:val="00E330D7"/>
    <w:rsid w:val="00E376AF"/>
    <w:rsid w:val="00E440BE"/>
    <w:rsid w:val="00E8012A"/>
    <w:rsid w:val="00EA5D51"/>
    <w:rsid w:val="00EC010B"/>
    <w:rsid w:val="00EC0A9D"/>
    <w:rsid w:val="00EF06CD"/>
    <w:rsid w:val="00F13CAD"/>
    <w:rsid w:val="00F246AF"/>
    <w:rsid w:val="00F2592E"/>
    <w:rsid w:val="00F41CE0"/>
    <w:rsid w:val="00F42065"/>
    <w:rsid w:val="00F61004"/>
    <w:rsid w:val="00F72D3A"/>
    <w:rsid w:val="00F846E2"/>
    <w:rsid w:val="00F8775C"/>
    <w:rsid w:val="00F878E9"/>
    <w:rsid w:val="00FA25A9"/>
    <w:rsid w:val="00FA5CEE"/>
    <w:rsid w:val="00FC23BC"/>
    <w:rsid w:val="00FC5AB7"/>
    <w:rsid w:val="00FD49D1"/>
    <w:rsid w:val="00FD636B"/>
    <w:rsid w:val="00FD7BD7"/>
    <w:rsid w:val="00FE7A1B"/>
    <w:rsid w:val="00FF50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80DBD-5CE9-4F63-9C7F-A98F2652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511B"/>
    <w:pPr>
      <w:keepNext/>
      <w:keepLines/>
      <w:spacing w:before="120" w:after="0" w:line="252" w:lineRule="auto"/>
      <w:ind w:firstLine="737"/>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rsid w:val="000F4721"/>
    <w:pPr>
      <w:keepNext/>
      <w:spacing w:before="240" w:after="60" w:line="240" w:lineRule="auto"/>
      <w:outlineLvl w:val="1"/>
    </w:pPr>
    <w:rPr>
      <w:rFonts w:ascii="Times New Roman" w:eastAsia="Times New Roman" w:hAnsi="Times New Roman" w:cs="Times New Roman"/>
      <w:bCs/>
      <w:iCs/>
      <w:sz w:val="28"/>
      <w:szCs w:val="28"/>
      <w:lang w:val="en-US"/>
    </w:rPr>
  </w:style>
  <w:style w:type="paragraph" w:styleId="Heading3">
    <w:name w:val="heading 3"/>
    <w:basedOn w:val="Normal"/>
    <w:next w:val="Normal"/>
    <w:link w:val="Heading3Char"/>
    <w:uiPriority w:val="9"/>
    <w:unhideWhenUsed/>
    <w:qFormat/>
    <w:rsid w:val="00D676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76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5FB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65FB9"/>
    <w:rPr>
      <w:color w:val="0000FF"/>
      <w:u w:val="single"/>
    </w:rPr>
  </w:style>
  <w:style w:type="paragraph" w:customStyle="1" w:styleId="idtabs-new-bottom-lag">
    <w:name w:val="idtabs-new-bottom-lag"/>
    <w:basedOn w:val="Normal"/>
    <w:rsid w:val="00B65FB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65FB9"/>
    <w:rPr>
      <w:b/>
      <w:bCs/>
    </w:rPr>
  </w:style>
  <w:style w:type="character" w:customStyle="1" w:styleId="txt-ls">
    <w:name w:val="txt-ls"/>
    <w:basedOn w:val="DefaultParagraphFont"/>
    <w:rsid w:val="00B65FB9"/>
  </w:style>
  <w:style w:type="paragraph" w:styleId="FootnoteText">
    <w:name w:val="footnote text"/>
    <w:basedOn w:val="Normal"/>
    <w:link w:val="FootnoteTextChar"/>
    <w:uiPriority w:val="99"/>
    <w:semiHidden/>
    <w:unhideWhenUsed/>
    <w:rsid w:val="00826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B40"/>
    <w:rPr>
      <w:sz w:val="20"/>
      <w:szCs w:val="20"/>
    </w:rPr>
  </w:style>
  <w:style w:type="character" w:styleId="FootnoteReference">
    <w:name w:val="footnote reference"/>
    <w:basedOn w:val="DefaultParagraphFont"/>
    <w:uiPriority w:val="99"/>
    <w:semiHidden/>
    <w:unhideWhenUsed/>
    <w:rsid w:val="00826B40"/>
    <w:rPr>
      <w:vertAlign w:val="superscript"/>
    </w:rPr>
  </w:style>
  <w:style w:type="paragraph" w:styleId="Header">
    <w:name w:val="header"/>
    <w:basedOn w:val="Normal"/>
    <w:link w:val="HeaderChar"/>
    <w:uiPriority w:val="99"/>
    <w:unhideWhenUsed/>
    <w:rsid w:val="000F4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721"/>
  </w:style>
  <w:style w:type="paragraph" w:styleId="Footer">
    <w:name w:val="footer"/>
    <w:basedOn w:val="Normal"/>
    <w:link w:val="FooterChar"/>
    <w:uiPriority w:val="99"/>
    <w:unhideWhenUsed/>
    <w:rsid w:val="000F4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721"/>
  </w:style>
  <w:style w:type="character" w:customStyle="1" w:styleId="Heading2Char">
    <w:name w:val="Heading 2 Char"/>
    <w:basedOn w:val="DefaultParagraphFont"/>
    <w:link w:val="Heading2"/>
    <w:rsid w:val="000F4721"/>
    <w:rPr>
      <w:rFonts w:ascii="Times New Roman" w:eastAsia="Times New Roman" w:hAnsi="Times New Roman" w:cs="Times New Roman"/>
      <w:bCs/>
      <w:iCs/>
      <w:sz w:val="28"/>
      <w:szCs w:val="28"/>
      <w:lang w:val="en-US"/>
    </w:rPr>
  </w:style>
  <w:style w:type="paragraph" w:styleId="BalloonText">
    <w:name w:val="Balloon Text"/>
    <w:basedOn w:val="Normal"/>
    <w:link w:val="BalloonTextChar"/>
    <w:uiPriority w:val="99"/>
    <w:semiHidden/>
    <w:unhideWhenUsed/>
    <w:rsid w:val="002D4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7C0"/>
    <w:rPr>
      <w:rFonts w:ascii="Tahoma" w:hAnsi="Tahoma" w:cs="Tahoma"/>
      <w:sz w:val="16"/>
      <w:szCs w:val="16"/>
    </w:rPr>
  </w:style>
  <w:style w:type="character" w:customStyle="1" w:styleId="Heading1Char">
    <w:name w:val="Heading 1 Char"/>
    <w:basedOn w:val="DefaultParagraphFont"/>
    <w:link w:val="Heading1"/>
    <w:uiPriority w:val="9"/>
    <w:rsid w:val="00CA511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D676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676B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F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496129">
      <w:bodyDiv w:val="1"/>
      <w:marLeft w:val="0"/>
      <w:marRight w:val="0"/>
      <w:marTop w:val="0"/>
      <w:marBottom w:val="0"/>
      <w:divBdr>
        <w:top w:val="none" w:sz="0" w:space="0" w:color="auto"/>
        <w:left w:val="none" w:sz="0" w:space="0" w:color="auto"/>
        <w:bottom w:val="none" w:sz="0" w:space="0" w:color="auto"/>
        <w:right w:val="none" w:sz="0" w:space="0" w:color="auto"/>
      </w:divBdr>
      <w:divsChild>
        <w:div w:id="245264407">
          <w:marLeft w:val="0"/>
          <w:marRight w:val="225"/>
          <w:marTop w:val="0"/>
          <w:marBottom w:val="0"/>
          <w:divBdr>
            <w:top w:val="none" w:sz="0" w:space="0" w:color="auto"/>
            <w:left w:val="none" w:sz="0" w:space="0" w:color="auto"/>
            <w:bottom w:val="none" w:sz="0" w:space="0" w:color="auto"/>
            <w:right w:val="none" w:sz="0" w:space="0" w:color="auto"/>
          </w:divBdr>
          <w:divsChild>
            <w:div w:id="364210701">
              <w:marLeft w:val="0"/>
              <w:marRight w:val="0"/>
              <w:marTop w:val="0"/>
              <w:marBottom w:val="0"/>
              <w:divBdr>
                <w:top w:val="none" w:sz="0" w:space="0" w:color="auto"/>
                <w:left w:val="none" w:sz="0" w:space="0" w:color="auto"/>
                <w:bottom w:val="none" w:sz="0" w:space="0" w:color="auto"/>
                <w:right w:val="none" w:sz="0" w:space="0" w:color="auto"/>
              </w:divBdr>
              <w:divsChild>
                <w:div w:id="1708489784">
                  <w:marLeft w:val="0"/>
                  <w:marRight w:val="0"/>
                  <w:marTop w:val="0"/>
                  <w:marBottom w:val="0"/>
                  <w:divBdr>
                    <w:top w:val="none" w:sz="0" w:space="0" w:color="auto"/>
                    <w:left w:val="none" w:sz="0" w:space="0" w:color="auto"/>
                    <w:bottom w:val="none" w:sz="0" w:space="0" w:color="auto"/>
                    <w:right w:val="none" w:sz="0" w:space="0" w:color="auto"/>
                  </w:divBdr>
                  <w:divsChild>
                    <w:div w:id="1126119721">
                      <w:marLeft w:val="0"/>
                      <w:marRight w:val="0"/>
                      <w:marTop w:val="0"/>
                      <w:marBottom w:val="0"/>
                      <w:divBdr>
                        <w:top w:val="none" w:sz="0" w:space="0" w:color="auto"/>
                        <w:left w:val="none" w:sz="0" w:space="0" w:color="auto"/>
                        <w:bottom w:val="none" w:sz="0" w:space="0" w:color="auto"/>
                        <w:right w:val="none" w:sz="0" w:space="0" w:color="auto"/>
                      </w:divBdr>
                      <w:divsChild>
                        <w:div w:id="1051928451">
                          <w:marLeft w:val="0"/>
                          <w:marRight w:val="0"/>
                          <w:marTop w:val="0"/>
                          <w:marBottom w:val="0"/>
                          <w:divBdr>
                            <w:top w:val="none" w:sz="0" w:space="0" w:color="auto"/>
                            <w:left w:val="none" w:sz="0" w:space="0" w:color="auto"/>
                            <w:bottom w:val="none" w:sz="0" w:space="0" w:color="auto"/>
                            <w:right w:val="none" w:sz="0" w:space="0" w:color="auto"/>
                          </w:divBdr>
                        </w:div>
                        <w:div w:id="895433110">
                          <w:marLeft w:val="0"/>
                          <w:marRight w:val="0"/>
                          <w:marTop w:val="0"/>
                          <w:marBottom w:val="0"/>
                          <w:divBdr>
                            <w:top w:val="none" w:sz="0" w:space="0" w:color="auto"/>
                            <w:left w:val="none" w:sz="0" w:space="0" w:color="auto"/>
                            <w:bottom w:val="none" w:sz="0" w:space="0" w:color="auto"/>
                            <w:right w:val="none" w:sz="0" w:space="0" w:color="auto"/>
                          </w:divBdr>
                          <w:divsChild>
                            <w:div w:id="266273118">
                              <w:marLeft w:val="0"/>
                              <w:marRight w:val="0"/>
                              <w:marTop w:val="0"/>
                              <w:marBottom w:val="0"/>
                              <w:divBdr>
                                <w:top w:val="none" w:sz="0" w:space="0" w:color="auto"/>
                                <w:left w:val="none" w:sz="0" w:space="0" w:color="auto"/>
                                <w:bottom w:val="none" w:sz="0" w:space="0" w:color="auto"/>
                                <w:right w:val="none" w:sz="0" w:space="0" w:color="auto"/>
                              </w:divBdr>
                              <w:divsChild>
                                <w:div w:id="1072896092">
                                  <w:marLeft w:val="0"/>
                                  <w:marRight w:val="0"/>
                                  <w:marTop w:val="0"/>
                                  <w:marBottom w:val="0"/>
                                  <w:divBdr>
                                    <w:top w:val="none" w:sz="0" w:space="0" w:color="auto"/>
                                    <w:left w:val="none" w:sz="0" w:space="0" w:color="auto"/>
                                    <w:bottom w:val="none" w:sz="0" w:space="0" w:color="auto"/>
                                    <w:right w:val="none" w:sz="0" w:space="0" w:color="auto"/>
                                  </w:divBdr>
                                  <w:divsChild>
                                    <w:div w:id="1642733622">
                                      <w:marLeft w:val="0"/>
                                      <w:marRight w:val="0"/>
                                      <w:marTop w:val="0"/>
                                      <w:marBottom w:val="0"/>
                                      <w:divBdr>
                                        <w:top w:val="none" w:sz="0" w:space="0" w:color="auto"/>
                                        <w:left w:val="none" w:sz="0" w:space="0" w:color="auto"/>
                                        <w:bottom w:val="none" w:sz="0" w:space="0" w:color="auto"/>
                                        <w:right w:val="none" w:sz="0" w:space="0" w:color="auto"/>
                                      </w:divBdr>
                                      <w:divsChild>
                                        <w:div w:id="2072196766">
                                          <w:marLeft w:val="0"/>
                                          <w:marRight w:val="0"/>
                                          <w:marTop w:val="0"/>
                                          <w:marBottom w:val="0"/>
                                          <w:divBdr>
                                            <w:top w:val="none" w:sz="0" w:space="0" w:color="auto"/>
                                            <w:left w:val="none" w:sz="0" w:space="0" w:color="auto"/>
                                            <w:bottom w:val="none" w:sz="0" w:space="0" w:color="auto"/>
                                            <w:right w:val="none" w:sz="0" w:space="0" w:color="auto"/>
                                          </w:divBdr>
                                          <w:divsChild>
                                            <w:div w:id="18814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79188">
                              <w:marLeft w:val="0"/>
                              <w:marRight w:val="0"/>
                              <w:marTop w:val="0"/>
                              <w:marBottom w:val="0"/>
                              <w:divBdr>
                                <w:top w:val="none" w:sz="0" w:space="0" w:color="auto"/>
                                <w:left w:val="none" w:sz="0" w:space="0" w:color="auto"/>
                                <w:bottom w:val="none" w:sz="0" w:space="0" w:color="auto"/>
                                <w:right w:val="none" w:sz="0" w:space="0" w:color="auto"/>
                              </w:divBdr>
                            </w:div>
                            <w:div w:id="268507435">
                              <w:marLeft w:val="0"/>
                              <w:marRight w:val="0"/>
                              <w:marTop w:val="0"/>
                              <w:marBottom w:val="0"/>
                              <w:divBdr>
                                <w:top w:val="none" w:sz="0" w:space="0" w:color="auto"/>
                                <w:left w:val="none" w:sz="0" w:space="0" w:color="auto"/>
                                <w:bottom w:val="none" w:sz="0" w:space="0" w:color="auto"/>
                                <w:right w:val="none" w:sz="0" w:space="0" w:color="auto"/>
                              </w:divBdr>
                            </w:div>
                            <w:div w:id="570190313">
                              <w:marLeft w:val="0"/>
                              <w:marRight w:val="0"/>
                              <w:marTop w:val="0"/>
                              <w:marBottom w:val="0"/>
                              <w:divBdr>
                                <w:top w:val="none" w:sz="0" w:space="0" w:color="auto"/>
                                <w:left w:val="none" w:sz="0" w:space="0" w:color="auto"/>
                                <w:bottom w:val="none" w:sz="0" w:space="0" w:color="auto"/>
                                <w:right w:val="none" w:sz="0" w:space="0" w:color="auto"/>
                              </w:divBdr>
                            </w:div>
                            <w:div w:id="645084028">
                              <w:marLeft w:val="0"/>
                              <w:marRight w:val="0"/>
                              <w:marTop w:val="0"/>
                              <w:marBottom w:val="0"/>
                              <w:divBdr>
                                <w:top w:val="none" w:sz="0" w:space="0" w:color="auto"/>
                                <w:left w:val="none" w:sz="0" w:space="0" w:color="auto"/>
                                <w:bottom w:val="none" w:sz="0" w:space="0" w:color="auto"/>
                                <w:right w:val="none" w:sz="0" w:space="0" w:color="auto"/>
                              </w:divBdr>
                            </w:div>
                            <w:div w:id="834497630">
                              <w:marLeft w:val="0"/>
                              <w:marRight w:val="0"/>
                              <w:marTop w:val="0"/>
                              <w:marBottom w:val="0"/>
                              <w:divBdr>
                                <w:top w:val="none" w:sz="0" w:space="0" w:color="auto"/>
                                <w:left w:val="none" w:sz="0" w:space="0" w:color="auto"/>
                                <w:bottom w:val="none" w:sz="0" w:space="0" w:color="auto"/>
                                <w:right w:val="none" w:sz="0" w:space="0" w:color="auto"/>
                              </w:divBdr>
                            </w:div>
                            <w:div w:id="1796212100">
                              <w:marLeft w:val="0"/>
                              <w:marRight w:val="0"/>
                              <w:marTop w:val="0"/>
                              <w:marBottom w:val="0"/>
                              <w:divBdr>
                                <w:top w:val="none" w:sz="0" w:space="0" w:color="auto"/>
                                <w:left w:val="none" w:sz="0" w:space="0" w:color="auto"/>
                                <w:bottom w:val="none" w:sz="0" w:space="0" w:color="auto"/>
                                <w:right w:val="none" w:sz="0" w:space="0" w:color="auto"/>
                              </w:divBdr>
                            </w:div>
                            <w:div w:id="414669626">
                              <w:marLeft w:val="0"/>
                              <w:marRight w:val="0"/>
                              <w:marTop w:val="0"/>
                              <w:marBottom w:val="0"/>
                              <w:divBdr>
                                <w:top w:val="none" w:sz="0" w:space="0" w:color="auto"/>
                                <w:left w:val="none" w:sz="0" w:space="0" w:color="auto"/>
                                <w:bottom w:val="none" w:sz="0" w:space="0" w:color="auto"/>
                                <w:right w:val="none" w:sz="0" w:space="0" w:color="auto"/>
                              </w:divBdr>
                            </w:div>
                            <w:div w:id="1799031129">
                              <w:marLeft w:val="0"/>
                              <w:marRight w:val="0"/>
                              <w:marTop w:val="0"/>
                              <w:marBottom w:val="0"/>
                              <w:divBdr>
                                <w:top w:val="none" w:sz="0" w:space="0" w:color="auto"/>
                                <w:left w:val="none" w:sz="0" w:space="0" w:color="auto"/>
                                <w:bottom w:val="none" w:sz="0" w:space="0" w:color="auto"/>
                                <w:right w:val="none" w:sz="0" w:space="0" w:color="auto"/>
                              </w:divBdr>
                            </w:div>
                            <w:div w:id="329910505">
                              <w:marLeft w:val="0"/>
                              <w:marRight w:val="0"/>
                              <w:marTop w:val="0"/>
                              <w:marBottom w:val="0"/>
                              <w:divBdr>
                                <w:top w:val="none" w:sz="0" w:space="0" w:color="auto"/>
                                <w:left w:val="none" w:sz="0" w:space="0" w:color="auto"/>
                                <w:bottom w:val="none" w:sz="0" w:space="0" w:color="auto"/>
                                <w:right w:val="none" w:sz="0" w:space="0" w:color="auto"/>
                              </w:divBdr>
                            </w:div>
                            <w:div w:id="1306084925">
                              <w:marLeft w:val="0"/>
                              <w:marRight w:val="0"/>
                              <w:marTop w:val="0"/>
                              <w:marBottom w:val="0"/>
                              <w:divBdr>
                                <w:top w:val="none" w:sz="0" w:space="0" w:color="auto"/>
                                <w:left w:val="none" w:sz="0" w:space="0" w:color="auto"/>
                                <w:bottom w:val="none" w:sz="0" w:space="0" w:color="auto"/>
                                <w:right w:val="none" w:sz="0" w:space="0" w:color="auto"/>
                              </w:divBdr>
                            </w:div>
                            <w:div w:id="669723452">
                              <w:marLeft w:val="0"/>
                              <w:marRight w:val="0"/>
                              <w:marTop w:val="0"/>
                              <w:marBottom w:val="0"/>
                              <w:divBdr>
                                <w:top w:val="none" w:sz="0" w:space="0" w:color="auto"/>
                                <w:left w:val="none" w:sz="0" w:space="0" w:color="auto"/>
                                <w:bottom w:val="none" w:sz="0" w:space="0" w:color="auto"/>
                                <w:right w:val="none" w:sz="0" w:space="0" w:color="auto"/>
                              </w:divBdr>
                            </w:div>
                            <w:div w:id="1114135630">
                              <w:marLeft w:val="0"/>
                              <w:marRight w:val="0"/>
                              <w:marTop w:val="0"/>
                              <w:marBottom w:val="0"/>
                              <w:divBdr>
                                <w:top w:val="none" w:sz="0" w:space="0" w:color="auto"/>
                                <w:left w:val="none" w:sz="0" w:space="0" w:color="auto"/>
                                <w:bottom w:val="none" w:sz="0" w:space="0" w:color="auto"/>
                                <w:right w:val="none" w:sz="0" w:space="0" w:color="auto"/>
                              </w:divBdr>
                            </w:div>
                            <w:div w:id="782305925">
                              <w:marLeft w:val="0"/>
                              <w:marRight w:val="0"/>
                              <w:marTop w:val="0"/>
                              <w:marBottom w:val="0"/>
                              <w:divBdr>
                                <w:top w:val="none" w:sz="0" w:space="0" w:color="auto"/>
                                <w:left w:val="none" w:sz="0" w:space="0" w:color="auto"/>
                                <w:bottom w:val="none" w:sz="0" w:space="0" w:color="auto"/>
                                <w:right w:val="none" w:sz="0" w:space="0" w:color="auto"/>
                              </w:divBdr>
                            </w:div>
                            <w:div w:id="515536474">
                              <w:marLeft w:val="0"/>
                              <w:marRight w:val="0"/>
                              <w:marTop w:val="0"/>
                              <w:marBottom w:val="0"/>
                              <w:divBdr>
                                <w:top w:val="none" w:sz="0" w:space="0" w:color="auto"/>
                                <w:left w:val="none" w:sz="0" w:space="0" w:color="auto"/>
                                <w:bottom w:val="none" w:sz="0" w:space="0" w:color="auto"/>
                                <w:right w:val="none" w:sz="0" w:space="0" w:color="auto"/>
                              </w:divBdr>
                            </w:div>
                            <w:div w:id="21079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4797">
          <w:marLeft w:val="0"/>
          <w:marRight w:val="0"/>
          <w:marTop w:val="150"/>
          <w:marBottom w:val="0"/>
          <w:divBdr>
            <w:top w:val="none" w:sz="0" w:space="0" w:color="auto"/>
            <w:left w:val="none" w:sz="0" w:space="0" w:color="auto"/>
            <w:bottom w:val="none" w:sz="0" w:space="0" w:color="auto"/>
            <w:right w:val="none" w:sz="0" w:space="0" w:color="auto"/>
          </w:divBdr>
          <w:divsChild>
            <w:div w:id="1578635372">
              <w:marLeft w:val="0"/>
              <w:marRight w:val="0"/>
              <w:marTop w:val="0"/>
              <w:marBottom w:val="0"/>
              <w:divBdr>
                <w:top w:val="none" w:sz="0" w:space="0" w:color="auto"/>
                <w:left w:val="none" w:sz="0" w:space="0" w:color="auto"/>
                <w:bottom w:val="none" w:sz="0" w:space="0" w:color="auto"/>
                <w:right w:val="none" w:sz="0" w:space="0" w:color="auto"/>
              </w:divBdr>
              <w:divsChild>
                <w:div w:id="15699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3823">
          <w:marLeft w:val="0"/>
          <w:marRight w:val="0"/>
          <w:marTop w:val="0"/>
          <w:marBottom w:val="0"/>
          <w:divBdr>
            <w:top w:val="none" w:sz="0" w:space="0" w:color="auto"/>
            <w:left w:val="none" w:sz="0" w:space="0" w:color="auto"/>
            <w:bottom w:val="none" w:sz="0" w:space="0" w:color="auto"/>
            <w:right w:val="none" w:sz="0" w:space="0" w:color="auto"/>
          </w:divBdr>
          <w:divsChild>
            <w:div w:id="1952587615">
              <w:marLeft w:val="0"/>
              <w:marRight w:val="0"/>
              <w:marTop w:val="0"/>
              <w:marBottom w:val="0"/>
              <w:divBdr>
                <w:top w:val="none" w:sz="0" w:space="0" w:color="auto"/>
                <w:left w:val="none" w:sz="0" w:space="0" w:color="auto"/>
                <w:bottom w:val="none" w:sz="0" w:space="0" w:color="auto"/>
                <w:right w:val="none" w:sz="0" w:space="0" w:color="auto"/>
              </w:divBdr>
              <w:divsChild>
                <w:div w:id="719476828">
                  <w:marLeft w:val="0"/>
                  <w:marRight w:val="0"/>
                  <w:marTop w:val="450"/>
                  <w:marBottom w:val="0"/>
                  <w:divBdr>
                    <w:top w:val="none" w:sz="0" w:space="0" w:color="auto"/>
                    <w:left w:val="none" w:sz="0" w:space="0" w:color="auto"/>
                    <w:bottom w:val="none" w:sz="0" w:space="0" w:color="auto"/>
                    <w:right w:val="none" w:sz="0" w:space="0" w:color="auto"/>
                  </w:divBdr>
                </w:div>
              </w:divsChild>
            </w:div>
            <w:div w:id="592780429">
              <w:marLeft w:val="0"/>
              <w:marRight w:val="0"/>
              <w:marTop w:val="0"/>
              <w:marBottom w:val="0"/>
              <w:divBdr>
                <w:top w:val="none" w:sz="0" w:space="0" w:color="auto"/>
                <w:left w:val="none" w:sz="0" w:space="0" w:color="auto"/>
                <w:bottom w:val="none" w:sz="0" w:space="0" w:color="auto"/>
                <w:right w:val="none" w:sz="0" w:space="0" w:color="auto"/>
              </w:divBdr>
            </w:div>
          </w:divsChild>
        </w:div>
        <w:div w:id="1360088476">
          <w:marLeft w:val="0"/>
          <w:marRight w:val="0"/>
          <w:marTop w:val="0"/>
          <w:marBottom w:val="0"/>
          <w:divBdr>
            <w:top w:val="none" w:sz="0" w:space="0" w:color="auto"/>
            <w:left w:val="none" w:sz="0" w:space="0" w:color="auto"/>
            <w:bottom w:val="none" w:sz="0" w:space="0" w:color="auto"/>
            <w:right w:val="none" w:sz="0" w:space="0" w:color="auto"/>
          </w:divBdr>
          <w:divsChild>
            <w:div w:id="1278563118">
              <w:marLeft w:val="0"/>
              <w:marRight w:val="0"/>
              <w:marTop w:val="0"/>
              <w:marBottom w:val="0"/>
              <w:divBdr>
                <w:top w:val="none" w:sz="0" w:space="0" w:color="auto"/>
                <w:left w:val="none" w:sz="0" w:space="0" w:color="auto"/>
                <w:bottom w:val="none" w:sz="0" w:space="0" w:color="auto"/>
                <w:right w:val="none" w:sz="0" w:space="0" w:color="auto"/>
              </w:divBdr>
              <w:divsChild>
                <w:div w:id="400257034">
                  <w:marLeft w:val="0"/>
                  <w:marRight w:val="0"/>
                  <w:marTop w:val="0"/>
                  <w:marBottom w:val="0"/>
                  <w:divBdr>
                    <w:top w:val="none" w:sz="0" w:space="0" w:color="auto"/>
                    <w:left w:val="none" w:sz="0" w:space="0" w:color="auto"/>
                    <w:bottom w:val="none" w:sz="0" w:space="0" w:color="auto"/>
                    <w:right w:val="none" w:sz="0" w:space="0" w:color="auto"/>
                  </w:divBdr>
                </w:div>
              </w:divsChild>
            </w:div>
            <w:div w:id="424616000">
              <w:marLeft w:val="0"/>
              <w:marRight w:val="0"/>
              <w:marTop w:val="0"/>
              <w:marBottom w:val="0"/>
              <w:divBdr>
                <w:top w:val="none" w:sz="0" w:space="0" w:color="auto"/>
                <w:left w:val="none" w:sz="0" w:space="0" w:color="auto"/>
                <w:bottom w:val="none" w:sz="0" w:space="0" w:color="auto"/>
                <w:right w:val="none" w:sz="0" w:space="0" w:color="auto"/>
              </w:divBdr>
              <w:divsChild>
                <w:div w:id="741685916">
                  <w:marLeft w:val="0"/>
                  <w:marRight w:val="0"/>
                  <w:marTop w:val="0"/>
                  <w:marBottom w:val="0"/>
                  <w:divBdr>
                    <w:top w:val="none" w:sz="0" w:space="0" w:color="auto"/>
                    <w:left w:val="none" w:sz="0" w:space="0" w:color="auto"/>
                    <w:bottom w:val="none" w:sz="0" w:space="0" w:color="auto"/>
                    <w:right w:val="none" w:sz="0" w:space="0" w:color="auto"/>
                  </w:divBdr>
                </w:div>
                <w:div w:id="468209674">
                  <w:marLeft w:val="0"/>
                  <w:marRight w:val="0"/>
                  <w:marTop w:val="0"/>
                  <w:marBottom w:val="0"/>
                  <w:divBdr>
                    <w:top w:val="none" w:sz="0" w:space="0" w:color="auto"/>
                    <w:left w:val="none" w:sz="0" w:space="0" w:color="auto"/>
                    <w:bottom w:val="none" w:sz="0" w:space="0" w:color="auto"/>
                    <w:right w:val="none" w:sz="0" w:space="0" w:color="auto"/>
                  </w:divBdr>
                </w:div>
                <w:div w:id="17230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75BCD-1FD7-454C-B106-9D03B921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Banh Thi Tho (CSTT)</dc:creator>
  <cp:lastModifiedBy>Hewlett-Packard Company</cp:lastModifiedBy>
  <cp:revision>2</cp:revision>
  <cp:lastPrinted>2020-06-01T02:11:00Z</cp:lastPrinted>
  <dcterms:created xsi:type="dcterms:W3CDTF">2020-06-01T07:22:00Z</dcterms:created>
  <dcterms:modified xsi:type="dcterms:W3CDTF">2020-06-01T07:22:00Z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SBV411664</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413913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http://webcenter-app01:16200/cs/idcplg?IdcService=DESKTOP_DOC_INFO&amp;dDocName=SBV411664&amp;dID=413913&amp;ClientControlled=DocMan,taskpane&amp;coreContentOnly=1</vt:lpwstr>
  </property>
</Properties>
</file>