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sz w:val="28"/>
          <w:szCs w:val="28"/>
        </w:rPr>
      </w:pPr>
      <w:r w:rsidDel="00000000" w:rsidR="00000000" w:rsidRPr="00000000">
        <w:rPr>
          <w:b w:val="1"/>
          <w:sz w:val="30"/>
          <w:szCs w:val="30"/>
          <w:rtl w:val="0"/>
        </w:rPr>
        <w:t xml:space="preserve">Một số kiến nghị của </w:t>
      </w:r>
      <w:r w:rsidDel="00000000" w:rsidR="00000000" w:rsidRPr="00000000">
        <w:rPr>
          <w:b w:val="1"/>
          <w:sz w:val="28"/>
          <w:szCs w:val="28"/>
          <w:rtl w:val="0"/>
        </w:rPr>
        <w:t xml:space="preserve">Công ty TNHH Terumo Việt Nam</w:t>
      </w:r>
    </w:p>
    <w:p w:rsidR="00000000" w:rsidDel="00000000" w:rsidP="00000000" w:rsidRDefault="00000000" w:rsidRPr="00000000" w14:paraId="00000002">
      <w:pPr>
        <w:ind w:left="720" w:firstLine="0"/>
        <w:jc w:val="both"/>
        <w:rPr>
          <w:sz w:val="26"/>
          <w:szCs w:val="26"/>
        </w:rPr>
      </w:pPr>
      <w:r w:rsidDel="00000000" w:rsidR="00000000" w:rsidRPr="00000000">
        <w:rPr>
          <w:rtl w:val="0"/>
        </w:rPr>
      </w:r>
    </w:p>
    <w:tbl>
      <w:tblPr>
        <w:tblStyle w:val="Table1"/>
        <w:tblW w:w="10440.0" w:type="dxa"/>
        <w:jc w:val="left"/>
        <w:tblInd w:w="-7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0"/>
        <w:gridCol w:w="1670"/>
        <w:gridCol w:w="3150"/>
        <w:gridCol w:w="4950"/>
        <w:tblGridChange w:id="0">
          <w:tblGrid>
            <w:gridCol w:w="670"/>
            <w:gridCol w:w="1670"/>
            <w:gridCol w:w="3150"/>
            <w:gridCol w:w="4950"/>
          </w:tblGrid>
        </w:tblGridChange>
      </w:tblGrid>
      <w:tr>
        <w:trPr>
          <w:trHeight w:val="353" w:hRule="atLeast"/>
        </w:trPr>
        <w:tc>
          <w:tcPr>
            <w:tcMar>
              <w:top w:w="0.0" w:type="dxa"/>
              <w:left w:w="108.0" w:type="dxa"/>
              <w:bottom w:w="0.0" w:type="dxa"/>
              <w:right w:w="108.0" w:type="dxa"/>
            </w:tcMar>
          </w:tcPr>
          <w:p w:rsidR="00000000" w:rsidDel="00000000" w:rsidP="00000000" w:rsidRDefault="00000000" w:rsidRPr="00000000" w14:paraId="00000003">
            <w:pPr>
              <w:spacing w:after="60" w:before="60" w:line="312" w:lineRule="auto"/>
              <w:jc w:val="center"/>
              <w:rPr>
                <w:b w:val="1"/>
              </w:rPr>
            </w:pPr>
            <w:bookmarkStart w:colFirst="0" w:colLast="0" w:name="_heading=h.gjdgxs" w:id="0"/>
            <w:bookmarkEnd w:id="0"/>
            <w:r w:rsidDel="00000000" w:rsidR="00000000" w:rsidRPr="00000000">
              <w:rPr>
                <w:b w:val="1"/>
                <w:rtl w:val="0"/>
              </w:rPr>
              <w:t xml:space="preserve">STT</w:t>
            </w:r>
          </w:p>
        </w:tc>
        <w:tc>
          <w:tcPr>
            <w:tcMar>
              <w:top w:w="0.0" w:type="dxa"/>
              <w:left w:w="108.0" w:type="dxa"/>
              <w:bottom w:w="0.0" w:type="dxa"/>
              <w:right w:w="108.0" w:type="dxa"/>
            </w:tcMar>
          </w:tcPr>
          <w:p w:rsidR="00000000" w:rsidDel="00000000" w:rsidP="00000000" w:rsidRDefault="00000000" w:rsidRPr="00000000" w14:paraId="00000004">
            <w:pPr>
              <w:spacing w:after="60" w:before="60" w:line="312" w:lineRule="auto"/>
              <w:jc w:val="center"/>
              <w:rPr>
                <w:b w:val="1"/>
              </w:rPr>
            </w:pPr>
            <w:r w:rsidDel="00000000" w:rsidR="00000000" w:rsidRPr="00000000">
              <w:rPr>
                <w:b w:val="1"/>
                <w:rtl w:val="0"/>
              </w:rPr>
              <w:t xml:space="preserve">Cơ sở pháp lý</w:t>
            </w:r>
          </w:p>
        </w:tc>
        <w:tc>
          <w:tcPr>
            <w:tcMar>
              <w:top w:w="0.0" w:type="dxa"/>
              <w:left w:w="108.0" w:type="dxa"/>
              <w:bottom w:w="0.0" w:type="dxa"/>
              <w:right w:w="108.0" w:type="dxa"/>
            </w:tcMar>
          </w:tcPr>
          <w:p w:rsidR="00000000" w:rsidDel="00000000" w:rsidP="00000000" w:rsidRDefault="00000000" w:rsidRPr="00000000" w14:paraId="00000005">
            <w:pPr>
              <w:spacing w:after="60" w:before="60" w:line="312" w:lineRule="auto"/>
              <w:jc w:val="center"/>
              <w:rPr>
                <w:b w:val="1"/>
              </w:rPr>
            </w:pPr>
            <w:r w:rsidDel="00000000" w:rsidR="00000000" w:rsidRPr="00000000">
              <w:rPr>
                <w:b w:val="1"/>
                <w:rtl w:val="0"/>
              </w:rPr>
              <w:t xml:space="preserve">Nội dung</w:t>
            </w:r>
          </w:p>
        </w:tc>
        <w:tc>
          <w:tcPr>
            <w:tcMar>
              <w:top w:w="0.0" w:type="dxa"/>
              <w:left w:w="108.0" w:type="dxa"/>
              <w:bottom w:w="0.0" w:type="dxa"/>
              <w:right w:w="108.0" w:type="dxa"/>
            </w:tcMar>
          </w:tcPr>
          <w:p w:rsidR="00000000" w:rsidDel="00000000" w:rsidP="00000000" w:rsidRDefault="00000000" w:rsidRPr="00000000" w14:paraId="00000006">
            <w:pPr>
              <w:spacing w:after="60" w:before="60" w:line="312" w:lineRule="auto"/>
              <w:jc w:val="center"/>
              <w:rPr>
                <w:b w:val="1"/>
              </w:rPr>
            </w:pPr>
            <w:r w:rsidDel="00000000" w:rsidR="00000000" w:rsidRPr="00000000">
              <w:rPr>
                <w:b w:val="1"/>
                <w:rtl w:val="0"/>
              </w:rPr>
              <w:t xml:space="preserve">Khó khăn</w:t>
            </w:r>
          </w:p>
        </w:tc>
      </w:tr>
      <w:tr>
        <w:trPr>
          <w:trHeight w:val="3180" w:hRule="atLeast"/>
        </w:trPr>
        <w:tc>
          <w:tcPr>
            <w:tcMar>
              <w:top w:w="0.0" w:type="dxa"/>
              <w:left w:w="108.0" w:type="dxa"/>
              <w:bottom w:w="0.0" w:type="dxa"/>
              <w:right w:w="108.0" w:type="dxa"/>
            </w:tcMar>
          </w:tcPr>
          <w:p w:rsidR="00000000" w:rsidDel="00000000" w:rsidP="00000000" w:rsidRDefault="00000000" w:rsidRPr="00000000" w14:paraId="00000007">
            <w:pPr>
              <w:spacing w:after="60" w:before="60" w:line="312" w:lineRule="auto"/>
              <w:jc w:val="center"/>
              <w:rPr/>
            </w:pPr>
            <w:r w:rsidDel="00000000" w:rsidR="00000000" w:rsidRPr="00000000">
              <w:rPr>
                <w:rtl w:val="0"/>
              </w:rPr>
              <w:t xml:space="preserve">1</w:t>
            </w:r>
          </w:p>
        </w:tc>
        <w:tc>
          <w:tcPr>
            <w:tcMar>
              <w:top w:w="0.0" w:type="dxa"/>
              <w:left w:w="108.0" w:type="dxa"/>
              <w:bottom w:w="0.0" w:type="dxa"/>
              <w:right w:w="108.0" w:type="dxa"/>
            </w:tcMar>
          </w:tcPr>
          <w:p w:rsidR="00000000" w:rsidDel="00000000" w:rsidP="00000000" w:rsidRDefault="00000000" w:rsidRPr="00000000" w14:paraId="00000008">
            <w:pPr>
              <w:spacing w:after="60" w:before="60" w:line="312" w:lineRule="auto"/>
              <w:jc w:val="both"/>
              <w:rPr/>
            </w:pPr>
            <w:r w:rsidDel="00000000" w:rsidR="00000000" w:rsidRPr="00000000">
              <w:rPr>
                <w:rtl w:val="0"/>
              </w:rPr>
              <w:t xml:space="preserve">Khoản 1 Điều 3 Nghị định 24a/2016/NĐ-CP</w:t>
            </w:r>
          </w:p>
        </w:tc>
        <w:tc>
          <w:tcPr>
            <w:tcMar>
              <w:top w:w="0.0" w:type="dxa"/>
              <w:left w:w="108.0" w:type="dxa"/>
              <w:bottom w:w="0.0" w:type="dxa"/>
              <w:right w:w="108.0" w:type="dxa"/>
            </w:tcMar>
          </w:tcPr>
          <w:p w:rsidR="00000000" w:rsidDel="00000000" w:rsidP="00000000" w:rsidRDefault="00000000" w:rsidRPr="00000000" w14:paraId="00000009">
            <w:pPr>
              <w:spacing w:after="60" w:before="60" w:line="312" w:lineRule="auto"/>
              <w:jc w:val="both"/>
              <w:rPr>
                <w:i w:val="1"/>
              </w:rPr>
            </w:pPr>
            <w:r w:rsidDel="00000000" w:rsidR="00000000" w:rsidRPr="00000000">
              <w:rPr>
                <w:rtl w:val="0"/>
              </w:rPr>
              <w:t xml:space="preserve">“</w:t>
            </w:r>
            <w:r w:rsidDel="00000000" w:rsidR="00000000" w:rsidRPr="00000000">
              <w:rPr>
                <w:b w:val="1"/>
                <w:i w:val="1"/>
                <w:rtl w:val="0"/>
              </w:rPr>
              <w:t xml:space="preserve">Điều 3. Giải thích từ ngữ</w:t>
            </w:r>
            <w:r w:rsidDel="00000000" w:rsidR="00000000" w:rsidRPr="00000000">
              <w:rPr>
                <w:rtl w:val="0"/>
              </w:rPr>
            </w:r>
          </w:p>
          <w:p w:rsidR="00000000" w:rsidDel="00000000" w:rsidP="00000000" w:rsidRDefault="00000000" w:rsidRPr="00000000" w14:paraId="0000000A">
            <w:pPr>
              <w:spacing w:after="60" w:before="60" w:line="312" w:lineRule="auto"/>
              <w:jc w:val="both"/>
              <w:rPr>
                <w:i w:val="1"/>
              </w:rPr>
            </w:pPr>
            <w:r w:rsidDel="00000000" w:rsidR="00000000" w:rsidRPr="00000000">
              <w:rPr>
                <w:i w:val="1"/>
                <w:rtl w:val="0"/>
              </w:rPr>
              <w:t xml:space="preserve">Trong Nghị định này, những từ ngữ dưới đây được hiểu như sau:</w:t>
            </w:r>
          </w:p>
          <w:p w:rsidR="00000000" w:rsidDel="00000000" w:rsidP="00000000" w:rsidRDefault="00000000" w:rsidRPr="00000000" w14:paraId="0000000B">
            <w:pPr>
              <w:spacing w:after="60" w:before="60" w:line="312" w:lineRule="auto"/>
              <w:jc w:val="both"/>
              <w:rPr/>
            </w:pPr>
            <w:r w:rsidDel="00000000" w:rsidR="00000000" w:rsidRPr="00000000">
              <w:rPr>
                <w:i w:val="1"/>
                <w:rtl w:val="0"/>
              </w:rPr>
              <w:t xml:space="preserve">1. Vật liệu xây dựng là sản phẩm có nguồn gốc hữu cơ, vô cơ được sử dụng để tạo nên công trình xây dựng, trừ các trang thiết bị điện và thiết bị công nghệ.”</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0C">
            <w:pPr>
              <w:spacing w:after="60" w:before="60" w:line="312" w:lineRule="auto"/>
              <w:jc w:val="both"/>
              <w:rPr/>
            </w:pPr>
            <w:r w:rsidDel="00000000" w:rsidR="00000000" w:rsidRPr="00000000">
              <w:rPr>
                <w:rtl w:val="0"/>
              </w:rPr>
              <w:t xml:space="preserve">Khái niệm về vật liệu xây dựng còn chưa rõ ràng. Theo quy định tại khoản 50 Điều 1 Thông tư 39/2018/TT-BTC thì DNCX được lựa chọn thực hiện hoặc không thực hiện thủ tục hải quan. Thực tế nhà thầu xây dựng lấy định nghĩa này để không làm thủ tục hải quan dẫn đến về sau khi DNCX khó khăn trong việc thanh lý tài sản cố định do các mặt hàng trên không có tờ khai hải quan theo quy định tại Điều 85 Thông tư 39/2018/TT-BTC.</w:t>
            </w:r>
          </w:p>
        </w:tc>
      </w:tr>
      <w:tr>
        <w:trPr>
          <w:trHeight w:val="3760" w:hRule="atLeast"/>
        </w:trPr>
        <w:tc>
          <w:tcPr>
            <w:tcMar>
              <w:top w:w="0.0" w:type="dxa"/>
              <w:left w:w="108.0" w:type="dxa"/>
              <w:bottom w:w="0.0" w:type="dxa"/>
              <w:right w:w="108.0" w:type="dxa"/>
            </w:tcMar>
          </w:tcPr>
          <w:p w:rsidR="00000000" w:rsidDel="00000000" w:rsidP="00000000" w:rsidRDefault="00000000" w:rsidRPr="00000000" w14:paraId="0000000D">
            <w:pPr>
              <w:spacing w:after="60" w:before="60" w:line="312" w:lineRule="auto"/>
              <w:jc w:val="center"/>
              <w:rPr/>
            </w:pPr>
            <w:r w:rsidDel="00000000" w:rsidR="00000000" w:rsidRPr="00000000">
              <w:rPr>
                <w:rtl w:val="0"/>
              </w:rPr>
              <w:t xml:space="preserve">2</w:t>
            </w:r>
          </w:p>
        </w:tc>
        <w:tc>
          <w:tcPr>
            <w:tcMar>
              <w:top w:w="0.0" w:type="dxa"/>
              <w:left w:w="108.0" w:type="dxa"/>
              <w:bottom w:w="0.0" w:type="dxa"/>
              <w:right w:w="108.0" w:type="dxa"/>
            </w:tcMar>
          </w:tcPr>
          <w:p w:rsidR="00000000" w:rsidDel="00000000" w:rsidP="00000000" w:rsidRDefault="00000000" w:rsidRPr="00000000" w14:paraId="0000000E">
            <w:pPr>
              <w:spacing w:after="60" w:before="60" w:line="312" w:lineRule="auto"/>
              <w:jc w:val="both"/>
              <w:rPr/>
            </w:pPr>
            <w:r w:rsidDel="00000000" w:rsidR="00000000" w:rsidRPr="00000000">
              <w:rPr>
                <w:rtl w:val="0"/>
              </w:rPr>
              <w:t xml:space="preserve">Khoản 3 Điều 4 Thông tư 31/2018/TT-BLĐTBXH</w:t>
            </w:r>
          </w:p>
        </w:tc>
        <w:tc>
          <w:tcPr>
            <w:tcMar>
              <w:top w:w="0.0" w:type="dxa"/>
              <w:left w:w="108.0" w:type="dxa"/>
              <w:bottom w:w="0.0" w:type="dxa"/>
              <w:right w:w="108.0" w:type="dxa"/>
            </w:tcMar>
          </w:tcPr>
          <w:p w:rsidR="00000000" w:rsidDel="00000000" w:rsidP="00000000" w:rsidRDefault="00000000" w:rsidRPr="00000000" w14:paraId="0000000F">
            <w:pPr>
              <w:spacing w:after="60" w:before="60" w:line="312" w:lineRule="auto"/>
              <w:jc w:val="both"/>
              <w:rPr>
                <w:b w:val="1"/>
                <w:i w:val="1"/>
              </w:rPr>
            </w:pPr>
            <w:r w:rsidDel="00000000" w:rsidR="00000000" w:rsidRPr="00000000">
              <w:rPr>
                <w:rtl w:val="0"/>
              </w:rPr>
              <w:t xml:space="preserve">“</w:t>
            </w:r>
            <w:r w:rsidDel="00000000" w:rsidR="00000000" w:rsidRPr="00000000">
              <w:rPr>
                <w:b w:val="1"/>
                <w:i w:val="1"/>
                <w:rtl w:val="0"/>
              </w:rPr>
              <w:t xml:space="preserve">Điều 4. Quản lý người huấn luyện</w:t>
            </w:r>
          </w:p>
          <w:p w:rsidR="00000000" w:rsidDel="00000000" w:rsidP="00000000" w:rsidRDefault="00000000" w:rsidRPr="00000000" w14:paraId="00000010">
            <w:pPr>
              <w:spacing w:after="60" w:before="60" w:line="312" w:lineRule="auto"/>
              <w:jc w:val="both"/>
              <w:rPr/>
            </w:pPr>
            <w:r w:rsidDel="00000000" w:rsidR="00000000" w:rsidRPr="00000000">
              <w:rPr>
                <w:i w:val="1"/>
                <w:rtl w:val="0"/>
              </w:rPr>
              <w:t xml:space="preserve">3. Cơ quan, đơn vị sự nghiệp, doanh nghiệp, tổ chức sử dụng người lao động có trách nhiệm cung cấp hồ sơ, giấy tờ xác nhận thể hiện thời gian đã sử dụng người lao động làm việc, làm công tác an toàn, vệ sinh lao động, huấn luyện an toàn, vệ sinh lao động.”</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1">
            <w:pPr>
              <w:spacing w:after="60" w:before="60" w:line="312" w:lineRule="auto"/>
              <w:jc w:val="both"/>
              <w:rPr/>
            </w:pPr>
            <w:r w:rsidDel="00000000" w:rsidR="00000000" w:rsidRPr="00000000">
              <w:rPr>
                <w:rtl w:val="0"/>
              </w:rPr>
              <w:t xml:space="preserve">Trong trường hợp trường hợp người đủ điều kiện về bằng cấp và số năm kinh nghiệm để đảm nhiệm công việc nhất định (VD để trở thành người huấn luyện an toàn, vệ sinh lao động) thì công ty trước đó họ từng làm việc không cung cấp hồ sơ, giấy tờ xác nhận thể hiện thời gian họ đã làm việc thì làm như thế nào vì hiện nay chưa có chế tài xử lý cho vấn đề này?</w:t>
            </w:r>
          </w:p>
          <w:p w:rsidR="00000000" w:rsidDel="00000000" w:rsidP="00000000" w:rsidRDefault="00000000" w:rsidRPr="00000000" w14:paraId="00000012">
            <w:pPr>
              <w:spacing w:after="60" w:before="60" w:line="312" w:lineRule="auto"/>
              <w:jc w:val="both"/>
              <w:rPr/>
            </w:pPr>
            <w:r w:rsidDel="00000000" w:rsidR="00000000" w:rsidRPr="00000000">
              <w:rPr>
                <w:rtl w:val="0"/>
              </w:rPr>
              <w:t xml:space="preserve">Trong trường hợp không có hồ sơ, giấy tờ xác nhận của công ty trước đó thì có các giấy tờ khác thay thế có giá trị tương đương hay không và các loại giấy tờ đó là gì vì hiện nay chưa có văn bản nào quy định về nội dung này.</w:t>
            </w:r>
          </w:p>
        </w:tc>
      </w:tr>
      <w:tr>
        <w:trPr>
          <w:trHeight w:val="1693" w:hRule="atLeast"/>
        </w:trPr>
        <w:tc>
          <w:tcPr>
            <w:tcMar>
              <w:top w:w="0.0" w:type="dxa"/>
              <w:left w:w="108.0" w:type="dxa"/>
              <w:bottom w:w="0.0" w:type="dxa"/>
              <w:right w:w="108.0" w:type="dxa"/>
            </w:tcMar>
          </w:tcPr>
          <w:p w:rsidR="00000000" w:rsidDel="00000000" w:rsidP="00000000" w:rsidRDefault="00000000" w:rsidRPr="00000000" w14:paraId="00000013">
            <w:pPr>
              <w:spacing w:after="60" w:before="60" w:line="312" w:lineRule="auto"/>
              <w:jc w:val="center"/>
              <w:rPr/>
            </w:pPr>
            <w:r w:rsidDel="00000000" w:rsidR="00000000" w:rsidRPr="00000000">
              <w:rPr>
                <w:rtl w:val="0"/>
              </w:rPr>
              <w:t xml:space="preserve">3</w:t>
            </w:r>
          </w:p>
        </w:tc>
        <w:tc>
          <w:tcPr>
            <w:tcMar>
              <w:top w:w="0.0" w:type="dxa"/>
              <w:left w:w="108.0" w:type="dxa"/>
              <w:bottom w:w="0.0" w:type="dxa"/>
              <w:right w:w="108.0" w:type="dxa"/>
            </w:tcMar>
          </w:tcPr>
          <w:p w:rsidR="00000000" w:rsidDel="00000000" w:rsidP="00000000" w:rsidRDefault="00000000" w:rsidRPr="00000000" w14:paraId="00000014">
            <w:pPr>
              <w:spacing w:after="60" w:before="60" w:line="312" w:lineRule="auto"/>
              <w:jc w:val="both"/>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5">
            <w:pPr>
              <w:spacing w:after="60" w:before="60" w:line="312" w:lineRule="auto"/>
              <w:jc w:val="both"/>
              <w:rPr/>
            </w:pPr>
            <w:r w:rsidDel="00000000" w:rsidR="00000000" w:rsidRPr="00000000">
              <w:rPr>
                <w:rtl w:val="0"/>
              </w:rPr>
              <w:t xml:space="preserve">Đánh giá tác động môi trường (ĐTM)</w:t>
            </w:r>
          </w:p>
        </w:tc>
        <w:tc>
          <w:tcPr>
            <w:tcMar>
              <w:top w:w="0.0" w:type="dxa"/>
              <w:left w:w="108.0" w:type="dxa"/>
              <w:bottom w:w="0.0" w:type="dxa"/>
              <w:right w:w="108.0" w:type="dxa"/>
            </w:tcMar>
          </w:tcPr>
          <w:p w:rsidR="00000000" w:rsidDel="00000000" w:rsidP="00000000" w:rsidRDefault="00000000" w:rsidRPr="00000000" w14:paraId="00000016">
            <w:pPr>
              <w:spacing w:after="60" w:before="60" w:line="312" w:lineRule="auto"/>
              <w:jc w:val="both"/>
              <w:rPr/>
            </w:pPr>
            <w:r w:rsidDel="00000000" w:rsidR="00000000" w:rsidRPr="00000000">
              <w:rPr>
                <w:rtl w:val="0"/>
              </w:rPr>
              <w:t xml:space="preserve">Hiện nay, quy định lập báo cáo đánh giá tác động môi trường (ĐTM) của dự án đầu tư có sự khác nhau giữa Luật Bảo vệ môi trường năm 2014 và Luật Đầu tư năm 2014.</w:t>
            </w:r>
          </w:p>
          <w:p w:rsidR="00000000" w:rsidDel="00000000" w:rsidP="00000000" w:rsidRDefault="00000000" w:rsidRPr="00000000" w14:paraId="00000017">
            <w:pPr>
              <w:spacing w:after="60" w:before="60" w:line="312" w:lineRule="auto"/>
              <w:jc w:val="both"/>
              <w:rPr/>
            </w:pPr>
            <w:r w:rsidDel="00000000" w:rsidR="00000000" w:rsidRPr="00000000">
              <w:rPr>
                <w:rtl w:val="0"/>
              </w:rPr>
              <w:t xml:space="preserve">Theo quy định tại Khoản 2 Điều 25 Luật Bảo vệ môi trường, Quyết định phê duyệt ĐTM là căn cứ để cấp có thẩm quyền quyết định chủ trương đầu tư dự án thuộc diện quyết định chủ trương đầu tư.</w:t>
            </w:r>
          </w:p>
          <w:p w:rsidR="00000000" w:rsidDel="00000000" w:rsidP="00000000" w:rsidRDefault="00000000" w:rsidRPr="00000000" w14:paraId="00000018">
            <w:pPr>
              <w:spacing w:after="60" w:before="60" w:line="312" w:lineRule="auto"/>
              <w:jc w:val="both"/>
              <w:rPr/>
            </w:pPr>
            <w:r w:rsidDel="00000000" w:rsidR="00000000" w:rsidRPr="00000000">
              <w:rPr>
                <w:rtl w:val="0"/>
              </w:rPr>
              <w:t xml:space="preserve">Theo Nghị định số 18/2015/NĐ-CP ngày 14/2/2015 của Chính phủ quy định chi tiết quy hoạch bảo vệ môi trường, đánh giá môi trường chiến lược, đánh giá tác động môi trường và kế hoạch bảo vệ môi trường, đối tượng phải thực hiện đánh giá tác động môi trường bao gồm các dự án thuộc thẩm quyền quyết định chủ trương đầu tư của Quốc hội, thuộc thẩm quyền quyết định đầu tư của Chính phủ, Thủ tướng Chính phủ.</w:t>
            </w:r>
          </w:p>
          <w:p w:rsidR="00000000" w:rsidDel="00000000" w:rsidP="00000000" w:rsidRDefault="00000000" w:rsidRPr="00000000" w14:paraId="00000019">
            <w:pPr>
              <w:spacing w:after="60" w:before="60" w:line="312" w:lineRule="auto"/>
              <w:jc w:val="both"/>
              <w:rPr/>
            </w:pPr>
            <w:r w:rsidDel="00000000" w:rsidR="00000000" w:rsidRPr="00000000">
              <w:rPr>
                <w:rtl w:val="0"/>
              </w:rPr>
              <w:t xml:space="preserve">Điều 31 Luật Đầu tư quy định thẩm quyền quyết định chủ trương đầu tư của Thủ tướng Chính phủ. Theo đó, Thủ tướng Chính phủ quyết định chủ trương đầu tư với nhiều loại dự án. Trên thực tế, các loại dự án này có nhiều mức độ tác động môi trường khác nhau, do vậy, việc làm rõ danh mục các dự án có nguy cơ tác động xấu tới môi trường cao và danh mục dự án ít có nguy cơ tác động xấu tới môi trường là cần thiết, đảm bảo nhu cầu thực tiễn.</w:t>
            </w:r>
          </w:p>
          <w:p w:rsidR="00000000" w:rsidDel="00000000" w:rsidP="00000000" w:rsidRDefault="00000000" w:rsidRPr="00000000" w14:paraId="0000001A">
            <w:pPr>
              <w:spacing w:after="60" w:before="60" w:line="312" w:lineRule="auto"/>
              <w:jc w:val="both"/>
              <w:rPr/>
            </w:pPr>
            <w:r w:rsidDel="00000000" w:rsidR="00000000" w:rsidRPr="00000000">
              <w:rPr>
                <w:rtl w:val="0"/>
              </w:rPr>
              <w:t xml:space="preserve">Tuy nhiên theo quy định tại Điều 34 Luật Đầu tư 2014, hồ sơ quyết định chủ trương đầu tư không bao gồm Quyết định phê duyệt ĐTM, chỉ bao gồm Đánh giá sơ bộ tác động môi trường, các giải pháp bảo vệ môi trường.</w:t>
            </w:r>
          </w:p>
          <w:p w:rsidR="00000000" w:rsidDel="00000000" w:rsidP="00000000" w:rsidRDefault="00000000" w:rsidRPr="00000000" w14:paraId="0000001B">
            <w:pPr>
              <w:spacing w:after="60" w:before="60" w:line="312" w:lineRule="auto"/>
              <w:jc w:val="both"/>
              <w:rPr/>
            </w:pPr>
            <w:r w:rsidDel="00000000" w:rsidR="00000000" w:rsidRPr="00000000">
              <w:rPr>
                <w:u w:val="single"/>
                <w:rtl w:val="0"/>
              </w:rPr>
              <w:t xml:space="preserve">Kiến nghị</w:t>
            </w:r>
            <w:r w:rsidDel="00000000" w:rsidR="00000000" w:rsidRPr="00000000">
              <w:rPr>
                <w:rtl w:val="0"/>
              </w:rPr>
              <w:t xml:space="preserve">: Cần làm rõ quy định yêu cầu phải có Báo cáo đánh giá tác động môi trường tại giai đoạn quyết định chủ trương đầu tư giữa Luật Đầu tư, Luật Đầu tư công và Luật Bảo vệ môi trường</w:t>
            </w:r>
          </w:p>
        </w:tc>
      </w:tr>
      <w:tr>
        <w:trPr>
          <w:trHeight w:val="1835" w:hRule="atLeast"/>
        </w:trPr>
        <w:tc>
          <w:tcPr>
            <w:tcMar>
              <w:top w:w="0.0" w:type="dxa"/>
              <w:left w:w="108.0" w:type="dxa"/>
              <w:bottom w:w="0.0" w:type="dxa"/>
              <w:right w:w="108.0" w:type="dxa"/>
            </w:tcMar>
          </w:tcPr>
          <w:p w:rsidR="00000000" w:rsidDel="00000000" w:rsidP="00000000" w:rsidRDefault="00000000" w:rsidRPr="00000000" w14:paraId="0000001C">
            <w:pPr>
              <w:spacing w:after="60" w:before="60" w:line="312" w:lineRule="auto"/>
              <w:jc w:val="center"/>
              <w:rPr/>
            </w:pPr>
            <w:r w:rsidDel="00000000" w:rsidR="00000000" w:rsidRPr="00000000">
              <w:rPr>
                <w:rtl w:val="0"/>
              </w:rPr>
              <w:t xml:space="preserve">4</w:t>
            </w:r>
          </w:p>
        </w:tc>
        <w:tc>
          <w:tcPr>
            <w:tcMar>
              <w:top w:w="0.0" w:type="dxa"/>
              <w:left w:w="108.0" w:type="dxa"/>
              <w:bottom w:w="0.0" w:type="dxa"/>
              <w:right w:w="108.0" w:type="dxa"/>
            </w:tcMar>
          </w:tcPr>
          <w:p w:rsidR="00000000" w:rsidDel="00000000" w:rsidP="00000000" w:rsidRDefault="00000000" w:rsidRPr="00000000" w14:paraId="0000001D">
            <w:pPr>
              <w:spacing w:after="60" w:before="60" w:line="312" w:lineRule="auto"/>
              <w:jc w:val="both"/>
              <w:rPr/>
            </w:pPr>
            <w:r w:rsidDel="00000000" w:rsidR="00000000" w:rsidRPr="00000000">
              <w:rPr>
                <w:rtl w:val="0"/>
              </w:rPr>
              <w:t xml:space="preserve">Khoản 5 Điều 14 Luật An toàn, vệ sinh lao động 2015</w:t>
            </w:r>
          </w:p>
        </w:tc>
        <w:tc>
          <w:tcPr>
            <w:tcMar>
              <w:top w:w="0.0" w:type="dxa"/>
              <w:left w:w="108.0" w:type="dxa"/>
              <w:bottom w:w="0.0" w:type="dxa"/>
              <w:right w:w="108.0" w:type="dxa"/>
            </w:tcMar>
          </w:tcPr>
          <w:p w:rsidR="00000000" w:rsidDel="00000000" w:rsidP="00000000" w:rsidRDefault="00000000" w:rsidRPr="00000000" w14:paraId="0000001E">
            <w:pPr>
              <w:spacing w:after="60" w:before="60" w:line="312" w:lineRule="auto"/>
              <w:jc w:val="both"/>
              <w:rPr>
                <w:i w:val="1"/>
              </w:rPr>
            </w:pPr>
            <w:r w:rsidDel="00000000" w:rsidR="00000000" w:rsidRPr="00000000">
              <w:rPr>
                <w:i w:val="1"/>
                <w:rtl w:val="0"/>
              </w:rPr>
              <w:t xml:space="preserve">“</w:t>
            </w:r>
            <w:r w:rsidDel="00000000" w:rsidR="00000000" w:rsidRPr="00000000">
              <w:rPr>
                <w:b w:val="1"/>
                <w:i w:val="1"/>
                <w:rtl w:val="0"/>
              </w:rPr>
              <w:t xml:space="preserve">Điều 14. Huấn luyện an toàn, vệ sinh lao động</w:t>
            </w:r>
            <w:r w:rsidDel="00000000" w:rsidR="00000000" w:rsidRPr="00000000">
              <w:rPr>
                <w:i w:val="1"/>
                <w:rtl w:val="0"/>
              </w:rPr>
              <w:t xml:space="preserve"> </w:t>
            </w:r>
          </w:p>
          <w:p w:rsidR="00000000" w:rsidDel="00000000" w:rsidP="00000000" w:rsidRDefault="00000000" w:rsidRPr="00000000" w14:paraId="0000001F">
            <w:pPr>
              <w:spacing w:after="60" w:before="60" w:line="312" w:lineRule="auto"/>
              <w:jc w:val="both"/>
              <w:rPr/>
            </w:pPr>
            <w:r w:rsidDel="00000000" w:rsidR="00000000" w:rsidRPr="00000000">
              <w:rPr>
                <w:i w:val="1"/>
                <w:rtl w:val="0"/>
              </w:rPr>
              <w:t xml:space="preserve">5. Việc huấn luyện về an toàn, vệ sinh lao động quy định tại Điều này phải phù hợp với đặc điểm, tính chất của từng ngành nghề, vị trí công việc, quy mô lao động và không gây khó khăn đến hoạt động sản xuất, kinh doanh. Căn cứ vào điều kiện cụ thể của cơ sở sản xuất, kinh doanh, người sử dụng lao động chủ động tổ chức huấn luyện riêng về an toàn, vệ sinh lao động hoặc kết hợp huấn luyện các nội dung về an toàn, vệ sinh lao động với huấn luyện về phòng cháy, chữa cháy hoặc nội dung huấn luyện khác được pháp luật chuyên ngành quy định.”</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0">
            <w:pPr>
              <w:spacing w:after="60" w:before="60" w:line="312" w:lineRule="auto"/>
              <w:jc w:val="both"/>
              <w:rPr/>
            </w:pPr>
            <w:r w:rsidDel="00000000" w:rsidR="00000000" w:rsidRPr="00000000">
              <w:rPr>
                <w:rtl w:val="0"/>
              </w:rPr>
              <w:t xml:space="preserve">Theo đó đào tạo an toàn, vệ sinh lao động có thể kết hợp với các loại đào tạo khác (Ví dụ như đào tạo an toàn hóa chất, an toàn xây dựng,…)</w:t>
            </w:r>
          </w:p>
          <w:p w:rsidR="00000000" w:rsidDel="00000000" w:rsidP="00000000" w:rsidRDefault="00000000" w:rsidRPr="00000000" w14:paraId="00000021">
            <w:pPr>
              <w:spacing w:after="60" w:before="60" w:line="312" w:lineRule="auto"/>
              <w:jc w:val="both"/>
              <w:rPr/>
            </w:pPr>
            <w:r w:rsidDel="00000000" w:rsidR="00000000" w:rsidRPr="00000000">
              <w:rPr>
                <w:rtl w:val="0"/>
              </w:rPr>
              <w:t xml:space="preserve">Khi đào tạo kết hợp giúp tiết kiệm chi phí cho doanh nghiệp, tuy nhiên trong quá trình thực hiện vẫn còn một số vướng mắc và chưa có quy định cụ thể trong các vấn đề sau khiến doanh nghiệp vẫn chưa thực hiện được điều này:</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5"/>
              </w:tabs>
              <w:spacing w:after="0" w:before="60" w:line="31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Tổng thời lượng đào tạo sẽ như thế nào do các nội dung đào tạo có thời gian khác nhau?</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5"/>
              </w:tabs>
              <w:spacing w:after="0" w:before="0" w:line="31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Hồ sơ đào tạo được gộp hay tách riêng?</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5"/>
              </w:tabs>
              <w:spacing w:after="60" w:before="0" w:line="31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Khi có thanh tra, kiểm tra từ cơ quan nhà nước hoặc các tổ chức đánh giá thì xử lý ra sao do các nội dung đào tạo thuộc quản lý của các bộ khác nhau (Ví dụ như Bộ Công Thương đối với đào tạo an toàn hóa chất và Bộ Lao động Thương Binh Xã Hội với đào tạo về an toàn, vệ sinh lao động)?</w:t>
            </w:r>
          </w:p>
        </w:tc>
      </w:tr>
    </w:tbl>
    <w:p w:rsidR="00000000" w:rsidDel="00000000" w:rsidP="00000000" w:rsidRDefault="00000000" w:rsidRPr="00000000" w14:paraId="00000025">
      <w:pPr>
        <w:rPr/>
      </w:pPr>
      <w:r w:rsidDel="00000000" w:rsidR="00000000" w:rsidRPr="00000000">
        <w:rPr>
          <w:rtl w:val="0"/>
        </w:rPr>
      </w:r>
    </w:p>
    <w:sectPr>
      <w:footerReference r:id="rId7" w:type="default"/>
      <w:footerReference r:id="rId8" w:type="even"/>
      <w:pgSz w:h="16840" w:w="11907"/>
      <w:pgMar w:bottom="539" w:top="851" w:left="1701" w:right="1134" w:header="624"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Times New Roman" w:cs="Times New Roman" w:eastAsia="Times New Roman" w:hAnsi="Times New Roman"/>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23C4"/>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rsid w:val="008623C4"/>
    <w:pPr>
      <w:tabs>
        <w:tab w:val="center" w:pos="4320"/>
        <w:tab w:val="right" w:pos="8640"/>
      </w:tabs>
    </w:pPr>
  </w:style>
  <w:style w:type="character" w:styleId="FooterChar" w:customStyle="1">
    <w:name w:val="Footer Char"/>
    <w:basedOn w:val="DefaultParagraphFont"/>
    <w:link w:val="Footer"/>
    <w:rsid w:val="008623C4"/>
    <w:rPr>
      <w:rFonts w:ascii="Times New Roman" w:cs="Times New Roman" w:eastAsia="Times New Roman" w:hAnsi="Times New Roman"/>
      <w:sz w:val="24"/>
      <w:szCs w:val="24"/>
    </w:rPr>
  </w:style>
  <w:style w:type="character" w:styleId="PageNumber">
    <w:name w:val="page number"/>
    <w:basedOn w:val="DefaultParagraphFont"/>
    <w:rsid w:val="008623C4"/>
  </w:style>
  <w:style w:type="character" w:styleId="Hyperlink">
    <w:name w:val="Hyperlink"/>
    <w:rsid w:val="008623C4"/>
    <w:rPr>
      <w:color w:val="0000ff"/>
      <w:u w:val="single"/>
    </w:rPr>
  </w:style>
  <w:style w:type="paragraph" w:styleId="BalloonText">
    <w:name w:val="Balloon Text"/>
    <w:basedOn w:val="Normal"/>
    <w:link w:val="BalloonTextChar"/>
    <w:uiPriority w:val="99"/>
    <w:semiHidden w:val="1"/>
    <w:unhideWhenUsed w:val="1"/>
    <w:rsid w:val="00186E2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86E27"/>
    <w:rPr>
      <w:rFonts w:ascii="Segoe UI" w:cs="Segoe UI" w:eastAsia="Times New Roman" w:hAnsi="Segoe UI"/>
      <w:sz w:val="18"/>
      <w:szCs w:val="18"/>
    </w:rPr>
  </w:style>
  <w:style w:type="character" w:styleId="UnresolvedMention">
    <w:name w:val="Unresolved Mention"/>
    <w:basedOn w:val="DefaultParagraphFont"/>
    <w:uiPriority w:val="99"/>
    <w:semiHidden w:val="1"/>
    <w:unhideWhenUsed w:val="1"/>
    <w:rsid w:val="008940B6"/>
    <w:rPr>
      <w:color w:val="605e5c"/>
      <w:shd w:color="auto" w:fill="e1dfdd" w:val="clear"/>
    </w:rPr>
  </w:style>
  <w:style w:type="paragraph" w:styleId="ListParagraph">
    <w:name w:val="List Paragraph"/>
    <w:basedOn w:val="Normal"/>
    <w:uiPriority w:val="34"/>
    <w:qFormat w:val="1"/>
    <w:rsid w:val="009C7812"/>
    <w:pPr>
      <w:spacing w:after="160" w:line="259" w:lineRule="auto"/>
      <w:ind w:left="720"/>
      <w:contextualSpacing w:val="1"/>
    </w:pPr>
    <w:rPr>
      <w:rFonts w:asciiTheme="minorHAnsi" w:cstheme="minorBidi" w:eastAsiaTheme="minorHAnsi" w:hAnsiTheme="minorHAnsi"/>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sOlsdTn4pHruM5Q7eXGs1+mqfA==">AMUW2mUpXken/OJ/dXgRMuRFh4xyvbzD36UKeFxieDBDZghTzFhwcqY24QCFCOKkoBKz5f8dFYLcVVU5f9e1/e2ofHALECEWOebpL+CyjIjrU6X8KglujObs8GwR60M6ULsrPjaqAtQp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2020-06-23T03:26:00Z</dcterms:created>
  <dc:creator>ThanhHoa</dc:creator>
</cp:coreProperties>
</file>