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A6" w:rsidRDefault="00091499" w:rsidP="008F3554">
      <w:pPr>
        <w:spacing w:before="60" w:after="60" w:line="276" w:lineRule="auto"/>
        <w:jc w:val="center"/>
        <w:rPr>
          <w:b/>
          <w:iCs/>
        </w:rPr>
      </w:pPr>
      <w:r>
        <w:rPr>
          <w:b/>
          <w:iCs/>
          <w:noProof/>
        </w:rPr>
        <w:pict>
          <v:line id="Straight Connector 1" o:spid="_x0000_s1026" style="position:absolute;left:0;text-align:left;z-index:251659264;visibility:visible;mso-width-relative:margin;mso-height-relative:margin" from="171.45pt,20.25pt" to="283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" strokecolor="black [3040]"/>
        </w:pict>
      </w:r>
      <w:r w:rsidR="00786AA6">
        <w:rPr>
          <w:b/>
          <w:iCs/>
        </w:rPr>
        <w:t>BỘ THÔNG TIN VÀ TRUYỀN THÔNG</w:t>
      </w:r>
    </w:p>
    <w:p w:rsidR="00786AA6" w:rsidRDefault="00786AA6" w:rsidP="008F3554">
      <w:pPr>
        <w:spacing w:before="60" w:after="60" w:line="276" w:lineRule="auto"/>
        <w:jc w:val="center"/>
        <w:rPr>
          <w:b/>
          <w:iCs/>
        </w:rPr>
      </w:pPr>
    </w:p>
    <w:p w:rsidR="008F3554" w:rsidRDefault="005D7B43" w:rsidP="00723A26">
      <w:pPr>
        <w:spacing w:before="60" w:after="60" w:line="276" w:lineRule="auto"/>
        <w:jc w:val="center"/>
        <w:rPr>
          <w:b/>
          <w:iCs/>
        </w:rPr>
      </w:pPr>
      <w:r>
        <w:rPr>
          <w:b/>
          <w:iCs/>
        </w:rPr>
        <w:t xml:space="preserve">Thuyết minh </w:t>
      </w:r>
    </w:p>
    <w:p w:rsidR="006E2EB3" w:rsidRPr="008F3554" w:rsidRDefault="005D7B43" w:rsidP="00723A26">
      <w:pPr>
        <w:spacing w:before="60" w:after="60" w:line="276" w:lineRule="auto"/>
        <w:jc w:val="center"/>
        <w:rPr>
          <w:b/>
          <w:iCs/>
        </w:rPr>
      </w:pPr>
      <w:r>
        <w:rPr>
          <w:b/>
          <w:iCs/>
        </w:rPr>
        <w:t>D</w:t>
      </w:r>
      <w:r w:rsidR="008F3554" w:rsidRPr="008F3554">
        <w:rPr>
          <w:b/>
          <w:iCs/>
        </w:rPr>
        <w:t xml:space="preserve">ự thảo Thông tư thay thế </w:t>
      </w:r>
      <w:r w:rsidR="00707131" w:rsidRPr="008F3554">
        <w:rPr>
          <w:b/>
          <w:iCs/>
        </w:rPr>
        <w:t>T</w:t>
      </w:r>
      <w:r w:rsidR="008F3554" w:rsidRPr="008F3554">
        <w:rPr>
          <w:b/>
          <w:iCs/>
        </w:rPr>
        <w:t xml:space="preserve">hông tư </w:t>
      </w:r>
      <w:r w:rsidR="00707131" w:rsidRPr="008F3554">
        <w:rPr>
          <w:b/>
          <w:iCs/>
        </w:rPr>
        <w:t>0</w:t>
      </w:r>
      <w:r w:rsidR="003D555C">
        <w:rPr>
          <w:b/>
          <w:iCs/>
        </w:rPr>
        <w:t>5</w:t>
      </w:r>
      <w:r w:rsidR="00707131" w:rsidRPr="008F3554">
        <w:rPr>
          <w:b/>
          <w:iCs/>
        </w:rPr>
        <w:t>/201</w:t>
      </w:r>
      <w:r w:rsidR="003D555C">
        <w:rPr>
          <w:b/>
          <w:iCs/>
        </w:rPr>
        <w:t>9</w:t>
      </w:r>
      <w:r w:rsidR="00707131" w:rsidRPr="008F3554">
        <w:rPr>
          <w:b/>
          <w:iCs/>
        </w:rPr>
        <w:t>/TT-BTTTT</w:t>
      </w:r>
      <w:r w:rsidR="008F3554" w:rsidRPr="008F3554">
        <w:rPr>
          <w:b/>
          <w:iCs/>
        </w:rPr>
        <w:t xml:space="preserve">quy định Danh mục sản phẩm, hàng hóa </w:t>
      </w:r>
      <w:r>
        <w:rPr>
          <w:b/>
          <w:iCs/>
        </w:rPr>
        <w:t xml:space="preserve">có khả năng gây mất </w:t>
      </w:r>
      <w:proofErr w:type="gramStart"/>
      <w:r>
        <w:rPr>
          <w:b/>
          <w:iCs/>
        </w:rPr>
        <w:t>an</w:t>
      </w:r>
      <w:proofErr w:type="gramEnd"/>
      <w:r>
        <w:rPr>
          <w:b/>
          <w:iCs/>
        </w:rPr>
        <w:t xml:space="preserve"> toàn thuộc trách nhiệm quản lý của Bộ Thông tin và Truyền thông</w:t>
      </w:r>
    </w:p>
    <w:p w:rsidR="00370E95" w:rsidRDefault="00BE7D9F" w:rsidP="00723A26">
      <w:pPr>
        <w:spacing w:before="60" w:after="60" w:line="276" w:lineRule="auto"/>
        <w:ind w:left="1699" w:hanging="1699"/>
        <w:jc w:val="center"/>
        <w:rPr>
          <w:iCs/>
        </w:rPr>
      </w:pPr>
      <w:r>
        <w:rPr>
          <w:iCs/>
        </w:rPr>
        <w:t>(0</w:t>
      </w:r>
      <w:r w:rsidR="003D555C">
        <w:rPr>
          <w:iCs/>
        </w:rPr>
        <w:t>2</w:t>
      </w:r>
      <w:r>
        <w:rPr>
          <w:iCs/>
        </w:rPr>
        <w:t>/2</w:t>
      </w:r>
      <w:r w:rsidR="003D555C">
        <w:rPr>
          <w:iCs/>
        </w:rPr>
        <w:t>020</w:t>
      </w:r>
      <w:r>
        <w:rPr>
          <w:iCs/>
        </w:rPr>
        <w:t>)</w:t>
      </w:r>
    </w:p>
    <w:p w:rsidR="00BE7D9F" w:rsidRDefault="00BE7D9F" w:rsidP="00723A26">
      <w:pPr>
        <w:spacing w:before="60" w:after="60" w:line="276" w:lineRule="auto"/>
        <w:ind w:left="1699" w:hanging="1699"/>
        <w:jc w:val="center"/>
        <w:rPr>
          <w:iCs/>
        </w:rPr>
      </w:pPr>
    </w:p>
    <w:p w:rsidR="00D14952" w:rsidRPr="00266E37" w:rsidRDefault="00723A26" w:rsidP="00723A26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b/>
        </w:rPr>
      </w:pPr>
      <w:r>
        <w:rPr>
          <w:b/>
        </w:rPr>
        <w:tab/>
      </w:r>
      <w:r w:rsidR="004245F3" w:rsidRPr="00266E37">
        <w:rPr>
          <w:b/>
        </w:rPr>
        <w:t xml:space="preserve">1. </w:t>
      </w:r>
      <w:r w:rsidR="00D14952" w:rsidRPr="00266E37">
        <w:rPr>
          <w:b/>
        </w:rPr>
        <w:t xml:space="preserve">Sự cần thiết </w:t>
      </w:r>
      <w:r w:rsidR="001E44C2">
        <w:rPr>
          <w:b/>
        </w:rPr>
        <w:t xml:space="preserve">xây dựng Thông tư thay thế </w:t>
      </w:r>
      <w:r w:rsidR="00D14952" w:rsidRPr="00266E37">
        <w:rPr>
          <w:b/>
        </w:rPr>
        <w:t>Thông tư 0</w:t>
      </w:r>
      <w:r w:rsidR="003D555C">
        <w:rPr>
          <w:b/>
        </w:rPr>
        <w:t>5</w:t>
      </w:r>
      <w:r w:rsidR="00D14952" w:rsidRPr="00266E37">
        <w:rPr>
          <w:b/>
        </w:rPr>
        <w:t>/201</w:t>
      </w:r>
      <w:r w:rsidR="003D555C">
        <w:rPr>
          <w:b/>
        </w:rPr>
        <w:t>9</w:t>
      </w:r>
      <w:r w:rsidR="00D14952" w:rsidRPr="00266E37">
        <w:rPr>
          <w:b/>
        </w:rPr>
        <w:t>/TT-BTTTT</w:t>
      </w:r>
      <w:r w:rsidR="005D7B43">
        <w:rPr>
          <w:b/>
        </w:rPr>
        <w:t xml:space="preserve"> (TT05)</w:t>
      </w:r>
    </w:p>
    <w:p w:rsidR="00DD45E0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14952" w:rsidRPr="00266E37">
        <w:t>Khoản 2 Điều 3 của TT0</w:t>
      </w:r>
      <w:r w:rsidR="003D555C">
        <w:t>5</w:t>
      </w:r>
      <w:r w:rsidR="00D14952" w:rsidRPr="00266E37">
        <w:t xml:space="preserve"> quy định Bộ T</w:t>
      </w:r>
      <w:r w:rsidR="005D7B43">
        <w:t>hông tin và Truyền thông (T</w:t>
      </w:r>
      <w:r w:rsidR="00D14952" w:rsidRPr="00266E37">
        <w:t>TTT</w:t>
      </w:r>
      <w:proofErr w:type="gramStart"/>
      <w:r w:rsidR="005D7B43">
        <w:t>)ra</w:t>
      </w:r>
      <w:proofErr w:type="gramEnd"/>
      <w:r w:rsidR="005D7B43">
        <w:t xml:space="preserve">̀ soát, </w:t>
      </w:r>
      <w:r w:rsidR="00D14952" w:rsidRPr="00266E37">
        <w:t xml:space="preserve">sửa đổi, bổ sung Danh mục sản phẩm, hàng hóa </w:t>
      </w:r>
      <w:r w:rsidR="00E37367">
        <w:t xml:space="preserve">có khả năng gây mất an toàn </w:t>
      </w:r>
      <w:r w:rsidR="005D7B43">
        <w:t>(Danh mục</w:t>
      </w:r>
      <w:r w:rsidR="00E37367">
        <w:t xml:space="preserve"> SPHH nhóm 2</w:t>
      </w:r>
      <w:r w:rsidR="005D7B43">
        <w:t xml:space="preserve">) theo từng thời kỳ, </w:t>
      </w:r>
      <w:r w:rsidR="00D14952" w:rsidRPr="00266E37">
        <w:t>phù hợp với chính sách quản lý của Nhà nước.</w:t>
      </w:r>
    </w:p>
    <w:p w:rsidR="00D14952" w:rsidRPr="00266E37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D45E0">
        <w:t>Việc xây dựng Thông tư nhằm rà soát, sửa đổi, bổ sung Danh mục SPHH nhóm 2 với một số nội dung chính sau:</w:t>
      </w:r>
    </w:p>
    <w:p w:rsidR="00DD45E0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D45E0">
        <w:t>a) Cập nhật các QCVN mới ban hành tại Danh mục</w:t>
      </w:r>
    </w:p>
    <w:p w:rsidR="00D14952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14952" w:rsidRPr="00266E37">
        <w:t>Trong năm 201</w:t>
      </w:r>
      <w:r w:rsidR="003D555C">
        <w:t>9</w:t>
      </w:r>
      <w:r w:rsidR="00D14952" w:rsidRPr="00266E37">
        <w:t xml:space="preserve">, Bộ TTTT đã ban </w:t>
      </w:r>
      <w:r w:rsidR="00D14952" w:rsidRPr="002B50E6">
        <w:t>hành 0</w:t>
      </w:r>
      <w:r w:rsidR="00827000" w:rsidRPr="002B50E6">
        <w:t>2</w:t>
      </w:r>
      <w:r w:rsidR="006716DD">
        <w:t>Quy chuẩn kỹ thuật quốc gia (</w:t>
      </w:r>
      <w:r w:rsidR="00D14952" w:rsidRPr="002B50E6">
        <w:t>QCVN</w:t>
      </w:r>
      <w:proofErr w:type="gramStart"/>
      <w:r w:rsidR="006716DD">
        <w:t>)</w:t>
      </w:r>
      <w:r w:rsidR="005D7B43">
        <w:t>a</w:t>
      </w:r>
      <w:proofErr w:type="gramEnd"/>
      <w:r w:rsidR="005D7B43">
        <w:t xml:space="preserve">́p dụng </w:t>
      </w:r>
      <w:r w:rsidR="00D14952" w:rsidRPr="002B50E6">
        <w:t xml:space="preserve">cho </w:t>
      </w:r>
      <w:r w:rsidR="005D7B43">
        <w:t>sản phẩm, hàng hóa</w:t>
      </w:r>
      <w:r w:rsidR="00D14952" w:rsidRPr="002B50E6">
        <w:t xml:space="preserve"> thuộc </w:t>
      </w:r>
      <w:r w:rsidR="005D7B43">
        <w:t>D</w:t>
      </w:r>
      <w:r w:rsidR="00D14952" w:rsidRPr="002B50E6">
        <w:t>anh mục</w:t>
      </w:r>
      <w:r w:rsidR="00E37367">
        <w:t xml:space="preserve"> SPHH nhóm 2</w:t>
      </w:r>
      <w:r w:rsidR="005D7B43">
        <w:t xml:space="preserve">: </w:t>
      </w:r>
    </w:p>
    <w:p w:rsidR="008606FF" w:rsidRPr="00E20A6B" w:rsidRDefault="008606FF" w:rsidP="00020E0C">
      <w:pPr>
        <w:spacing w:before="60" w:after="60" w:line="276" w:lineRule="auto"/>
        <w:ind w:firstLine="567"/>
        <w:jc w:val="both"/>
      </w:pPr>
      <w:r w:rsidRPr="00E20A6B">
        <w:t xml:space="preserve">- QCVN 86:2019/ BTTTT </w:t>
      </w:r>
      <w:r w:rsidR="00D221C0" w:rsidRPr="00E20A6B">
        <w:t>Quy chuẩn kỹ thuật quốc gia về tương thích điện từ cho thiết bị đầu cuối và phụ trợ trong hệ thống thông tin di động.</w:t>
      </w:r>
    </w:p>
    <w:p w:rsidR="00E96EB5" w:rsidRDefault="00D221C0" w:rsidP="00020E0C">
      <w:pPr>
        <w:spacing w:before="60" w:after="60" w:line="276" w:lineRule="auto"/>
        <w:ind w:firstLine="567"/>
        <w:jc w:val="both"/>
      </w:pPr>
      <w:r>
        <w:t xml:space="preserve">- </w:t>
      </w:r>
      <w:r w:rsidRPr="00E20A6B">
        <w:t>QCVN 119:2019/BTTTT Quy chuẩn kỹ thuật quốc gia về tương thích điện từ đối với thiết bị thông tin vô tuyến và dẫn đường hàng hải</w:t>
      </w:r>
      <w:r w:rsidR="002B50E6">
        <w:t>.</w:t>
      </w:r>
    </w:p>
    <w:p w:rsidR="005D7B43" w:rsidRPr="00E20A6B" w:rsidRDefault="005D7B43" w:rsidP="00020E0C">
      <w:pPr>
        <w:spacing w:before="60" w:after="60" w:line="276" w:lineRule="auto"/>
        <w:ind w:firstLine="567"/>
        <w:jc w:val="both"/>
      </w:pPr>
      <w:r>
        <w:t>T</w:t>
      </w:r>
      <w:r w:rsidRPr="002B50E6">
        <w:t xml:space="preserve">hời điểm hiệu lực </w:t>
      </w:r>
      <w:r>
        <w:t xml:space="preserve">áp dụng của các QCVN này </w:t>
      </w:r>
      <w:r w:rsidRPr="002B50E6">
        <w:t xml:space="preserve">từ 1/7/2020, do vậy </w:t>
      </w:r>
      <w:r>
        <w:t xml:space="preserve">việc xây dựng Thông tư nhằm </w:t>
      </w:r>
      <w:r w:rsidRPr="002B50E6">
        <w:t xml:space="preserve">cập nhật </w:t>
      </w:r>
      <w:r w:rsidR="00E37367">
        <w:t xml:space="preserve">các QCVN mới vào </w:t>
      </w:r>
      <w:r w:rsidRPr="002B50E6">
        <w:t xml:space="preserve">Danh mục </w:t>
      </w:r>
      <w:r w:rsidR="00E37367">
        <w:t xml:space="preserve">SPHH nhóm 2 </w:t>
      </w:r>
      <w:r>
        <w:t xml:space="preserve">để áp dụng </w:t>
      </w:r>
      <w:r w:rsidRPr="002B50E6">
        <w:t>đồng bộ</w:t>
      </w:r>
      <w:r>
        <w:t xml:space="preserve">, </w:t>
      </w:r>
      <w:r w:rsidR="00E37367">
        <w:t xml:space="preserve">thống nhất, </w:t>
      </w:r>
      <w:r>
        <w:t>tạo thuận lợi cho doanh nghiệp sản xuất, nhập khẩu.</w:t>
      </w:r>
    </w:p>
    <w:p w:rsidR="00DD45E0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D45E0">
        <w:t>b) Rà soát, sửa đổi Danh mục đáp ứng yêu cầu thực tiễn</w:t>
      </w:r>
    </w:p>
    <w:p w:rsidR="0007395A" w:rsidRPr="00266E37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5D7B43">
        <w:t xml:space="preserve">Việc xây dựng Thông tư cũng nhằm </w:t>
      </w:r>
      <w:r w:rsidR="001E44C2">
        <w:t xml:space="preserve">rà soát, </w:t>
      </w:r>
      <w:r w:rsidR="005D7B43">
        <w:t xml:space="preserve">cập nhật, </w:t>
      </w:r>
      <w:r w:rsidR="001E44C2">
        <w:t xml:space="preserve">sửa đổi Danh mục SPHH nhóm 2 ban hành kèm </w:t>
      </w:r>
      <w:proofErr w:type="gramStart"/>
      <w:r w:rsidR="001E44C2">
        <w:t>theo</w:t>
      </w:r>
      <w:proofErr w:type="gramEnd"/>
      <w:r w:rsidR="001E44C2">
        <w:t xml:space="preserve"> Thông tư, đáp ứng </w:t>
      </w:r>
      <w:r w:rsidR="005D7B43">
        <w:t>một số</w:t>
      </w:r>
      <w:r w:rsidR="001E44C2">
        <w:t xml:space="preserve"> yêu cầu thực tiễn</w:t>
      </w:r>
      <w:r w:rsidR="0007395A" w:rsidRPr="00266E37">
        <w:t>:</w:t>
      </w:r>
    </w:p>
    <w:p w:rsidR="008931C3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D45E0">
        <w:t>-</w:t>
      </w:r>
      <w:r w:rsidR="008931C3">
        <w:t xml:space="preserve">Chỉ đạo của Chính phủ về cải cách kiểm tra chuyên ngành: </w:t>
      </w:r>
    </w:p>
    <w:p w:rsidR="002A4503" w:rsidRDefault="00D407B1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B97228" w:rsidRPr="00266E37">
        <w:t>Nghị quyết 02</w:t>
      </w:r>
      <w:r w:rsidR="003D4101">
        <w:t>/</w:t>
      </w:r>
      <w:r w:rsidR="00B97228" w:rsidRPr="00266E37">
        <w:t>NQ</w:t>
      </w:r>
      <w:r w:rsidR="003D4101">
        <w:t>-CP</w:t>
      </w:r>
      <w:r w:rsidR="0047724D">
        <w:t>năm 2020</w:t>
      </w:r>
      <w:r w:rsidR="00B97228" w:rsidRPr="00266E37">
        <w:t xml:space="preserve"> của Chính phủ</w:t>
      </w:r>
      <w:r w:rsidR="0047724D">
        <w:t xml:space="preserve">tiếp tục </w:t>
      </w:r>
      <w:r w:rsidR="0007395A" w:rsidRPr="00266E37">
        <w:t>yêu cầu</w:t>
      </w:r>
      <w:r w:rsidR="003D4101" w:rsidRPr="008D0B3F">
        <w:t xml:space="preserve"> các Bộ, cơ quan ngang Bộ</w:t>
      </w:r>
      <w:r w:rsidR="0047724D">
        <w:t xml:space="preserve"> hoàn thành việc</w:t>
      </w:r>
      <w:r w:rsidR="00D13D1E" w:rsidRPr="008D0B3F">
        <w:t xml:space="preserve"> rà soát, cắt giảm thực chất 50% số mặt hàng thuộc danh mục mặt hàng kiểm tra chuyên ngành</w:t>
      </w:r>
      <w:r w:rsidR="005250AE">
        <w:rPr>
          <w:rStyle w:val="FootnoteReference"/>
        </w:rPr>
        <w:footnoteReference w:id="1"/>
      </w:r>
      <w:r w:rsidR="008D0B3F" w:rsidRPr="008D0B3F">
        <w:t>..</w:t>
      </w:r>
      <w:r w:rsidR="00D13D1E" w:rsidRPr="008D0B3F">
        <w:t>.</w:t>
      </w:r>
    </w:p>
    <w:p w:rsidR="008931C3" w:rsidRPr="00D407B1" w:rsidRDefault="00D407B1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rPr>
          <w:iCs/>
        </w:rPr>
        <w:lastRenderedPageBreak/>
        <w:tab/>
      </w:r>
      <w:r w:rsidR="00752DA9" w:rsidRPr="00D407B1">
        <w:rPr>
          <w:iCs/>
        </w:rPr>
        <w:t xml:space="preserve">Chính phủ vừa ban hành Nghị định số 85/2019/NĐ-CP ngày 14/11/2019 quy định thực hiện thủ tục hành chính </w:t>
      </w:r>
      <w:proofErr w:type="gramStart"/>
      <w:r w:rsidR="00752DA9" w:rsidRPr="00D407B1">
        <w:rPr>
          <w:iCs/>
        </w:rPr>
        <w:t>theo</w:t>
      </w:r>
      <w:proofErr w:type="gramEnd"/>
      <w:r w:rsidR="00752DA9" w:rsidRPr="00D407B1">
        <w:rPr>
          <w:iCs/>
        </w:rPr>
        <w:t> Cơ chế một cửa quốc gia, Cơ chế một cửa ASEAN và kiểm tra chuyên ngành đối với hàng hóa xuất nhập khẩu</w:t>
      </w:r>
      <w:r w:rsidRPr="00D407B1">
        <w:rPr>
          <w:iCs/>
        </w:rPr>
        <w:t>.</w:t>
      </w:r>
      <w:r w:rsidR="00752DA9" w:rsidRPr="00D407B1">
        <w:rPr>
          <w:iCs/>
        </w:rPr>
        <w:t xml:space="preserve"> </w:t>
      </w:r>
      <w:proofErr w:type="gramStart"/>
      <w:r w:rsidR="00752DA9" w:rsidRPr="00D407B1">
        <w:rPr>
          <w:iCs/>
        </w:rPr>
        <w:t>Nghị định có hiệu lực thi hành kể từ ngày 01/01/2020</w:t>
      </w:r>
      <w:r w:rsidRPr="00D407B1">
        <w:rPr>
          <w:iCs/>
        </w:rPr>
        <w:t xml:space="preserve">theo đó </w:t>
      </w:r>
      <w:r w:rsidR="008931C3" w:rsidRPr="00D407B1">
        <w:t xml:space="preserve">quy định </w:t>
      </w:r>
      <w:r w:rsidR="007B0271">
        <w:t xml:space="preserve">việc </w:t>
      </w:r>
      <w:r w:rsidR="002F2FD3">
        <w:t>áp dụng nguyên tắc</w:t>
      </w:r>
      <w:r w:rsidR="007B0271">
        <w:t xml:space="preserve"> quản lý rủi ro và việc phối hợp trong hoạt động kiểm tra chuyên ngành</w:t>
      </w:r>
      <w:r w:rsidR="008931C3" w:rsidRPr="00D407B1">
        <w:t>.</w:t>
      </w:r>
      <w:proofErr w:type="gramEnd"/>
      <w:r w:rsidR="008931C3" w:rsidRPr="00D407B1">
        <w:t xml:space="preserve"> </w:t>
      </w:r>
    </w:p>
    <w:p w:rsidR="00DD45E0" w:rsidRDefault="00D407B1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  <w:t xml:space="preserve">Trong năm 2018 và 2019, Bộ TTTT đã chủ động rà soát, cắt giảm Danh mục SPHH nhóm 2 và hoàn thành các yêu cầu của Chính phủ về cắt giảm thực chất 50% số mặt hàng thuộc danh mục kiểm tra chuyên ngành (Danh mục SPHH nhóm 2). Tiếp tục yêu cầu của Chính phủ, Bộ TTTT tiếp tục </w:t>
      </w:r>
      <w:r w:rsidR="00DD45E0">
        <w:t>rà soát</w:t>
      </w:r>
      <w:r>
        <w:t xml:space="preserve">, cắt giảm </w:t>
      </w:r>
      <w:r w:rsidR="008931C3">
        <w:t xml:space="preserve">Danh mục </w:t>
      </w:r>
      <w:r w:rsidR="00DD45E0">
        <w:t xml:space="preserve">theo hướng: </w:t>
      </w:r>
      <w:r w:rsidR="008931C3">
        <w:t>á</w:t>
      </w:r>
      <w:r w:rsidR="00DD45E0">
        <w:t xml:space="preserve">p dụng biện pháp quản lý rủi ro, </w:t>
      </w:r>
      <w:r w:rsidR="008931C3">
        <w:t xml:space="preserve">cắt giảm </w:t>
      </w:r>
      <w:r w:rsidR="00DD45E0">
        <w:t>chứng nhận hợp quy (chuyển SPHH từ Danh mục Phụ lục I sang Danh mục Phụ lục II</w:t>
      </w:r>
      <w:r w:rsidR="008931C3">
        <w:t>, hoặc đưa ra khỏi Danh mục</w:t>
      </w:r>
      <w:r w:rsidR="00DD45E0">
        <w:t xml:space="preserve">) đối với các SPHH đã được quản lý chặt </w:t>
      </w:r>
      <w:r w:rsidR="002F2FD3">
        <w:t xml:space="preserve">theo chuyên </w:t>
      </w:r>
      <w:r w:rsidR="00DD45E0">
        <w:t>ngành</w:t>
      </w:r>
      <w:r w:rsidR="002F2FD3">
        <w:t xml:space="preserve"> (như hàng hải, hàng không)</w:t>
      </w:r>
      <w:r w:rsidR="008931C3">
        <w:t xml:space="preserve">; SPHH </w:t>
      </w:r>
      <w:r w:rsidR="00B730F2">
        <w:t xml:space="preserve">ít có khả năng gây mất an toàn và </w:t>
      </w:r>
      <w:r w:rsidR="00DD45E0">
        <w:t xml:space="preserve">có thể </w:t>
      </w:r>
      <w:r w:rsidR="00B730F2">
        <w:t xml:space="preserve">quản lý rủi ro do </w:t>
      </w:r>
      <w:r w:rsidR="00DD45E0">
        <w:t>kiểm soát được phạm vi mất an toàn (về can nhiễu, về EMC)</w:t>
      </w:r>
      <w:r w:rsidR="008931C3">
        <w:t xml:space="preserve">. </w:t>
      </w:r>
      <w:proofErr w:type="gramStart"/>
      <w:r w:rsidR="008931C3">
        <w:t>Bên cạnh đó tiếp tục r</w:t>
      </w:r>
      <w:r w:rsidR="00DD45E0">
        <w:t xml:space="preserve">à soát mô tả hàng hóa </w:t>
      </w:r>
      <w:r w:rsidR="008931C3">
        <w:t xml:space="preserve">và mã </w:t>
      </w:r>
      <w:r w:rsidR="00DD45E0">
        <w:t>HS để cụ thể, chính xác các SPHH cần phải quản lý.</w:t>
      </w:r>
      <w:proofErr w:type="gramEnd"/>
    </w:p>
    <w:p w:rsidR="008931C3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91B4B">
        <w:t>- Sắp xếp, phân loại thiết bị tại Danh mục</w:t>
      </w:r>
      <w:r w:rsidR="008931C3">
        <w:t>:</w:t>
      </w:r>
    </w:p>
    <w:p w:rsidR="002B50E6" w:rsidRDefault="002A4503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716DD">
        <w:rPr>
          <w:color w:val="000000" w:themeColor="text1"/>
        </w:rPr>
        <w:t xml:space="preserve">Việt Nam đang </w:t>
      </w:r>
      <w:r w:rsidR="008931C3">
        <w:rPr>
          <w:color w:val="000000" w:themeColor="text1"/>
        </w:rPr>
        <w:t xml:space="preserve">đẩy mạnh </w:t>
      </w:r>
      <w:r w:rsidR="006716DD">
        <w:rPr>
          <w:color w:val="000000" w:themeColor="text1"/>
        </w:rPr>
        <w:t xml:space="preserve">thử nghiệm 5G </w:t>
      </w:r>
      <w:r w:rsidR="008931C3">
        <w:rPr>
          <w:color w:val="000000" w:themeColor="text1"/>
        </w:rPr>
        <w:t xml:space="preserve">và phát triển hạ tầng thông tin di động 5G. Hiện nay nhiều doanh nghiệp </w:t>
      </w:r>
      <w:r w:rsidR="00B730F2">
        <w:rPr>
          <w:color w:val="000000" w:themeColor="text1"/>
        </w:rPr>
        <w:t xml:space="preserve">trong nước </w:t>
      </w:r>
      <w:r w:rsidR="006716DD">
        <w:rPr>
          <w:color w:val="000000" w:themeColor="text1"/>
        </w:rPr>
        <w:t xml:space="preserve">đã sản xuất, nhập khẩu thiết bị 5G </w:t>
      </w:r>
      <w:r w:rsidR="002B50E6">
        <w:rPr>
          <w:color w:val="000000" w:themeColor="text1"/>
        </w:rPr>
        <w:t>(thiết bị đầu cuối và thiết bị trạm gốc thông tin di động 5G)</w:t>
      </w:r>
      <w:r w:rsidR="00B730F2">
        <w:rPr>
          <w:color w:val="000000" w:themeColor="text1"/>
        </w:rPr>
        <w:t xml:space="preserve">, các thiết bị này theo định hướng được </w:t>
      </w:r>
      <w:r w:rsidR="00E37367">
        <w:rPr>
          <w:color w:val="000000" w:themeColor="text1"/>
        </w:rPr>
        <w:t xml:space="preserve">quản lý theo hình thức chứng nhận hợp quy </w:t>
      </w:r>
      <w:r w:rsidR="0032587B">
        <w:rPr>
          <w:color w:val="000000" w:themeColor="text1"/>
        </w:rPr>
        <w:t>như các thiết bị thông tin di động 3G</w:t>
      </w:r>
      <w:r w:rsidR="008B3238">
        <w:rPr>
          <w:color w:val="000000" w:themeColor="text1"/>
        </w:rPr>
        <w:t>/</w:t>
      </w:r>
      <w:r w:rsidR="0032587B">
        <w:rPr>
          <w:color w:val="000000" w:themeColor="text1"/>
        </w:rPr>
        <w:t xml:space="preserve">4G </w:t>
      </w:r>
      <w:r w:rsidR="00E37367">
        <w:rPr>
          <w:color w:val="000000" w:themeColor="text1"/>
        </w:rPr>
        <w:t xml:space="preserve">để đảm bảo </w:t>
      </w:r>
      <w:r w:rsidR="0032587B">
        <w:rPr>
          <w:color w:val="000000" w:themeColor="text1"/>
        </w:rPr>
        <w:t xml:space="preserve">về </w:t>
      </w:r>
      <w:r w:rsidR="00E37367">
        <w:rPr>
          <w:color w:val="000000" w:themeColor="text1"/>
        </w:rPr>
        <w:t>an toàn, chất lượng</w:t>
      </w:r>
      <w:r w:rsidR="00B730F2">
        <w:rPr>
          <w:color w:val="000000" w:themeColor="text1"/>
        </w:rPr>
        <w:t>, do vậy đã bổ sung thiết bị 5G vào Danh mục Phụ lục I (Danh mục SPHH bắt buộc chứng nhận hợp quy và công bố hợp quy)</w:t>
      </w:r>
      <w:r w:rsidR="00E37367">
        <w:rPr>
          <w:color w:val="000000" w:themeColor="text1"/>
        </w:rPr>
        <w:t>.</w:t>
      </w:r>
    </w:p>
    <w:p w:rsidR="006716DD" w:rsidRDefault="002A4503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91B4B">
        <w:rPr>
          <w:color w:val="000000" w:themeColor="text1"/>
        </w:rPr>
        <w:t>Bên cạnh đó, m</w:t>
      </w:r>
      <w:r w:rsidR="00E37367">
        <w:rPr>
          <w:color w:val="000000" w:themeColor="text1"/>
        </w:rPr>
        <w:t xml:space="preserve">ột số </w:t>
      </w:r>
      <w:r w:rsidR="00B730F2">
        <w:rPr>
          <w:color w:val="000000" w:themeColor="text1"/>
        </w:rPr>
        <w:t xml:space="preserve">thiết bị vô tuyến cự ly ngắn </w:t>
      </w:r>
      <w:r w:rsidR="00E37367">
        <w:rPr>
          <w:color w:val="000000" w:themeColor="text1"/>
        </w:rPr>
        <w:t>thuộc Danh mục</w:t>
      </w:r>
      <w:r w:rsidR="00B730F2">
        <w:rPr>
          <w:color w:val="000000" w:themeColor="text1"/>
        </w:rPr>
        <w:t xml:space="preserve"> Phụ lục I thuộc phân loại “</w:t>
      </w:r>
      <w:r w:rsidR="00D91B4B">
        <w:rPr>
          <w:color w:val="000000" w:themeColor="text1"/>
        </w:rPr>
        <w:t>thiết bị cự ly ngắn khác” hiện n</w:t>
      </w:r>
      <w:r w:rsidR="002F2FD3">
        <w:rPr>
          <w:color w:val="000000" w:themeColor="text1"/>
        </w:rPr>
        <w:t>a</w:t>
      </w:r>
      <w:r w:rsidR="00D91B4B">
        <w:rPr>
          <w:color w:val="000000" w:themeColor="text1"/>
        </w:rPr>
        <w:t>y đã rõ ràng nên cần</w:t>
      </w:r>
      <w:r w:rsidR="00E37367">
        <w:rPr>
          <w:color w:val="000000" w:themeColor="text1"/>
        </w:rPr>
        <w:t xml:space="preserve"> được </w:t>
      </w:r>
      <w:r w:rsidR="00D91B4B">
        <w:rPr>
          <w:color w:val="000000" w:themeColor="text1"/>
        </w:rPr>
        <w:t xml:space="preserve">sắp xếp lại, </w:t>
      </w:r>
      <w:r w:rsidR="00E37367">
        <w:rPr>
          <w:color w:val="000000" w:themeColor="text1"/>
        </w:rPr>
        <w:t xml:space="preserve">thể hiện rõ về </w:t>
      </w:r>
      <w:r w:rsidR="00B730F2">
        <w:rPr>
          <w:color w:val="000000" w:themeColor="text1"/>
        </w:rPr>
        <w:t xml:space="preserve">tên, </w:t>
      </w:r>
      <w:r w:rsidR="00E37367">
        <w:rPr>
          <w:color w:val="000000" w:themeColor="text1"/>
        </w:rPr>
        <w:t>phân loại tại Danh mục để tạo thuận lợi cho việc áp dụng.</w:t>
      </w:r>
    </w:p>
    <w:p w:rsidR="00707131" w:rsidRPr="00266E37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b/>
        </w:rPr>
      </w:pPr>
      <w:r>
        <w:rPr>
          <w:b/>
        </w:rPr>
        <w:tab/>
      </w:r>
      <w:r w:rsidR="0047724D">
        <w:rPr>
          <w:b/>
        </w:rPr>
        <w:t>2</w:t>
      </w:r>
      <w:r w:rsidR="004E3F8D" w:rsidRPr="00266E37">
        <w:rPr>
          <w:b/>
        </w:rPr>
        <w:t xml:space="preserve">. </w:t>
      </w:r>
      <w:r w:rsidR="00DD45E0">
        <w:rPr>
          <w:b/>
        </w:rPr>
        <w:t>Một số nội dung mới của dự thảo Thông tư</w:t>
      </w:r>
    </w:p>
    <w:p w:rsidR="00DD45E0" w:rsidRDefault="002A4503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D45E0">
        <w:t xml:space="preserve">Nội dung của dự thảo Thông tư hiện không có thay đổi so với Thông tư 05/2019/TT-BTTTT.Dự kiến </w:t>
      </w:r>
      <w:r>
        <w:t>t</w:t>
      </w:r>
      <w:r w:rsidR="00DD45E0">
        <w:t xml:space="preserve">hời </w:t>
      </w:r>
      <w:r>
        <w:t>điểm</w:t>
      </w:r>
      <w:r w:rsidR="00DD45E0">
        <w:t xml:space="preserve"> có hiệu lực của Thông tư từ 01/7/2020 để đồng bộ với thời điểm các QCVN mới ban hành có hiệu lực.</w:t>
      </w:r>
    </w:p>
    <w:p w:rsidR="00DD45E0" w:rsidRDefault="002A4503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  <w:r>
        <w:tab/>
      </w:r>
      <w:r w:rsidR="00DD45E0">
        <w:t xml:space="preserve">Về </w:t>
      </w:r>
      <w:r>
        <w:t>n</w:t>
      </w:r>
      <w:r w:rsidR="00DD45E0">
        <w:t xml:space="preserve">ội dung của Danh mục SPHH nhóm 2 ban hành kèm </w:t>
      </w:r>
      <w:proofErr w:type="gramStart"/>
      <w:r w:rsidR="00DD45E0">
        <w:t>theo</w:t>
      </w:r>
      <w:proofErr w:type="gramEnd"/>
      <w:r w:rsidR="00DD45E0">
        <w:t xml:space="preserve"> Thông tư:</w:t>
      </w:r>
    </w:p>
    <w:p w:rsidR="00D407B1" w:rsidRDefault="00D407B1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</w:p>
    <w:p w:rsidR="00B730F2" w:rsidRDefault="00723A26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b/>
        </w:rPr>
      </w:pPr>
      <w:r>
        <w:rPr>
          <w:b/>
        </w:rPr>
        <w:tab/>
      </w:r>
    </w:p>
    <w:p w:rsidR="00B730F2" w:rsidRDefault="00B730F2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b/>
        </w:rPr>
      </w:pPr>
    </w:p>
    <w:p w:rsidR="00D91B4B" w:rsidRPr="00752DA9" w:rsidRDefault="00B730F2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  <w:rPr>
          <w:b/>
        </w:rPr>
      </w:pPr>
      <w:r>
        <w:rPr>
          <w:b/>
        </w:rPr>
        <w:lastRenderedPageBreak/>
        <w:tab/>
      </w:r>
      <w:r w:rsidR="00CF6389" w:rsidRPr="00EC1F58">
        <w:rPr>
          <w:b/>
        </w:rPr>
        <w:t>- Cập nhật QCVN áp dụng mới ban hành</w:t>
      </w:r>
      <w:r w:rsidR="00D91B4B" w:rsidRPr="00EC1F5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5414"/>
        <w:gridCol w:w="2886"/>
      </w:tblGrid>
      <w:tr w:rsidR="00D91B4B" w:rsidRPr="00317047" w:rsidTr="00703255">
        <w:tc>
          <w:tcPr>
            <w:tcW w:w="959" w:type="dxa"/>
          </w:tcPr>
          <w:p w:rsidR="00D91B4B" w:rsidRPr="00020E0C" w:rsidRDefault="00D91B4B" w:rsidP="00020E0C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20E0C">
              <w:rPr>
                <w:b/>
                <w:color w:val="000000" w:themeColor="text1"/>
                <w:sz w:val="26"/>
                <w:szCs w:val="26"/>
              </w:rPr>
              <w:t>QCVN</w:t>
            </w:r>
          </w:p>
        </w:tc>
        <w:tc>
          <w:tcPr>
            <w:tcW w:w="5429" w:type="dxa"/>
          </w:tcPr>
          <w:p w:rsidR="00D91B4B" w:rsidRPr="00020E0C" w:rsidRDefault="00D91B4B" w:rsidP="00020E0C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20E0C">
              <w:rPr>
                <w:b/>
                <w:color w:val="000000" w:themeColor="text1"/>
                <w:sz w:val="26"/>
                <w:szCs w:val="26"/>
              </w:rPr>
              <w:t>SPHH chuyển từ Danh mục CNHQ sang Danh mục CBHQ</w:t>
            </w:r>
          </w:p>
        </w:tc>
        <w:tc>
          <w:tcPr>
            <w:tcW w:w="2894" w:type="dxa"/>
          </w:tcPr>
          <w:p w:rsidR="00D91B4B" w:rsidRPr="00020E0C" w:rsidRDefault="00D91B4B" w:rsidP="00020E0C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20E0C">
              <w:rPr>
                <w:b/>
                <w:color w:val="000000" w:themeColor="text1"/>
                <w:sz w:val="26"/>
                <w:szCs w:val="26"/>
              </w:rPr>
              <w:t>SPHH tại Danh mục</w:t>
            </w:r>
          </w:p>
        </w:tc>
      </w:tr>
      <w:tr w:rsidR="00D91B4B" w:rsidRPr="00317047" w:rsidTr="00703255">
        <w:tc>
          <w:tcPr>
            <w:tcW w:w="959" w:type="dxa"/>
          </w:tcPr>
          <w:p w:rsidR="00D91B4B" w:rsidRPr="00020E0C" w:rsidRDefault="00D91B4B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20E0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9" w:type="dxa"/>
          </w:tcPr>
          <w:p w:rsidR="00D91B4B" w:rsidRPr="00020E0C" w:rsidRDefault="00D91B4B" w:rsidP="00020E0C">
            <w:pPr>
              <w:spacing w:before="60" w:after="60" w:line="276" w:lineRule="auto"/>
              <w:jc w:val="both"/>
              <w:rPr>
                <w:sz w:val="26"/>
                <w:szCs w:val="26"/>
              </w:rPr>
            </w:pPr>
            <w:r w:rsidRPr="00020E0C">
              <w:rPr>
                <w:sz w:val="26"/>
                <w:szCs w:val="26"/>
              </w:rPr>
              <w:t xml:space="preserve">QCVN 86:2019/ BTTTT Quy chuẩn kỹ thuật quốc gia về tương thích điện từ cho thiết bị đầu cuối và phụ trợ trong hệ thống thông tin di động. </w:t>
            </w:r>
          </w:p>
        </w:tc>
        <w:tc>
          <w:tcPr>
            <w:tcW w:w="2894" w:type="dxa"/>
          </w:tcPr>
          <w:p w:rsidR="00D91B4B" w:rsidRPr="00020E0C" w:rsidRDefault="00D91B4B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20E0C">
              <w:rPr>
                <w:color w:val="000000" w:themeColor="text1"/>
                <w:sz w:val="26"/>
                <w:szCs w:val="26"/>
              </w:rPr>
              <w:t xml:space="preserve">Thiết bị đầu cuối </w:t>
            </w:r>
            <w:r w:rsidR="009A17A8" w:rsidRPr="00020E0C">
              <w:rPr>
                <w:color w:val="000000" w:themeColor="text1"/>
                <w:sz w:val="26"/>
                <w:szCs w:val="26"/>
              </w:rPr>
              <w:t xml:space="preserve">thông tin di động GSM; </w:t>
            </w:r>
            <w:r w:rsidR="009A17A8" w:rsidRPr="00020E0C">
              <w:rPr>
                <w:color w:val="000000"/>
                <w:sz w:val="26"/>
                <w:szCs w:val="26"/>
              </w:rPr>
              <w:t>W-CDMA FDD; E-UTRA FDD</w:t>
            </w:r>
          </w:p>
        </w:tc>
      </w:tr>
      <w:tr w:rsidR="00D91B4B" w:rsidRPr="00317047" w:rsidTr="00703255">
        <w:tc>
          <w:tcPr>
            <w:tcW w:w="959" w:type="dxa"/>
          </w:tcPr>
          <w:p w:rsidR="00D91B4B" w:rsidRPr="00020E0C" w:rsidRDefault="00D91B4B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20E0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9" w:type="dxa"/>
          </w:tcPr>
          <w:p w:rsidR="00D91B4B" w:rsidRPr="00020E0C" w:rsidRDefault="00D91B4B" w:rsidP="00020E0C">
            <w:pPr>
              <w:spacing w:before="60" w:after="60" w:line="276" w:lineRule="auto"/>
              <w:jc w:val="both"/>
              <w:rPr>
                <w:sz w:val="26"/>
                <w:szCs w:val="26"/>
              </w:rPr>
            </w:pPr>
            <w:bookmarkStart w:id="0" w:name="_GoBack"/>
            <w:r w:rsidRPr="00020E0C">
              <w:rPr>
                <w:sz w:val="26"/>
                <w:szCs w:val="26"/>
              </w:rPr>
              <w:t xml:space="preserve">QCVN 119:2019/BTTTT </w:t>
            </w:r>
            <w:bookmarkEnd w:id="0"/>
            <w:r w:rsidRPr="00020E0C">
              <w:rPr>
                <w:sz w:val="26"/>
                <w:szCs w:val="26"/>
              </w:rPr>
              <w:t xml:space="preserve">Quy chuẩn kỹ thuật quốc gia về tương thích điện từ đối với thiết bị thông tin vô tuyến và dẫn đường hàng hải. </w:t>
            </w:r>
          </w:p>
        </w:tc>
        <w:tc>
          <w:tcPr>
            <w:tcW w:w="2894" w:type="dxa"/>
          </w:tcPr>
          <w:p w:rsidR="00D91B4B" w:rsidRPr="00020E0C" w:rsidRDefault="00D91B4B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20E0C">
              <w:rPr>
                <w:color w:val="000000" w:themeColor="text1"/>
                <w:sz w:val="26"/>
                <w:szCs w:val="26"/>
              </w:rPr>
              <w:t>Các thiết bị thông tin vô tuyến hàng hải</w:t>
            </w:r>
            <w:r w:rsidR="00752DA9" w:rsidRPr="00020E0C"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020E0C">
              <w:rPr>
                <w:color w:val="000000" w:themeColor="text1"/>
                <w:sz w:val="26"/>
                <w:szCs w:val="26"/>
              </w:rPr>
              <w:t>thiết bị dẫn đường hàng hải</w:t>
            </w:r>
          </w:p>
        </w:tc>
      </w:tr>
    </w:tbl>
    <w:p w:rsidR="00D91B4B" w:rsidRDefault="00D91B4B" w:rsidP="00020E0C">
      <w:pPr>
        <w:tabs>
          <w:tab w:val="left" w:pos="567"/>
          <w:tab w:val="left" w:pos="709"/>
          <w:tab w:val="left" w:pos="851"/>
        </w:tabs>
        <w:spacing w:before="60" w:after="60" w:line="276" w:lineRule="auto"/>
        <w:jc w:val="both"/>
      </w:pPr>
    </w:p>
    <w:p w:rsidR="007B7C00" w:rsidRPr="00752DA9" w:rsidRDefault="00EC1F58" w:rsidP="00020E0C">
      <w:pPr>
        <w:spacing w:before="60" w:after="60" w:line="276" w:lineRule="auto"/>
        <w:ind w:firstLine="567"/>
        <w:jc w:val="both"/>
        <w:rPr>
          <w:b/>
        </w:rPr>
      </w:pPr>
      <w:r w:rsidRPr="00EC1F58">
        <w:rPr>
          <w:b/>
        </w:rPr>
        <w:t>- Cắt giảm SPHH tại Danh mục</w:t>
      </w:r>
      <w:r w:rsidR="00752DA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9"/>
        <w:gridCol w:w="2894"/>
      </w:tblGrid>
      <w:tr w:rsidR="007B583E" w:rsidRPr="00317047" w:rsidTr="007B583E">
        <w:tc>
          <w:tcPr>
            <w:tcW w:w="959" w:type="dxa"/>
          </w:tcPr>
          <w:p w:rsidR="007B583E" w:rsidRPr="00317047" w:rsidRDefault="007B583E" w:rsidP="00020E0C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Số TT</w:t>
            </w:r>
          </w:p>
        </w:tc>
        <w:tc>
          <w:tcPr>
            <w:tcW w:w="5429" w:type="dxa"/>
          </w:tcPr>
          <w:p w:rsidR="007B583E" w:rsidRPr="00317047" w:rsidRDefault="007B583E" w:rsidP="00020E0C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17047">
              <w:rPr>
                <w:b/>
                <w:color w:val="000000" w:themeColor="text1"/>
                <w:sz w:val="26"/>
                <w:szCs w:val="26"/>
              </w:rPr>
              <w:t>SPHH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chuyển từ Danh mục CNHQ </w:t>
            </w:r>
            <w:r w:rsidR="002B3F90">
              <w:rPr>
                <w:b/>
                <w:color w:val="000000" w:themeColor="text1"/>
                <w:sz w:val="26"/>
                <w:szCs w:val="26"/>
              </w:rPr>
              <w:t xml:space="preserve">(Phụ lục I) </w:t>
            </w:r>
            <w:r>
              <w:rPr>
                <w:b/>
                <w:color w:val="000000" w:themeColor="text1"/>
                <w:sz w:val="26"/>
                <w:szCs w:val="26"/>
              </w:rPr>
              <w:t>sang Danh mục CBHQ</w:t>
            </w:r>
            <w:r w:rsidR="002B3F90">
              <w:rPr>
                <w:b/>
                <w:color w:val="000000" w:themeColor="text1"/>
                <w:sz w:val="26"/>
                <w:szCs w:val="26"/>
              </w:rPr>
              <w:t xml:space="preserve"> (Phụ lục II)</w:t>
            </w:r>
          </w:p>
        </w:tc>
        <w:tc>
          <w:tcPr>
            <w:tcW w:w="2894" w:type="dxa"/>
          </w:tcPr>
          <w:p w:rsidR="007B583E" w:rsidRPr="00317047" w:rsidRDefault="007B583E" w:rsidP="00020E0C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Căn cứ đề xuất</w:t>
            </w:r>
          </w:p>
        </w:tc>
      </w:tr>
      <w:tr w:rsidR="002F1D75" w:rsidRPr="00317047" w:rsidTr="007B583E">
        <w:tc>
          <w:tcPr>
            <w:tcW w:w="959" w:type="dxa"/>
          </w:tcPr>
          <w:p w:rsidR="002F1D75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9" w:type="dxa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0437">
              <w:rPr>
                <w:color w:val="000000"/>
                <w:sz w:val="26"/>
                <w:szCs w:val="26"/>
              </w:rPr>
              <w:t>Thiết bị sạc không dây theo công nghệ mạch vòng cảm ứng (biến đổi tĩnh điện)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94" w:type="dxa"/>
            <w:vMerge w:val="restart"/>
          </w:tcPr>
          <w:p w:rsidR="002F1D75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SPHH ít có khả năng gây mất an toàn, có </w:t>
            </w:r>
            <w:r w:rsidRPr="007B583E">
              <w:rPr>
                <w:color w:val="000000" w:themeColor="text1"/>
                <w:sz w:val="26"/>
                <w:szCs w:val="26"/>
              </w:rPr>
              <w:t>thể kiểm soát phạm vi gây mất an toàn (về can nhiễu, về EMC)</w:t>
            </w:r>
          </w:p>
        </w:tc>
      </w:tr>
      <w:tr w:rsidR="002F1D75" w:rsidRPr="00317047" w:rsidTr="007B583E">
        <w:tc>
          <w:tcPr>
            <w:tcW w:w="959" w:type="dxa"/>
          </w:tcPr>
          <w:p w:rsidR="002F1D75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9" w:type="dxa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0437">
              <w:rPr>
                <w:color w:val="000000"/>
                <w:sz w:val="26"/>
                <w:szCs w:val="26"/>
              </w:rPr>
              <w:t>Thiết bị đo từ xa vô tuyến điện bằng ra đa (</w:t>
            </w:r>
            <w:r>
              <w:rPr>
                <w:color w:val="000000"/>
                <w:sz w:val="26"/>
                <w:szCs w:val="26"/>
              </w:rPr>
              <w:t xml:space="preserve">thuộc loại thiết bị vô tuyến cự ly ngắn, </w:t>
            </w:r>
            <w:r w:rsidRPr="00C30437">
              <w:rPr>
                <w:color w:val="000000"/>
                <w:sz w:val="26"/>
                <w:szCs w:val="26"/>
              </w:rPr>
              <w:t>không phải loại dùng trên mặt đất, hoặc trang bị trên máy bay dân dụng, hoặc c</w:t>
            </w:r>
            <w:r>
              <w:rPr>
                <w:color w:val="000000"/>
                <w:sz w:val="26"/>
                <w:szCs w:val="26"/>
              </w:rPr>
              <w:t>hỉ dùng cho tàu thuyền đi biển)</w:t>
            </w:r>
          </w:p>
        </w:tc>
        <w:tc>
          <w:tcPr>
            <w:tcW w:w="2894" w:type="dxa"/>
            <w:vMerge/>
          </w:tcPr>
          <w:p w:rsidR="002F1D75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F1D75" w:rsidRPr="00317047" w:rsidTr="007B583E">
        <w:tc>
          <w:tcPr>
            <w:tcW w:w="959" w:type="dxa"/>
          </w:tcPr>
          <w:p w:rsidR="002F1D75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9" w:type="dxa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0437">
              <w:rPr>
                <w:color w:val="000000"/>
                <w:sz w:val="26"/>
                <w:szCs w:val="26"/>
              </w:rPr>
              <w:t>Thiết bị thu phát sóng vô tuyến cự ly ngắn, băng tần 401 MHz -406 MHz, trang bị trong các bộ lập trình hoặc cảm biến, truyền dữ liệu từ xa vô tuyến.</w:t>
            </w:r>
          </w:p>
        </w:tc>
        <w:tc>
          <w:tcPr>
            <w:tcW w:w="2894" w:type="dxa"/>
            <w:vMerge/>
          </w:tcPr>
          <w:p w:rsidR="002F1D75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B583E" w:rsidRPr="00317047" w:rsidTr="007B583E">
        <w:tc>
          <w:tcPr>
            <w:tcW w:w="959" w:type="dxa"/>
          </w:tcPr>
          <w:p w:rsidR="007B583E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9" w:type="dxa"/>
          </w:tcPr>
          <w:p w:rsidR="007B583E" w:rsidRPr="00CF6389" w:rsidRDefault="007B583E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F6389">
              <w:rPr>
                <w:color w:val="000000" w:themeColor="text1"/>
                <w:sz w:val="26"/>
                <w:szCs w:val="26"/>
              </w:rPr>
              <w:t>Hệ thống liên lạc dành cho thiết bị y tế cấy ghép (MICS) và Hệ thống đo lường dành cho thiết bị y tế cấy ghép (MITS)</w:t>
            </w:r>
          </w:p>
        </w:tc>
        <w:tc>
          <w:tcPr>
            <w:tcW w:w="2894" w:type="dxa"/>
          </w:tcPr>
          <w:p w:rsidR="007B583E" w:rsidRPr="00317047" w:rsidRDefault="00032B83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SPHH ít có khả năng gây mất an toàn</w:t>
            </w:r>
          </w:p>
        </w:tc>
      </w:tr>
      <w:tr w:rsidR="002F1D75" w:rsidRPr="00317047" w:rsidTr="007B583E">
        <w:tc>
          <w:tcPr>
            <w:tcW w:w="959" w:type="dxa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9" w:type="dxa"/>
            <w:vAlign w:val="center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F6389">
              <w:rPr>
                <w:color w:val="000000" w:themeColor="text1"/>
                <w:sz w:val="26"/>
                <w:szCs w:val="26"/>
              </w:rPr>
              <w:t>Thiết bị thông tin băng siêu rộng (UWB)</w:t>
            </w:r>
          </w:p>
        </w:tc>
        <w:tc>
          <w:tcPr>
            <w:tcW w:w="2894" w:type="dxa"/>
            <w:vMerge w:val="restart"/>
          </w:tcPr>
          <w:p w:rsidR="002F1D75" w:rsidRPr="00317047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50E6">
              <w:rPr>
                <w:color w:val="000000" w:themeColor="text1"/>
                <w:sz w:val="26"/>
                <w:szCs w:val="26"/>
              </w:rPr>
              <w:t xml:space="preserve">SPHH </w:t>
            </w:r>
            <w:r w:rsidRPr="007B583E">
              <w:rPr>
                <w:color w:val="000000" w:themeColor="text1"/>
                <w:sz w:val="26"/>
                <w:szCs w:val="26"/>
              </w:rPr>
              <w:t>ít có khả năng gây mất an toàn, có thể kiểm soát phạm vi gây mất an toàn (về can nhiễu, về EMC)</w:t>
            </w:r>
          </w:p>
        </w:tc>
      </w:tr>
      <w:tr w:rsidR="002F1D75" w:rsidRPr="00317047" w:rsidTr="007B583E">
        <w:tc>
          <w:tcPr>
            <w:tcW w:w="959" w:type="dxa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9" w:type="dxa"/>
            <w:vAlign w:val="center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F6389">
              <w:rPr>
                <w:color w:val="000000" w:themeColor="text1"/>
                <w:sz w:val="26"/>
                <w:szCs w:val="26"/>
              </w:rPr>
              <w:t>Thiết bị truy nhập vô tuyến tốc độ cao băng tần 60 GHz</w:t>
            </w:r>
          </w:p>
        </w:tc>
        <w:tc>
          <w:tcPr>
            <w:tcW w:w="2894" w:type="dxa"/>
            <w:vMerge/>
          </w:tcPr>
          <w:p w:rsidR="002F1D75" w:rsidRPr="00317047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F1D75" w:rsidRPr="00317047" w:rsidTr="007B583E">
        <w:tc>
          <w:tcPr>
            <w:tcW w:w="959" w:type="dxa"/>
          </w:tcPr>
          <w:p w:rsidR="002F1D75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9" w:type="dxa"/>
            <w:vAlign w:val="center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F6389">
              <w:rPr>
                <w:color w:val="000000" w:themeColor="text1"/>
                <w:sz w:val="26"/>
                <w:szCs w:val="26"/>
              </w:rPr>
              <w:t>Thiết bị truyền hình ảnh số không dây</w:t>
            </w:r>
          </w:p>
        </w:tc>
        <w:tc>
          <w:tcPr>
            <w:tcW w:w="2894" w:type="dxa"/>
            <w:vMerge/>
          </w:tcPr>
          <w:p w:rsidR="002F1D75" w:rsidRPr="00317047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F1D75" w:rsidRPr="00317047" w:rsidTr="007B583E">
        <w:tc>
          <w:tcPr>
            <w:tcW w:w="959" w:type="dxa"/>
          </w:tcPr>
          <w:p w:rsidR="002F1D75" w:rsidRDefault="002F1D75" w:rsidP="00020E0C">
            <w:pPr>
              <w:tabs>
                <w:tab w:val="left" w:pos="1154"/>
              </w:tabs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9" w:type="dxa"/>
            <w:vAlign w:val="center"/>
          </w:tcPr>
          <w:p w:rsidR="002F1D75" w:rsidRPr="00CF6389" w:rsidRDefault="002F1D75" w:rsidP="00020E0C">
            <w:pPr>
              <w:tabs>
                <w:tab w:val="left" w:pos="1154"/>
              </w:tabs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F6389">
              <w:rPr>
                <w:color w:val="000000" w:themeColor="text1"/>
                <w:sz w:val="26"/>
                <w:szCs w:val="26"/>
              </w:rPr>
              <w:t>Thiết bị âm thanh không dây dải tần 25 MHz đến 2000 MHz</w:t>
            </w:r>
          </w:p>
        </w:tc>
        <w:tc>
          <w:tcPr>
            <w:tcW w:w="2894" w:type="dxa"/>
            <w:vMerge/>
          </w:tcPr>
          <w:p w:rsidR="002F1D75" w:rsidRPr="00317047" w:rsidRDefault="002F1D75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B7C00" w:rsidRDefault="007B7C00" w:rsidP="00020E0C">
      <w:pPr>
        <w:spacing w:before="60" w:after="60" w:line="276" w:lineRule="auto"/>
        <w:jc w:val="both"/>
        <w:rPr>
          <w:color w:val="000000" w:themeColor="text1"/>
          <w:lang w:val="it-IT"/>
        </w:rPr>
      </w:pPr>
    </w:p>
    <w:p w:rsidR="0047724D" w:rsidRPr="00317047" w:rsidRDefault="0047724D" w:rsidP="00020E0C">
      <w:pPr>
        <w:spacing w:before="60" w:after="60" w:line="276" w:lineRule="auto"/>
        <w:jc w:val="both"/>
        <w:rPr>
          <w:color w:val="000000" w:themeColor="text1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41"/>
        <w:gridCol w:w="2982"/>
      </w:tblGrid>
      <w:tr w:rsidR="007B583E" w:rsidRPr="00317047" w:rsidTr="007B583E">
        <w:tc>
          <w:tcPr>
            <w:tcW w:w="959" w:type="dxa"/>
          </w:tcPr>
          <w:p w:rsidR="007B583E" w:rsidRPr="00317047" w:rsidRDefault="007B583E" w:rsidP="00020E0C">
            <w:pPr>
              <w:spacing w:before="60" w:after="6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t>Số TT</w:t>
            </w:r>
          </w:p>
        </w:tc>
        <w:tc>
          <w:tcPr>
            <w:tcW w:w="5341" w:type="dxa"/>
          </w:tcPr>
          <w:p w:rsidR="007B583E" w:rsidRDefault="007B583E" w:rsidP="00020E0C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17047">
              <w:rPr>
                <w:b/>
                <w:color w:val="000000" w:themeColor="text1"/>
                <w:sz w:val="26"/>
                <w:szCs w:val="26"/>
              </w:rPr>
              <w:t>SPHH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cắt bỏ</w:t>
            </w:r>
          </w:p>
        </w:tc>
        <w:tc>
          <w:tcPr>
            <w:tcW w:w="2982" w:type="dxa"/>
          </w:tcPr>
          <w:p w:rsidR="007B583E" w:rsidRPr="00317047" w:rsidRDefault="007B583E" w:rsidP="00020E0C">
            <w:pPr>
              <w:spacing w:before="60" w:after="60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Căn cứ đề xuất</w:t>
            </w:r>
          </w:p>
        </w:tc>
      </w:tr>
      <w:tr w:rsidR="007B583E" w:rsidRPr="00317047" w:rsidTr="007B583E">
        <w:tc>
          <w:tcPr>
            <w:tcW w:w="959" w:type="dxa"/>
          </w:tcPr>
          <w:p w:rsidR="007B583E" w:rsidRPr="00317047" w:rsidRDefault="00154EF4" w:rsidP="00020E0C">
            <w:pPr>
              <w:spacing w:before="60" w:after="6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41" w:type="dxa"/>
          </w:tcPr>
          <w:p w:rsidR="007B583E" w:rsidRPr="00317047" w:rsidRDefault="00154EF4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Thiết bị </w:t>
            </w:r>
            <w:r w:rsidR="002F1D75">
              <w:rPr>
                <w:color w:val="000000" w:themeColor="text1"/>
                <w:sz w:val="26"/>
                <w:szCs w:val="26"/>
              </w:rPr>
              <w:t>R</w:t>
            </w:r>
            <w:r>
              <w:rPr>
                <w:color w:val="000000" w:themeColor="text1"/>
                <w:sz w:val="26"/>
                <w:szCs w:val="26"/>
              </w:rPr>
              <w:t xml:space="preserve">a đa </w:t>
            </w:r>
            <w:r w:rsidR="002F1D75">
              <w:rPr>
                <w:color w:val="000000" w:themeColor="text1"/>
                <w:sz w:val="26"/>
                <w:szCs w:val="26"/>
              </w:rPr>
              <w:t xml:space="preserve">dùng cho nghiệp vụ di động </w:t>
            </w:r>
            <w:r>
              <w:rPr>
                <w:color w:val="000000" w:themeColor="text1"/>
                <w:sz w:val="26"/>
                <w:szCs w:val="26"/>
              </w:rPr>
              <w:t>hàng hải</w:t>
            </w:r>
          </w:p>
        </w:tc>
        <w:tc>
          <w:tcPr>
            <w:tcW w:w="2982" w:type="dxa"/>
          </w:tcPr>
          <w:p w:rsidR="007B583E" w:rsidRDefault="00154EF4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Nghị quyết 99</w:t>
            </w:r>
            <w:r w:rsidR="00020E0C">
              <w:rPr>
                <w:color w:val="000000" w:themeColor="text1"/>
                <w:sz w:val="26"/>
                <w:szCs w:val="26"/>
              </w:rPr>
              <w:t>/NQ-CP năm 2020</w:t>
            </w:r>
            <w:r>
              <w:rPr>
                <w:color w:val="000000" w:themeColor="text1"/>
                <w:sz w:val="26"/>
                <w:szCs w:val="26"/>
              </w:rPr>
              <w:t xml:space="preserve"> của Chính phủ yêu cầu </w:t>
            </w:r>
            <w:r w:rsidR="00020E0C">
              <w:rPr>
                <w:color w:val="000000" w:themeColor="text1"/>
                <w:sz w:val="26"/>
                <w:szCs w:val="26"/>
              </w:rPr>
              <w:t>miễn</w:t>
            </w:r>
            <w:r>
              <w:rPr>
                <w:color w:val="000000" w:themeColor="text1"/>
                <w:sz w:val="26"/>
                <w:szCs w:val="26"/>
              </w:rPr>
              <w:t xml:space="preserve"> kiểm tra chất lượng</w:t>
            </w:r>
            <w:r w:rsidR="00046443">
              <w:rPr>
                <w:color w:val="000000" w:themeColor="text1"/>
                <w:sz w:val="26"/>
                <w:szCs w:val="26"/>
              </w:rPr>
              <w:t xml:space="preserve"> đối với thiết bị Ra đa dùng cho nghiệp vụ di động hàng hải</w:t>
            </w:r>
            <w:r w:rsidR="00020E0C">
              <w:rPr>
                <w:color w:val="000000" w:themeColor="text1"/>
                <w:sz w:val="26"/>
                <w:szCs w:val="26"/>
              </w:rPr>
              <w:t>.</w:t>
            </w:r>
          </w:p>
          <w:p w:rsidR="00154EF4" w:rsidRDefault="00154EF4" w:rsidP="00020E0C">
            <w:pPr>
              <w:spacing w:before="60" w:after="6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Sản phẩm </w:t>
            </w:r>
            <w:r w:rsidR="00752DA9">
              <w:rPr>
                <w:color w:val="000000" w:themeColor="text1"/>
                <w:sz w:val="26"/>
                <w:szCs w:val="26"/>
              </w:rPr>
              <w:t xml:space="preserve">này </w:t>
            </w:r>
            <w:r w:rsidR="00046443">
              <w:rPr>
                <w:color w:val="000000" w:themeColor="text1"/>
                <w:sz w:val="26"/>
                <w:szCs w:val="26"/>
              </w:rPr>
              <w:t xml:space="preserve">thuộc diện kiểm tra chuyên ngành của Bộ Giao thông vận tải, </w:t>
            </w:r>
            <w:r w:rsidR="00020E0C">
              <w:rPr>
                <w:color w:val="000000" w:themeColor="text1"/>
                <w:sz w:val="26"/>
                <w:szCs w:val="26"/>
              </w:rPr>
              <w:t xml:space="preserve">nên </w:t>
            </w:r>
            <w:r w:rsidR="00752DA9">
              <w:rPr>
                <w:color w:val="000000" w:themeColor="text1"/>
                <w:sz w:val="26"/>
                <w:szCs w:val="26"/>
              </w:rPr>
              <w:t>loại</w:t>
            </w:r>
            <w:r w:rsidR="00046443">
              <w:rPr>
                <w:color w:val="000000" w:themeColor="text1"/>
                <w:sz w:val="26"/>
                <w:szCs w:val="26"/>
              </w:rPr>
              <w:t xml:space="preserve"> bỏ đ</w:t>
            </w:r>
            <w:r w:rsidR="00020E0C">
              <w:rPr>
                <w:color w:val="000000" w:themeColor="text1"/>
                <w:sz w:val="26"/>
                <w:szCs w:val="26"/>
              </w:rPr>
              <w:t>ể tránh chồng chéo trong kiểm tra chuyên ngành.</w:t>
            </w:r>
          </w:p>
          <w:p w:rsidR="009A17A8" w:rsidRPr="00020E0C" w:rsidRDefault="009A17A8" w:rsidP="00020E0C">
            <w:pPr>
              <w:spacing w:before="60" w:after="60" w:line="276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20E0C">
              <w:rPr>
                <w:i/>
                <w:color w:val="000000" w:themeColor="text1"/>
                <w:sz w:val="26"/>
                <w:szCs w:val="26"/>
              </w:rPr>
              <w:t>(</w:t>
            </w:r>
            <w:r w:rsidR="00020E0C" w:rsidRPr="00020E0C">
              <w:rPr>
                <w:i/>
                <w:color w:val="000000" w:themeColor="text1"/>
                <w:sz w:val="26"/>
                <w:szCs w:val="26"/>
              </w:rPr>
              <w:t xml:space="preserve">đã </w:t>
            </w:r>
            <w:r w:rsidR="00752DA9" w:rsidRPr="00020E0C">
              <w:rPr>
                <w:i/>
                <w:color w:val="000000" w:themeColor="text1"/>
                <w:sz w:val="26"/>
                <w:szCs w:val="26"/>
              </w:rPr>
              <w:t xml:space="preserve">sửa </w:t>
            </w:r>
            <w:r w:rsidRPr="00020E0C">
              <w:rPr>
                <w:i/>
                <w:color w:val="000000" w:themeColor="text1"/>
                <w:sz w:val="26"/>
                <w:szCs w:val="26"/>
              </w:rPr>
              <w:t>quy định tại mục 2.4.1</w:t>
            </w:r>
            <w:r w:rsidR="00752DA9" w:rsidRPr="00020E0C">
              <w:rPr>
                <w:i/>
                <w:color w:val="000000" w:themeColor="text1"/>
                <w:sz w:val="26"/>
                <w:szCs w:val="26"/>
              </w:rPr>
              <w:t xml:space="preserve"> và bổ sung ghi chú *** tại Phụ lục II</w:t>
            </w:r>
            <w:r w:rsidRPr="00020E0C">
              <w:rPr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FD6E09" w:rsidRDefault="00FD6E09" w:rsidP="00020E0C">
      <w:pPr>
        <w:spacing w:before="60" w:after="60" w:line="276" w:lineRule="auto"/>
        <w:jc w:val="both"/>
        <w:rPr>
          <w:b/>
          <w:color w:val="000000" w:themeColor="text1"/>
          <w:lang w:val="it-IT"/>
        </w:rPr>
      </w:pPr>
    </w:p>
    <w:p w:rsidR="00536D16" w:rsidRDefault="0047724D" w:rsidP="00020E0C">
      <w:pPr>
        <w:spacing w:before="60" w:after="60" w:line="276" w:lineRule="auto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47724D">
        <w:rPr>
          <w:b/>
          <w:color w:val="000000" w:themeColor="text1"/>
        </w:rPr>
        <w:t>Rà soát về</w:t>
      </w:r>
      <w:r w:rsidR="00B057E6">
        <w:rPr>
          <w:b/>
          <w:color w:val="000000" w:themeColor="text1"/>
        </w:rPr>
        <w:t xml:space="preserve"> </w:t>
      </w:r>
      <w:r w:rsidRPr="0047724D">
        <w:rPr>
          <w:b/>
          <w:color w:val="000000" w:themeColor="text1"/>
        </w:rPr>
        <w:t>g</w:t>
      </w:r>
      <w:r w:rsidR="00536D16" w:rsidRPr="0047724D">
        <w:rPr>
          <w:b/>
          <w:color w:val="000000" w:themeColor="text1"/>
        </w:rPr>
        <w:t xml:space="preserve">ắn mã HS </w:t>
      </w:r>
      <w:r w:rsidRPr="0047724D">
        <w:rPr>
          <w:b/>
          <w:color w:val="000000" w:themeColor="text1"/>
        </w:rPr>
        <w:t xml:space="preserve">và mô tả hàng hóa </w:t>
      </w:r>
      <w:r w:rsidR="00536D16" w:rsidRPr="0047724D">
        <w:rPr>
          <w:b/>
          <w:color w:val="000000" w:themeColor="text1"/>
        </w:rPr>
        <w:t>cho SPHH thuộc Danh</w:t>
      </w:r>
      <w:r w:rsidR="00F61F2A" w:rsidRPr="0047724D">
        <w:rPr>
          <w:b/>
          <w:color w:val="000000" w:themeColor="text1"/>
        </w:rPr>
        <w:t xml:space="preserve"> mục</w:t>
      </w:r>
      <w:r w:rsidR="00EC1F58">
        <w:rPr>
          <w:b/>
          <w:color w:val="000000" w:themeColor="text1"/>
        </w:rPr>
        <w:t>:</w:t>
      </w:r>
    </w:p>
    <w:p w:rsidR="00114D29" w:rsidRPr="00752DA9" w:rsidRDefault="00114D29" w:rsidP="00020E0C">
      <w:pPr>
        <w:spacing w:before="60" w:after="60" w:line="276" w:lineRule="auto"/>
        <w:ind w:firstLine="567"/>
        <w:jc w:val="both"/>
        <w:rPr>
          <w:color w:val="000000"/>
          <w:lang w:val="it-IT"/>
        </w:rPr>
      </w:pPr>
      <w:r w:rsidRPr="00752DA9">
        <w:rPr>
          <w:color w:val="000000"/>
          <w:lang w:val="it-IT"/>
        </w:rPr>
        <w:t xml:space="preserve">Sửa mô tả hàng hóa cho một số loại SPHH: </w:t>
      </w:r>
      <w:r w:rsidR="00020E0C">
        <w:rPr>
          <w:color w:val="000000"/>
          <w:lang w:val="it-IT"/>
        </w:rPr>
        <w:t>t</w:t>
      </w:r>
      <w:r w:rsidR="00752DA9" w:rsidRPr="00752DA9">
        <w:rPr>
          <w:color w:val="000000"/>
          <w:lang w:val="it-IT"/>
        </w:rPr>
        <w:t xml:space="preserve">hiết bị cảnh báo và phát hiện vô tuyến điện; </w:t>
      </w:r>
      <w:r w:rsidR="00020E0C">
        <w:rPr>
          <w:color w:val="000000"/>
          <w:lang w:val="it-IT"/>
        </w:rPr>
        <w:t>t</w:t>
      </w:r>
      <w:r w:rsidR="00752DA9" w:rsidRPr="00752DA9">
        <w:rPr>
          <w:color w:val="000000"/>
          <w:lang w:val="it-IT"/>
        </w:rPr>
        <w:t xml:space="preserve">hiết bị điều khiển từ xa vô tuyến điện; </w:t>
      </w:r>
      <w:r w:rsidR="00020E0C">
        <w:rPr>
          <w:color w:val="000000"/>
          <w:lang w:val="it-IT"/>
        </w:rPr>
        <w:t>t</w:t>
      </w:r>
      <w:r w:rsidR="00752DA9" w:rsidRPr="00752DA9">
        <w:rPr>
          <w:color w:val="000000"/>
          <w:lang w:val="it-IT"/>
        </w:rPr>
        <w:t>hiết bị nhận dạng vô tuyến điện (RFID)</w:t>
      </w:r>
      <w:r w:rsidR="00752DA9">
        <w:rPr>
          <w:color w:val="000000"/>
          <w:lang w:val="it-IT"/>
        </w:rPr>
        <w:t>.</w:t>
      </w:r>
    </w:p>
    <w:p w:rsidR="00EC1F58" w:rsidRPr="00EC1F58" w:rsidRDefault="00EC1F58" w:rsidP="00020E0C">
      <w:pPr>
        <w:spacing w:before="60" w:after="60" w:line="276" w:lineRule="auto"/>
        <w:ind w:firstLine="567"/>
        <w:jc w:val="both"/>
        <w:rPr>
          <w:b/>
          <w:color w:val="000000" w:themeColor="text1"/>
        </w:rPr>
      </w:pPr>
      <w:r w:rsidRPr="00EC1F58">
        <w:rPr>
          <w:b/>
          <w:color w:val="000000" w:themeColor="text1"/>
        </w:rPr>
        <w:t>- Điều chỉnh s</w:t>
      </w:r>
      <w:r w:rsidRPr="00EC1F58">
        <w:rPr>
          <w:b/>
        </w:rPr>
        <w:t>ắp xếp, phân loại thiết bị tại Danh mục:</w:t>
      </w:r>
    </w:p>
    <w:p w:rsidR="000100D0" w:rsidRDefault="000100D0" w:rsidP="00020E0C">
      <w:pPr>
        <w:spacing w:before="60" w:after="60" w:line="276" w:lineRule="auto"/>
        <w:ind w:firstLine="567"/>
        <w:jc w:val="both"/>
        <w:rPr>
          <w:color w:val="000000"/>
          <w:lang w:val="it-IT"/>
        </w:rPr>
      </w:pPr>
      <w:r w:rsidRPr="00BF29A6">
        <w:rPr>
          <w:color w:val="000000"/>
          <w:lang w:val="it-IT"/>
        </w:rPr>
        <w:t xml:space="preserve">+ Bổ sung </w:t>
      </w:r>
      <w:r w:rsidR="00BF29A6">
        <w:rPr>
          <w:color w:val="000000"/>
          <w:lang w:val="it-IT"/>
        </w:rPr>
        <w:t>“T</w:t>
      </w:r>
      <w:r w:rsidRPr="00BF29A6">
        <w:rPr>
          <w:color w:val="000000"/>
          <w:sz w:val="26"/>
          <w:szCs w:val="26"/>
        </w:rPr>
        <w:t xml:space="preserve">hiết bị </w:t>
      </w:r>
      <w:r w:rsidRPr="00BF29A6">
        <w:rPr>
          <w:color w:val="000000"/>
          <w:lang w:val="it-IT"/>
        </w:rPr>
        <w:t>đầu cuối thông tin di động thế hệ thứ năm (5G)</w:t>
      </w:r>
      <w:r w:rsidR="00BF29A6">
        <w:rPr>
          <w:color w:val="000000"/>
          <w:lang w:val="it-IT"/>
        </w:rPr>
        <w:t>”</w:t>
      </w:r>
      <w:r w:rsidR="00B730F2">
        <w:rPr>
          <w:color w:val="000000"/>
          <w:lang w:val="it-IT"/>
        </w:rPr>
        <w:t>,</w:t>
      </w:r>
      <w:r w:rsidRPr="00BF29A6">
        <w:rPr>
          <w:color w:val="000000"/>
          <w:lang w:val="it-IT"/>
        </w:rPr>
        <w:t xml:space="preserve"> “Thiết bị trạm gốc thông tin di động thế hệ thứ năm (5G)”</w:t>
      </w:r>
      <w:r w:rsidR="00BF29A6">
        <w:rPr>
          <w:color w:val="000000"/>
          <w:lang w:val="it-IT"/>
        </w:rPr>
        <w:t>,“</w:t>
      </w:r>
      <w:r w:rsidRPr="00BF29A6">
        <w:rPr>
          <w:color w:val="000000"/>
          <w:lang w:val="it-IT"/>
        </w:rPr>
        <w:t>Thiết bị lặp thông tin di động thế hệ thứ năm (5G)</w:t>
      </w:r>
      <w:r w:rsidR="00BF29A6">
        <w:rPr>
          <w:color w:val="000000"/>
          <w:lang w:val="it-IT"/>
        </w:rPr>
        <w:t>”</w:t>
      </w:r>
      <w:r w:rsidR="00B730F2" w:rsidRPr="00BF29A6">
        <w:rPr>
          <w:color w:val="000000"/>
          <w:lang w:val="it-IT"/>
        </w:rPr>
        <w:t>vào mục 1.2</w:t>
      </w:r>
      <w:r w:rsidR="00B730F2">
        <w:rPr>
          <w:color w:val="000000"/>
          <w:lang w:val="it-IT"/>
        </w:rPr>
        <w:t>, mục 2.1 tại Danh mục Phụ lục I.</w:t>
      </w:r>
    </w:p>
    <w:p w:rsidR="00BF29A6" w:rsidRPr="00BF29A6" w:rsidRDefault="00BF29A6" w:rsidP="00020E0C">
      <w:pPr>
        <w:spacing w:before="60" w:after="60" w:line="276" w:lineRule="auto"/>
        <w:ind w:firstLine="567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+ </w:t>
      </w:r>
      <w:r w:rsidR="002E6430">
        <w:rPr>
          <w:color w:val="000000"/>
          <w:lang w:val="it-IT"/>
        </w:rPr>
        <w:t>Chuyển các loại SPHH sau từ “thiết bị vô tuyến cự ly ngắn khác</w:t>
      </w:r>
      <w:r w:rsidR="00B730F2">
        <w:rPr>
          <w:color w:val="000000"/>
          <w:lang w:val="it-IT"/>
        </w:rPr>
        <w:t>”</w:t>
      </w:r>
      <w:r w:rsidR="002E6430">
        <w:rPr>
          <w:color w:val="000000"/>
          <w:lang w:val="it-IT"/>
        </w:rPr>
        <w:t xml:space="preserve"> vào thành ph</w:t>
      </w:r>
      <w:r w:rsidR="00752DA9">
        <w:rPr>
          <w:color w:val="000000"/>
          <w:lang w:val="it-IT"/>
        </w:rPr>
        <w:t>â</w:t>
      </w:r>
      <w:r w:rsidR="002E6430">
        <w:rPr>
          <w:color w:val="000000"/>
          <w:lang w:val="it-IT"/>
        </w:rPr>
        <w:t xml:space="preserve">n loại riêng trong “thiết bị vô tuyến cự ly ngắn”: </w:t>
      </w:r>
      <w:r w:rsidR="00020E0C">
        <w:rPr>
          <w:color w:val="000000"/>
          <w:lang w:val="it-IT"/>
        </w:rPr>
        <w:t>t</w:t>
      </w:r>
      <w:r w:rsidR="002E6430" w:rsidRPr="00752DA9">
        <w:rPr>
          <w:color w:val="000000"/>
          <w:lang w:val="it-IT"/>
        </w:rPr>
        <w:t xml:space="preserve">hiết bị Ra đa ứng dụng trong giao thông đường bộ hoặc đường sắt; </w:t>
      </w:r>
      <w:r w:rsidR="00020E0C">
        <w:rPr>
          <w:color w:val="000000"/>
          <w:lang w:val="it-IT"/>
        </w:rPr>
        <w:t>t</w:t>
      </w:r>
      <w:r w:rsidR="002E6430" w:rsidRPr="00752DA9">
        <w:rPr>
          <w:color w:val="000000"/>
          <w:lang w:val="it-IT"/>
        </w:rPr>
        <w:t xml:space="preserve">hiết bị cảnh báo và phát hiện vô tuyến điện; </w:t>
      </w:r>
      <w:r w:rsidR="00020E0C">
        <w:rPr>
          <w:color w:val="000000"/>
          <w:lang w:val="it-IT"/>
        </w:rPr>
        <w:t>t</w:t>
      </w:r>
      <w:r w:rsidR="002E6430" w:rsidRPr="00752DA9">
        <w:rPr>
          <w:color w:val="000000"/>
          <w:lang w:val="it-IT"/>
        </w:rPr>
        <w:t xml:space="preserve">hiết bị điều khiển từ xa vô tuyến điện; </w:t>
      </w:r>
      <w:r w:rsidR="00020E0C">
        <w:rPr>
          <w:color w:val="000000"/>
          <w:lang w:val="it-IT"/>
        </w:rPr>
        <w:t>t</w:t>
      </w:r>
      <w:r w:rsidR="002E6430" w:rsidRPr="00752DA9">
        <w:rPr>
          <w:color w:val="000000"/>
          <w:lang w:val="it-IT"/>
        </w:rPr>
        <w:t xml:space="preserve">hiết bị nhận dạng vô tuyến điện (RFID); </w:t>
      </w:r>
      <w:r w:rsidR="00020E0C">
        <w:rPr>
          <w:color w:val="000000"/>
          <w:lang w:val="it-IT"/>
        </w:rPr>
        <w:t>t</w:t>
      </w:r>
      <w:r w:rsidR="002E6430" w:rsidRPr="00752DA9">
        <w:rPr>
          <w:color w:val="000000"/>
          <w:lang w:val="it-IT"/>
        </w:rPr>
        <w:t>hiết bị thu phí giao thông không dừng áp dụng công nghệ nhận dạng vô tuyến RFID</w:t>
      </w:r>
      <w:r w:rsidR="00752DA9">
        <w:rPr>
          <w:color w:val="000000"/>
          <w:lang w:val="it-IT"/>
        </w:rPr>
        <w:t>.</w:t>
      </w:r>
      <w:r w:rsidR="00B730F2">
        <w:rPr>
          <w:color w:val="000000"/>
          <w:lang w:val="it-IT"/>
        </w:rPr>
        <w:t>/.</w:t>
      </w:r>
    </w:p>
    <w:sectPr w:rsidR="00BF29A6" w:rsidRPr="00BF29A6" w:rsidSect="00CF6389">
      <w:footerReference w:type="default" r:id="rId9"/>
      <w:pgSz w:w="11907" w:h="16840" w:code="9"/>
      <w:pgMar w:top="1140" w:right="1140" w:bottom="1134" w:left="1701" w:header="720" w:footer="3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99" w:rsidRDefault="00091499" w:rsidP="006273EE">
      <w:r>
        <w:separator/>
      </w:r>
    </w:p>
  </w:endnote>
  <w:endnote w:type="continuationSeparator" w:id="0">
    <w:p w:rsidR="00091499" w:rsidRDefault="00091499" w:rsidP="0062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73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A26" w:rsidRDefault="00EA5207">
        <w:pPr>
          <w:pStyle w:val="Footer"/>
          <w:jc w:val="right"/>
        </w:pPr>
        <w:r>
          <w:fldChar w:fldCharType="begin"/>
        </w:r>
        <w:r w:rsidR="00723A26">
          <w:instrText xml:space="preserve"> PAGE   \* MERGEFORMAT </w:instrText>
        </w:r>
        <w:r>
          <w:fldChar w:fldCharType="separate"/>
        </w:r>
        <w:r w:rsidR="00FE0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3A26" w:rsidRDefault="00723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99" w:rsidRDefault="00091499" w:rsidP="006273EE">
      <w:r>
        <w:separator/>
      </w:r>
    </w:p>
  </w:footnote>
  <w:footnote w:type="continuationSeparator" w:id="0">
    <w:p w:rsidR="00091499" w:rsidRDefault="00091499" w:rsidP="006273EE">
      <w:r>
        <w:continuationSeparator/>
      </w:r>
    </w:p>
  </w:footnote>
  <w:footnote w:id="1">
    <w:p w:rsidR="005250AE" w:rsidRDefault="005250AE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</w:rPr>
        <w:t>Danh mục mặt hàng quản lý, kiểm tra chuyên ngành tính tại thời điểm ban hành Nghị quyết 19-2018 (ngày 15/5/2018)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98"/>
    <w:multiLevelType w:val="hybridMultilevel"/>
    <w:tmpl w:val="3C5873CE"/>
    <w:lvl w:ilvl="0" w:tplc="A37E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72167"/>
    <w:multiLevelType w:val="hybridMultilevel"/>
    <w:tmpl w:val="257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7B44"/>
    <w:multiLevelType w:val="hybridMultilevel"/>
    <w:tmpl w:val="92A6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3AF"/>
    <w:multiLevelType w:val="hybridMultilevel"/>
    <w:tmpl w:val="E1448E3A"/>
    <w:lvl w:ilvl="0" w:tplc="B4ACC5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C3AA3"/>
    <w:multiLevelType w:val="hybridMultilevel"/>
    <w:tmpl w:val="D682E310"/>
    <w:lvl w:ilvl="0" w:tplc="94725F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716E"/>
    <w:multiLevelType w:val="hybridMultilevel"/>
    <w:tmpl w:val="0D78187E"/>
    <w:lvl w:ilvl="0" w:tplc="05888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502DE"/>
    <w:multiLevelType w:val="hybridMultilevel"/>
    <w:tmpl w:val="353A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10A8D"/>
    <w:multiLevelType w:val="hybridMultilevel"/>
    <w:tmpl w:val="1D4C7324"/>
    <w:lvl w:ilvl="0" w:tplc="B31CB5E2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86E24"/>
    <w:multiLevelType w:val="hybridMultilevel"/>
    <w:tmpl w:val="353A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D342A"/>
    <w:multiLevelType w:val="hybridMultilevel"/>
    <w:tmpl w:val="514A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B1C32"/>
    <w:multiLevelType w:val="hybridMultilevel"/>
    <w:tmpl w:val="A8BEF766"/>
    <w:lvl w:ilvl="0" w:tplc="7714AC4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A455AA"/>
    <w:multiLevelType w:val="multilevel"/>
    <w:tmpl w:val="8432E2AE"/>
    <w:lvl w:ilvl="0">
      <w:start w:val="1"/>
      <w:numFmt w:val="decimal"/>
      <w:suff w:val="nothing"/>
      <w:lvlText w:val="%1    "/>
      <w:lvlJc w:val="left"/>
      <w:pPr>
        <w:ind w:left="3020" w:hanging="68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.VnTime" w:hAnsi=".VnTime" w:hint="default"/>
        <w:b w:val="0"/>
        <w:i w:val="0"/>
        <w:sz w:val="28"/>
        <w:szCs w:val="24"/>
      </w:rPr>
    </w:lvl>
    <w:lvl w:ilvl="4">
      <w:start w:val="1"/>
      <w:numFmt w:val="decimal"/>
      <w:lvlText w:val="Phô lôc A%5"/>
      <w:lvlJc w:val="left"/>
      <w:pPr>
        <w:tabs>
          <w:tab w:val="num" w:pos="1440"/>
        </w:tabs>
        <w:ind w:left="1304" w:hanging="1304"/>
      </w:pPr>
      <w:rPr>
        <w:rFonts w:ascii=".VnTime" w:hAnsi=".VnTime" w:hint="default"/>
        <w:b/>
        <w:i w:val="0"/>
        <w:sz w:val="28"/>
      </w:rPr>
    </w:lvl>
    <w:lvl w:ilvl="5">
      <w:start w:val="1"/>
      <w:numFmt w:val="decimal"/>
      <w:lvlText w:val="A.%5.%6"/>
      <w:lvlJc w:val="left"/>
      <w:pPr>
        <w:tabs>
          <w:tab w:val="num" w:pos="680"/>
        </w:tabs>
        <w:ind w:left="680" w:hanging="680"/>
      </w:pPr>
    </w:lvl>
    <w:lvl w:ilvl="6">
      <w:start w:val="1"/>
      <w:numFmt w:val="decimal"/>
      <w:lvlText w:val="A.%5.%6.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%5.%6.%7.%8"/>
      <w:lvlJc w:val="left"/>
      <w:pPr>
        <w:tabs>
          <w:tab w:val="num" w:pos="1021"/>
        </w:tabs>
        <w:ind w:left="1021" w:hanging="1021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28A327B"/>
    <w:multiLevelType w:val="hybridMultilevel"/>
    <w:tmpl w:val="A2F2AF92"/>
    <w:lvl w:ilvl="0" w:tplc="207EC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645"/>
    <w:multiLevelType w:val="hybridMultilevel"/>
    <w:tmpl w:val="AB7661EC"/>
    <w:lvl w:ilvl="0" w:tplc="6B32C8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23D18"/>
    <w:multiLevelType w:val="hybridMultilevel"/>
    <w:tmpl w:val="229E833E"/>
    <w:lvl w:ilvl="0" w:tplc="62F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96843E6"/>
    <w:multiLevelType w:val="multilevel"/>
    <w:tmpl w:val="19FEA9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6">
    <w:nsid w:val="2A1A6714"/>
    <w:multiLevelType w:val="hybridMultilevel"/>
    <w:tmpl w:val="353A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C3372"/>
    <w:multiLevelType w:val="hybridMultilevel"/>
    <w:tmpl w:val="A3B006DC"/>
    <w:lvl w:ilvl="0" w:tplc="CDD6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E4ACA"/>
    <w:multiLevelType w:val="hybridMultilevel"/>
    <w:tmpl w:val="72CA0D0A"/>
    <w:lvl w:ilvl="0" w:tplc="62F2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963E8"/>
    <w:multiLevelType w:val="hybridMultilevel"/>
    <w:tmpl w:val="3A3A36A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1105B3"/>
    <w:multiLevelType w:val="hybridMultilevel"/>
    <w:tmpl w:val="096A9C64"/>
    <w:lvl w:ilvl="0" w:tplc="87C03AB2">
      <w:start w:val="85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B192D"/>
    <w:multiLevelType w:val="hybridMultilevel"/>
    <w:tmpl w:val="67B4ECC4"/>
    <w:lvl w:ilvl="0" w:tplc="51B028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5BB6753"/>
    <w:multiLevelType w:val="hybridMultilevel"/>
    <w:tmpl w:val="4FC6B498"/>
    <w:lvl w:ilvl="0" w:tplc="6A48B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3457E"/>
    <w:multiLevelType w:val="hybridMultilevel"/>
    <w:tmpl w:val="8FE2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B5205"/>
    <w:multiLevelType w:val="hybridMultilevel"/>
    <w:tmpl w:val="6D0CF5FE"/>
    <w:lvl w:ilvl="0" w:tplc="B0A2C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91315"/>
    <w:multiLevelType w:val="hybridMultilevel"/>
    <w:tmpl w:val="20C8DA5C"/>
    <w:lvl w:ilvl="0" w:tplc="8610909C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30F3ECA"/>
    <w:multiLevelType w:val="hybridMultilevel"/>
    <w:tmpl w:val="1D4C7324"/>
    <w:lvl w:ilvl="0" w:tplc="B31CB5E2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F398A"/>
    <w:multiLevelType w:val="hybridMultilevel"/>
    <w:tmpl w:val="429CA8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6F71F7"/>
    <w:multiLevelType w:val="hybridMultilevel"/>
    <w:tmpl w:val="427019CC"/>
    <w:lvl w:ilvl="0" w:tplc="D4BA95FA">
      <w:start w:val="4"/>
      <w:numFmt w:val="bullet"/>
      <w:lvlText w:val="-"/>
      <w:lvlJc w:val="left"/>
      <w:pPr>
        <w:ind w:left="43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9">
    <w:nsid w:val="589224C4"/>
    <w:multiLevelType w:val="hybridMultilevel"/>
    <w:tmpl w:val="7A74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5306E9"/>
    <w:multiLevelType w:val="hybridMultilevel"/>
    <w:tmpl w:val="1D4C7324"/>
    <w:lvl w:ilvl="0" w:tplc="B31CB5E2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B6763"/>
    <w:multiLevelType w:val="hybridMultilevel"/>
    <w:tmpl w:val="7D0C9C06"/>
    <w:lvl w:ilvl="0" w:tplc="7F1CC566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B963E0"/>
    <w:multiLevelType w:val="hybridMultilevel"/>
    <w:tmpl w:val="49104A46"/>
    <w:lvl w:ilvl="0" w:tplc="89F610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51F32B5"/>
    <w:multiLevelType w:val="hybridMultilevel"/>
    <w:tmpl w:val="9CC60820"/>
    <w:lvl w:ilvl="0" w:tplc="005AF55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56469B0"/>
    <w:multiLevelType w:val="hybridMultilevel"/>
    <w:tmpl w:val="8FE2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D3E7A"/>
    <w:multiLevelType w:val="hybridMultilevel"/>
    <w:tmpl w:val="1BF6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2763E"/>
    <w:multiLevelType w:val="hybridMultilevel"/>
    <w:tmpl w:val="F02C85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017906"/>
    <w:multiLevelType w:val="hybridMultilevel"/>
    <w:tmpl w:val="9676ACB2"/>
    <w:lvl w:ilvl="0" w:tplc="2A5C72E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A36E4"/>
    <w:multiLevelType w:val="hybridMultilevel"/>
    <w:tmpl w:val="DE9EF012"/>
    <w:lvl w:ilvl="0" w:tplc="15DCF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63253"/>
    <w:multiLevelType w:val="hybridMultilevel"/>
    <w:tmpl w:val="A1CCB794"/>
    <w:lvl w:ilvl="0" w:tplc="6DB07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46471"/>
    <w:multiLevelType w:val="hybridMultilevel"/>
    <w:tmpl w:val="918089A2"/>
    <w:lvl w:ilvl="0" w:tplc="3F3066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2C30438"/>
    <w:multiLevelType w:val="hybridMultilevel"/>
    <w:tmpl w:val="8FE2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352ED"/>
    <w:multiLevelType w:val="hybridMultilevel"/>
    <w:tmpl w:val="B888C518"/>
    <w:lvl w:ilvl="0" w:tplc="6722DD84">
      <w:start w:val="4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3">
    <w:nsid w:val="7C603F31"/>
    <w:multiLevelType w:val="hybridMultilevel"/>
    <w:tmpl w:val="1E8432E8"/>
    <w:lvl w:ilvl="0" w:tplc="99C0EA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C214C"/>
    <w:multiLevelType w:val="hybridMultilevel"/>
    <w:tmpl w:val="30DCDCBE"/>
    <w:lvl w:ilvl="0" w:tplc="CC5C92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80450F"/>
    <w:multiLevelType w:val="hybridMultilevel"/>
    <w:tmpl w:val="353A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40"/>
  </w:num>
  <w:num w:numId="4">
    <w:abstractNumId w:val="44"/>
  </w:num>
  <w:num w:numId="5">
    <w:abstractNumId w:val="30"/>
  </w:num>
  <w:num w:numId="6">
    <w:abstractNumId w:val="7"/>
  </w:num>
  <w:num w:numId="7">
    <w:abstractNumId w:val="26"/>
  </w:num>
  <w:num w:numId="8">
    <w:abstractNumId w:val="8"/>
  </w:num>
  <w:num w:numId="9">
    <w:abstractNumId w:val="6"/>
  </w:num>
  <w:num w:numId="10">
    <w:abstractNumId w:val="16"/>
  </w:num>
  <w:num w:numId="11">
    <w:abstractNumId w:val="45"/>
  </w:num>
  <w:num w:numId="12">
    <w:abstractNumId w:val="36"/>
  </w:num>
  <w:num w:numId="13">
    <w:abstractNumId w:val="25"/>
  </w:num>
  <w:num w:numId="14">
    <w:abstractNumId w:val="19"/>
  </w:num>
  <w:num w:numId="15">
    <w:abstractNumId w:val="35"/>
  </w:num>
  <w:num w:numId="16">
    <w:abstractNumId w:val="22"/>
  </w:num>
  <w:num w:numId="17">
    <w:abstractNumId w:val="43"/>
  </w:num>
  <w:num w:numId="18">
    <w:abstractNumId w:val="12"/>
  </w:num>
  <w:num w:numId="19">
    <w:abstractNumId w:val="34"/>
  </w:num>
  <w:num w:numId="20">
    <w:abstractNumId w:val="23"/>
  </w:num>
  <w:num w:numId="21">
    <w:abstractNumId w:val="41"/>
  </w:num>
  <w:num w:numId="22">
    <w:abstractNumId w:val="32"/>
  </w:num>
  <w:num w:numId="23">
    <w:abstractNumId w:val="9"/>
  </w:num>
  <w:num w:numId="24">
    <w:abstractNumId w:val="28"/>
  </w:num>
  <w:num w:numId="25">
    <w:abstractNumId w:val="42"/>
  </w:num>
  <w:num w:numId="26">
    <w:abstractNumId w:val="21"/>
  </w:num>
  <w:num w:numId="27">
    <w:abstractNumId w:val="2"/>
  </w:num>
  <w:num w:numId="28">
    <w:abstractNumId w:val="31"/>
  </w:num>
  <w:num w:numId="29">
    <w:abstractNumId w:val="17"/>
  </w:num>
  <w:num w:numId="30">
    <w:abstractNumId w:val="33"/>
  </w:num>
  <w:num w:numId="31">
    <w:abstractNumId w:val="27"/>
  </w:num>
  <w:num w:numId="32">
    <w:abstractNumId w:val="1"/>
  </w:num>
  <w:num w:numId="33">
    <w:abstractNumId w:val="18"/>
  </w:num>
  <w:num w:numId="34">
    <w:abstractNumId w:val="10"/>
  </w:num>
  <w:num w:numId="35">
    <w:abstractNumId w:val="14"/>
  </w:num>
  <w:num w:numId="36">
    <w:abstractNumId w:val="0"/>
  </w:num>
  <w:num w:numId="37">
    <w:abstractNumId w:val="4"/>
  </w:num>
  <w:num w:numId="38">
    <w:abstractNumId w:val="20"/>
  </w:num>
  <w:num w:numId="39">
    <w:abstractNumId w:val="37"/>
  </w:num>
  <w:num w:numId="40">
    <w:abstractNumId w:val="39"/>
  </w:num>
  <w:num w:numId="41">
    <w:abstractNumId w:val="1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8"/>
  </w:num>
  <w:num w:numId="45">
    <w:abstractNumId w:val="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56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9B8"/>
    <w:rsid w:val="00000907"/>
    <w:rsid w:val="000041D9"/>
    <w:rsid w:val="000042B9"/>
    <w:rsid w:val="0000462C"/>
    <w:rsid w:val="000053F3"/>
    <w:rsid w:val="00006991"/>
    <w:rsid w:val="000100D0"/>
    <w:rsid w:val="00011108"/>
    <w:rsid w:val="00012A61"/>
    <w:rsid w:val="000141BA"/>
    <w:rsid w:val="00015668"/>
    <w:rsid w:val="0001570E"/>
    <w:rsid w:val="00017C93"/>
    <w:rsid w:val="00020E0C"/>
    <w:rsid w:val="00022838"/>
    <w:rsid w:val="0002524F"/>
    <w:rsid w:val="00027E8C"/>
    <w:rsid w:val="00032B83"/>
    <w:rsid w:val="000355D1"/>
    <w:rsid w:val="00035E7E"/>
    <w:rsid w:val="00042AB6"/>
    <w:rsid w:val="00043D8B"/>
    <w:rsid w:val="00046443"/>
    <w:rsid w:val="00050243"/>
    <w:rsid w:val="000502BA"/>
    <w:rsid w:val="00052236"/>
    <w:rsid w:val="00056240"/>
    <w:rsid w:val="00057150"/>
    <w:rsid w:val="00057331"/>
    <w:rsid w:val="00060064"/>
    <w:rsid w:val="00060210"/>
    <w:rsid w:val="00067C80"/>
    <w:rsid w:val="0007249D"/>
    <w:rsid w:val="00072C16"/>
    <w:rsid w:val="0007395A"/>
    <w:rsid w:val="00081F40"/>
    <w:rsid w:val="00082BDF"/>
    <w:rsid w:val="0008548B"/>
    <w:rsid w:val="000876B9"/>
    <w:rsid w:val="00091499"/>
    <w:rsid w:val="0009208F"/>
    <w:rsid w:val="000946C0"/>
    <w:rsid w:val="000953A3"/>
    <w:rsid w:val="00095918"/>
    <w:rsid w:val="000969AE"/>
    <w:rsid w:val="000A0F8F"/>
    <w:rsid w:val="000A468C"/>
    <w:rsid w:val="000A53FF"/>
    <w:rsid w:val="000A615F"/>
    <w:rsid w:val="000A6201"/>
    <w:rsid w:val="000A68D1"/>
    <w:rsid w:val="000B037B"/>
    <w:rsid w:val="000B2F6A"/>
    <w:rsid w:val="000B4629"/>
    <w:rsid w:val="000B4F73"/>
    <w:rsid w:val="000C2129"/>
    <w:rsid w:val="000C5B46"/>
    <w:rsid w:val="000C5E95"/>
    <w:rsid w:val="000C6101"/>
    <w:rsid w:val="000C61D0"/>
    <w:rsid w:val="000C6AA9"/>
    <w:rsid w:val="000D4044"/>
    <w:rsid w:val="000D5AE8"/>
    <w:rsid w:val="000D5F3D"/>
    <w:rsid w:val="000E26FA"/>
    <w:rsid w:val="000E2CCB"/>
    <w:rsid w:val="000E3EF6"/>
    <w:rsid w:val="000E4139"/>
    <w:rsid w:val="000E63E8"/>
    <w:rsid w:val="000F15B0"/>
    <w:rsid w:val="000F3A7B"/>
    <w:rsid w:val="000F6CD0"/>
    <w:rsid w:val="000F7E2A"/>
    <w:rsid w:val="00102CD8"/>
    <w:rsid w:val="001037AC"/>
    <w:rsid w:val="0010583A"/>
    <w:rsid w:val="00105EE8"/>
    <w:rsid w:val="00106EAC"/>
    <w:rsid w:val="001072B5"/>
    <w:rsid w:val="0011121E"/>
    <w:rsid w:val="0011365A"/>
    <w:rsid w:val="001137FF"/>
    <w:rsid w:val="00114D29"/>
    <w:rsid w:val="00115AA5"/>
    <w:rsid w:val="001209BA"/>
    <w:rsid w:val="00121A8D"/>
    <w:rsid w:val="00121BAA"/>
    <w:rsid w:val="00122587"/>
    <w:rsid w:val="001265C7"/>
    <w:rsid w:val="00126936"/>
    <w:rsid w:val="00126FF0"/>
    <w:rsid w:val="001309CF"/>
    <w:rsid w:val="00132656"/>
    <w:rsid w:val="001334D4"/>
    <w:rsid w:val="00133812"/>
    <w:rsid w:val="00134958"/>
    <w:rsid w:val="001352BA"/>
    <w:rsid w:val="00135609"/>
    <w:rsid w:val="00135740"/>
    <w:rsid w:val="001444F8"/>
    <w:rsid w:val="00144C14"/>
    <w:rsid w:val="00145583"/>
    <w:rsid w:val="0015144C"/>
    <w:rsid w:val="00152A62"/>
    <w:rsid w:val="00153022"/>
    <w:rsid w:val="00154EF4"/>
    <w:rsid w:val="00162E25"/>
    <w:rsid w:val="00164934"/>
    <w:rsid w:val="001653ED"/>
    <w:rsid w:val="00165A2F"/>
    <w:rsid w:val="00175588"/>
    <w:rsid w:val="00181962"/>
    <w:rsid w:val="00182EDB"/>
    <w:rsid w:val="00183412"/>
    <w:rsid w:val="001835FE"/>
    <w:rsid w:val="0018401E"/>
    <w:rsid w:val="00193F4B"/>
    <w:rsid w:val="00194E28"/>
    <w:rsid w:val="001957AF"/>
    <w:rsid w:val="001962CA"/>
    <w:rsid w:val="001973B6"/>
    <w:rsid w:val="00197B72"/>
    <w:rsid w:val="001A542A"/>
    <w:rsid w:val="001A5612"/>
    <w:rsid w:val="001A582B"/>
    <w:rsid w:val="001A5CB1"/>
    <w:rsid w:val="001A5D5B"/>
    <w:rsid w:val="001A6F96"/>
    <w:rsid w:val="001B0326"/>
    <w:rsid w:val="001B1F8C"/>
    <w:rsid w:val="001B200E"/>
    <w:rsid w:val="001B272B"/>
    <w:rsid w:val="001B3074"/>
    <w:rsid w:val="001B493B"/>
    <w:rsid w:val="001B6072"/>
    <w:rsid w:val="001C4604"/>
    <w:rsid w:val="001C4C63"/>
    <w:rsid w:val="001C6FB4"/>
    <w:rsid w:val="001C6FF1"/>
    <w:rsid w:val="001D0A1B"/>
    <w:rsid w:val="001D0DB9"/>
    <w:rsid w:val="001D2865"/>
    <w:rsid w:val="001D5B48"/>
    <w:rsid w:val="001D6F5F"/>
    <w:rsid w:val="001E15D8"/>
    <w:rsid w:val="001E44C2"/>
    <w:rsid w:val="001E70DB"/>
    <w:rsid w:val="001F0801"/>
    <w:rsid w:val="001F33E3"/>
    <w:rsid w:val="001F3AD4"/>
    <w:rsid w:val="001F564F"/>
    <w:rsid w:val="001F65F4"/>
    <w:rsid w:val="001F7A7C"/>
    <w:rsid w:val="002009C2"/>
    <w:rsid w:val="00200B39"/>
    <w:rsid w:val="00203F08"/>
    <w:rsid w:val="00204CFA"/>
    <w:rsid w:val="00204DD8"/>
    <w:rsid w:val="00205B90"/>
    <w:rsid w:val="0020653E"/>
    <w:rsid w:val="00206743"/>
    <w:rsid w:val="00207B83"/>
    <w:rsid w:val="002113B4"/>
    <w:rsid w:val="00221F9B"/>
    <w:rsid w:val="002237FE"/>
    <w:rsid w:val="00227E5D"/>
    <w:rsid w:val="00231071"/>
    <w:rsid w:val="002348DF"/>
    <w:rsid w:val="00234F35"/>
    <w:rsid w:val="002355BC"/>
    <w:rsid w:val="00235F00"/>
    <w:rsid w:val="00241858"/>
    <w:rsid w:val="00241C5F"/>
    <w:rsid w:val="002424FF"/>
    <w:rsid w:val="002444B7"/>
    <w:rsid w:val="00246183"/>
    <w:rsid w:val="00246951"/>
    <w:rsid w:val="0025075A"/>
    <w:rsid w:val="002531D4"/>
    <w:rsid w:val="00254519"/>
    <w:rsid w:val="00260F7B"/>
    <w:rsid w:val="002615C7"/>
    <w:rsid w:val="00264D3C"/>
    <w:rsid w:val="00266976"/>
    <w:rsid w:val="00266D5F"/>
    <w:rsid w:val="00266E37"/>
    <w:rsid w:val="00270C51"/>
    <w:rsid w:val="0027245B"/>
    <w:rsid w:val="00276801"/>
    <w:rsid w:val="0027681E"/>
    <w:rsid w:val="0027774D"/>
    <w:rsid w:val="00277D47"/>
    <w:rsid w:val="00280441"/>
    <w:rsid w:val="002817A5"/>
    <w:rsid w:val="00281EAB"/>
    <w:rsid w:val="00286344"/>
    <w:rsid w:val="00286A1A"/>
    <w:rsid w:val="00287B3A"/>
    <w:rsid w:val="002916AC"/>
    <w:rsid w:val="00292E35"/>
    <w:rsid w:val="002933A1"/>
    <w:rsid w:val="00294E49"/>
    <w:rsid w:val="002960E3"/>
    <w:rsid w:val="002967A0"/>
    <w:rsid w:val="00296DFF"/>
    <w:rsid w:val="002A0401"/>
    <w:rsid w:val="002A13D1"/>
    <w:rsid w:val="002A2655"/>
    <w:rsid w:val="002A3DCA"/>
    <w:rsid w:val="002A4503"/>
    <w:rsid w:val="002A4C96"/>
    <w:rsid w:val="002A4E1E"/>
    <w:rsid w:val="002A618C"/>
    <w:rsid w:val="002A6240"/>
    <w:rsid w:val="002A6C17"/>
    <w:rsid w:val="002A7335"/>
    <w:rsid w:val="002A7591"/>
    <w:rsid w:val="002B0B41"/>
    <w:rsid w:val="002B273B"/>
    <w:rsid w:val="002B388C"/>
    <w:rsid w:val="002B3F90"/>
    <w:rsid w:val="002B4022"/>
    <w:rsid w:val="002B44B2"/>
    <w:rsid w:val="002B50E6"/>
    <w:rsid w:val="002B6D0E"/>
    <w:rsid w:val="002B737F"/>
    <w:rsid w:val="002C6BF0"/>
    <w:rsid w:val="002D3AEF"/>
    <w:rsid w:val="002D5875"/>
    <w:rsid w:val="002D5C43"/>
    <w:rsid w:val="002D6704"/>
    <w:rsid w:val="002D7AFF"/>
    <w:rsid w:val="002D7B6A"/>
    <w:rsid w:val="002E3B89"/>
    <w:rsid w:val="002E6430"/>
    <w:rsid w:val="002E6F24"/>
    <w:rsid w:val="002E7A74"/>
    <w:rsid w:val="002F0227"/>
    <w:rsid w:val="002F1D75"/>
    <w:rsid w:val="002F2FD3"/>
    <w:rsid w:val="002F3F4E"/>
    <w:rsid w:val="002F6689"/>
    <w:rsid w:val="00300A22"/>
    <w:rsid w:val="00303768"/>
    <w:rsid w:val="003057AE"/>
    <w:rsid w:val="003075E8"/>
    <w:rsid w:val="00307983"/>
    <w:rsid w:val="00310004"/>
    <w:rsid w:val="00311D09"/>
    <w:rsid w:val="00314304"/>
    <w:rsid w:val="00316744"/>
    <w:rsid w:val="00317047"/>
    <w:rsid w:val="0032329F"/>
    <w:rsid w:val="00324528"/>
    <w:rsid w:val="0032587B"/>
    <w:rsid w:val="003259C5"/>
    <w:rsid w:val="003267B1"/>
    <w:rsid w:val="003269B1"/>
    <w:rsid w:val="003269B3"/>
    <w:rsid w:val="0033158D"/>
    <w:rsid w:val="003343D6"/>
    <w:rsid w:val="0033574E"/>
    <w:rsid w:val="00336B45"/>
    <w:rsid w:val="00336ED6"/>
    <w:rsid w:val="003423C3"/>
    <w:rsid w:val="00344983"/>
    <w:rsid w:val="003450AD"/>
    <w:rsid w:val="00346E59"/>
    <w:rsid w:val="0035085D"/>
    <w:rsid w:val="00351F48"/>
    <w:rsid w:val="003572BC"/>
    <w:rsid w:val="00360B23"/>
    <w:rsid w:val="00362365"/>
    <w:rsid w:val="00364B9C"/>
    <w:rsid w:val="0036662D"/>
    <w:rsid w:val="00370724"/>
    <w:rsid w:val="00370E95"/>
    <w:rsid w:val="0037407C"/>
    <w:rsid w:val="00374AE9"/>
    <w:rsid w:val="00374E2D"/>
    <w:rsid w:val="0037592E"/>
    <w:rsid w:val="0037625C"/>
    <w:rsid w:val="00381CBF"/>
    <w:rsid w:val="0038207D"/>
    <w:rsid w:val="0038302E"/>
    <w:rsid w:val="00383040"/>
    <w:rsid w:val="00384352"/>
    <w:rsid w:val="00390CEE"/>
    <w:rsid w:val="00391841"/>
    <w:rsid w:val="00392B1A"/>
    <w:rsid w:val="003945B1"/>
    <w:rsid w:val="00394605"/>
    <w:rsid w:val="003954C2"/>
    <w:rsid w:val="003A035E"/>
    <w:rsid w:val="003A18E2"/>
    <w:rsid w:val="003A2FE6"/>
    <w:rsid w:val="003A40F8"/>
    <w:rsid w:val="003A749B"/>
    <w:rsid w:val="003B0E52"/>
    <w:rsid w:val="003B2286"/>
    <w:rsid w:val="003B2509"/>
    <w:rsid w:val="003B3F4C"/>
    <w:rsid w:val="003B47C9"/>
    <w:rsid w:val="003B4FFA"/>
    <w:rsid w:val="003B651F"/>
    <w:rsid w:val="003B6C0C"/>
    <w:rsid w:val="003C3965"/>
    <w:rsid w:val="003C3C2C"/>
    <w:rsid w:val="003C4FCE"/>
    <w:rsid w:val="003C51B7"/>
    <w:rsid w:val="003C5777"/>
    <w:rsid w:val="003C5F89"/>
    <w:rsid w:val="003C78F9"/>
    <w:rsid w:val="003D02C1"/>
    <w:rsid w:val="003D4101"/>
    <w:rsid w:val="003D555C"/>
    <w:rsid w:val="003D70F0"/>
    <w:rsid w:val="003D79D0"/>
    <w:rsid w:val="003E09A2"/>
    <w:rsid w:val="003E3555"/>
    <w:rsid w:val="003E4426"/>
    <w:rsid w:val="003E64E8"/>
    <w:rsid w:val="003E69DD"/>
    <w:rsid w:val="003F3537"/>
    <w:rsid w:val="003F35CF"/>
    <w:rsid w:val="003F3B79"/>
    <w:rsid w:val="003F6EA2"/>
    <w:rsid w:val="003F701D"/>
    <w:rsid w:val="003F773F"/>
    <w:rsid w:val="003F79EB"/>
    <w:rsid w:val="0040065F"/>
    <w:rsid w:val="004008ED"/>
    <w:rsid w:val="00403A95"/>
    <w:rsid w:val="00404418"/>
    <w:rsid w:val="00404B21"/>
    <w:rsid w:val="00414B67"/>
    <w:rsid w:val="00414D75"/>
    <w:rsid w:val="004161FD"/>
    <w:rsid w:val="00416889"/>
    <w:rsid w:val="00417797"/>
    <w:rsid w:val="0042247A"/>
    <w:rsid w:val="004245F3"/>
    <w:rsid w:val="00424CD4"/>
    <w:rsid w:val="00425E65"/>
    <w:rsid w:val="004276F6"/>
    <w:rsid w:val="00427970"/>
    <w:rsid w:val="00432C91"/>
    <w:rsid w:val="00433E82"/>
    <w:rsid w:val="00436165"/>
    <w:rsid w:val="00443472"/>
    <w:rsid w:val="00444A3B"/>
    <w:rsid w:val="00445000"/>
    <w:rsid w:val="004454C2"/>
    <w:rsid w:val="004458EC"/>
    <w:rsid w:val="00451DFD"/>
    <w:rsid w:val="004530B0"/>
    <w:rsid w:val="004557E0"/>
    <w:rsid w:val="00460610"/>
    <w:rsid w:val="004625A8"/>
    <w:rsid w:val="00467B72"/>
    <w:rsid w:val="004747E9"/>
    <w:rsid w:val="0047724D"/>
    <w:rsid w:val="00480A8B"/>
    <w:rsid w:val="004821AC"/>
    <w:rsid w:val="00482FDB"/>
    <w:rsid w:val="00487AF2"/>
    <w:rsid w:val="0049141D"/>
    <w:rsid w:val="00492906"/>
    <w:rsid w:val="00496AFB"/>
    <w:rsid w:val="004A1F23"/>
    <w:rsid w:val="004A594E"/>
    <w:rsid w:val="004A60CC"/>
    <w:rsid w:val="004A7C13"/>
    <w:rsid w:val="004B110D"/>
    <w:rsid w:val="004B1400"/>
    <w:rsid w:val="004B4B4F"/>
    <w:rsid w:val="004C3A1F"/>
    <w:rsid w:val="004C5EF6"/>
    <w:rsid w:val="004D0B31"/>
    <w:rsid w:val="004D43F5"/>
    <w:rsid w:val="004D5671"/>
    <w:rsid w:val="004D5C34"/>
    <w:rsid w:val="004E2C3B"/>
    <w:rsid w:val="004E31D6"/>
    <w:rsid w:val="004E3F8D"/>
    <w:rsid w:val="004E6470"/>
    <w:rsid w:val="004E7689"/>
    <w:rsid w:val="004F2C4E"/>
    <w:rsid w:val="004F344F"/>
    <w:rsid w:val="004F5E4F"/>
    <w:rsid w:val="004F61A6"/>
    <w:rsid w:val="005018BF"/>
    <w:rsid w:val="005047BA"/>
    <w:rsid w:val="00506F8E"/>
    <w:rsid w:val="00511E5F"/>
    <w:rsid w:val="0051516F"/>
    <w:rsid w:val="00516065"/>
    <w:rsid w:val="00516764"/>
    <w:rsid w:val="00516B55"/>
    <w:rsid w:val="005171E2"/>
    <w:rsid w:val="005174A9"/>
    <w:rsid w:val="005250AE"/>
    <w:rsid w:val="005253B4"/>
    <w:rsid w:val="00527559"/>
    <w:rsid w:val="00527B7D"/>
    <w:rsid w:val="00530A81"/>
    <w:rsid w:val="005310DF"/>
    <w:rsid w:val="0053294E"/>
    <w:rsid w:val="00536327"/>
    <w:rsid w:val="005363BA"/>
    <w:rsid w:val="00536D16"/>
    <w:rsid w:val="00537886"/>
    <w:rsid w:val="0055320C"/>
    <w:rsid w:val="00553F20"/>
    <w:rsid w:val="00554452"/>
    <w:rsid w:val="0055731E"/>
    <w:rsid w:val="00557B66"/>
    <w:rsid w:val="0056242F"/>
    <w:rsid w:val="00563589"/>
    <w:rsid w:val="005647C8"/>
    <w:rsid w:val="0057407E"/>
    <w:rsid w:val="0057425F"/>
    <w:rsid w:val="005806CC"/>
    <w:rsid w:val="005806F0"/>
    <w:rsid w:val="00582E0D"/>
    <w:rsid w:val="00583B80"/>
    <w:rsid w:val="00592929"/>
    <w:rsid w:val="00594EAC"/>
    <w:rsid w:val="00597CA9"/>
    <w:rsid w:val="005A02DD"/>
    <w:rsid w:val="005A3CE9"/>
    <w:rsid w:val="005A4516"/>
    <w:rsid w:val="005A46B2"/>
    <w:rsid w:val="005A5EB0"/>
    <w:rsid w:val="005A60E2"/>
    <w:rsid w:val="005B2931"/>
    <w:rsid w:val="005B3B2E"/>
    <w:rsid w:val="005B5A49"/>
    <w:rsid w:val="005C0F42"/>
    <w:rsid w:val="005C1428"/>
    <w:rsid w:val="005C5099"/>
    <w:rsid w:val="005C5B40"/>
    <w:rsid w:val="005C5C5D"/>
    <w:rsid w:val="005C5E39"/>
    <w:rsid w:val="005C73F0"/>
    <w:rsid w:val="005D0664"/>
    <w:rsid w:val="005D1B7A"/>
    <w:rsid w:val="005D3459"/>
    <w:rsid w:val="005D3833"/>
    <w:rsid w:val="005D4BA6"/>
    <w:rsid w:val="005D6AA8"/>
    <w:rsid w:val="005D7437"/>
    <w:rsid w:val="005D7B43"/>
    <w:rsid w:val="005E15B7"/>
    <w:rsid w:val="005E29EA"/>
    <w:rsid w:val="005E2A67"/>
    <w:rsid w:val="005E5A1F"/>
    <w:rsid w:val="005E7B3E"/>
    <w:rsid w:val="005F0A67"/>
    <w:rsid w:val="005F3EF5"/>
    <w:rsid w:val="005F6494"/>
    <w:rsid w:val="005F6FCB"/>
    <w:rsid w:val="006074DF"/>
    <w:rsid w:val="00607EDD"/>
    <w:rsid w:val="006103AC"/>
    <w:rsid w:val="006108D4"/>
    <w:rsid w:val="0061138B"/>
    <w:rsid w:val="006117E0"/>
    <w:rsid w:val="006136D8"/>
    <w:rsid w:val="00613FAF"/>
    <w:rsid w:val="006154FD"/>
    <w:rsid w:val="0062104A"/>
    <w:rsid w:val="00622320"/>
    <w:rsid w:val="00625420"/>
    <w:rsid w:val="006268CC"/>
    <w:rsid w:val="00626BDE"/>
    <w:rsid w:val="006273EE"/>
    <w:rsid w:val="00627F08"/>
    <w:rsid w:val="00633A6C"/>
    <w:rsid w:val="00633C9E"/>
    <w:rsid w:val="0063561C"/>
    <w:rsid w:val="0063665A"/>
    <w:rsid w:val="0064030D"/>
    <w:rsid w:val="00640D3F"/>
    <w:rsid w:val="00644AF7"/>
    <w:rsid w:val="0064572F"/>
    <w:rsid w:val="006462C9"/>
    <w:rsid w:val="00647D54"/>
    <w:rsid w:val="00647EA7"/>
    <w:rsid w:val="0065352A"/>
    <w:rsid w:val="0065358A"/>
    <w:rsid w:val="006569F6"/>
    <w:rsid w:val="00657387"/>
    <w:rsid w:val="006615C3"/>
    <w:rsid w:val="00663C0F"/>
    <w:rsid w:val="006644B9"/>
    <w:rsid w:val="00670FFC"/>
    <w:rsid w:val="006716DD"/>
    <w:rsid w:val="006722B0"/>
    <w:rsid w:val="00675497"/>
    <w:rsid w:val="00677484"/>
    <w:rsid w:val="00681B42"/>
    <w:rsid w:val="00683397"/>
    <w:rsid w:val="0068474E"/>
    <w:rsid w:val="00685032"/>
    <w:rsid w:val="00691740"/>
    <w:rsid w:val="00691DAC"/>
    <w:rsid w:val="00696828"/>
    <w:rsid w:val="006A1E60"/>
    <w:rsid w:val="006A234B"/>
    <w:rsid w:val="006A2504"/>
    <w:rsid w:val="006A497B"/>
    <w:rsid w:val="006A51AF"/>
    <w:rsid w:val="006A6EC9"/>
    <w:rsid w:val="006A7A0F"/>
    <w:rsid w:val="006B0E2C"/>
    <w:rsid w:val="006B1C1F"/>
    <w:rsid w:val="006B2129"/>
    <w:rsid w:val="006B376D"/>
    <w:rsid w:val="006B673C"/>
    <w:rsid w:val="006B7835"/>
    <w:rsid w:val="006C1638"/>
    <w:rsid w:val="006C68C1"/>
    <w:rsid w:val="006D23B7"/>
    <w:rsid w:val="006D2CE2"/>
    <w:rsid w:val="006D4004"/>
    <w:rsid w:val="006D787D"/>
    <w:rsid w:val="006E0F1E"/>
    <w:rsid w:val="006E129D"/>
    <w:rsid w:val="006E2EB3"/>
    <w:rsid w:val="006E476F"/>
    <w:rsid w:val="006E4DEB"/>
    <w:rsid w:val="006F22CF"/>
    <w:rsid w:val="006F2629"/>
    <w:rsid w:val="006F2751"/>
    <w:rsid w:val="006F714E"/>
    <w:rsid w:val="006F74C5"/>
    <w:rsid w:val="00700349"/>
    <w:rsid w:val="00701B1B"/>
    <w:rsid w:val="00702258"/>
    <w:rsid w:val="00702B34"/>
    <w:rsid w:val="00703902"/>
    <w:rsid w:val="00704EA9"/>
    <w:rsid w:val="00705E1C"/>
    <w:rsid w:val="00706638"/>
    <w:rsid w:val="00706C5B"/>
    <w:rsid w:val="00707131"/>
    <w:rsid w:val="00707B84"/>
    <w:rsid w:val="00711F70"/>
    <w:rsid w:val="00712482"/>
    <w:rsid w:val="007126C9"/>
    <w:rsid w:val="00714AA8"/>
    <w:rsid w:val="007152FA"/>
    <w:rsid w:val="00717078"/>
    <w:rsid w:val="00717733"/>
    <w:rsid w:val="00721731"/>
    <w:rsid w:val="00723695"/>
    <w:rsid w:val="00723A26"/>
    <w:rsid w:val="00723C83"/>
    <w:rsid w:val="00723CDA"/>
    <w:rsid w:val="00725590"/>
    <w:rsid w:val="00727DF4"/>
    <w:rsid w:val="007336E5"/>
    <w:rsid w:val="007341D9"/>
    <w:rsid w:val="007364BF"/>
    <w:rsid w:val="00740D57"/>
    <w:rsid w:val="0074228C"/>
    <w:rsid w:val="00743D4A"/>
    <w:rsid w:val="00744613"/>
    <w:rsid w:val="00745933"/>
    <w:rsid w:val="007504A0"/>
    <w:rsid w:val="007521C9"/>
    <w:rsid w:val="00752745"/>
    <w:rsid w:val="00752CA4"/>
    <w:rsid w:val="00752DA9"/>
    <w:rsid w:val="0075434C"/>
    <w:rsid w:val="00754507"/>
    <w:rsid w:val="00756515"/>
    <w:rsid w:val="00756F08"/>
    <w:rsid w:val="0076184D"/>
    <w:rsid w:val="00761976"/>
    <w:rsid w:val="007627FA"/>
    <w:rsid w:val="007644FE"/>
    <w:rsid w:val="0076467A"/>
    <w:rsid w:val="0076787F"/>
    <w:rsid w:val="007700BE"/>
    <w:rsid w:val="00770EBF"/>
    <w:rsid w:val="00773C13"/>
    <w:rsid w:val="007767B2"/>
    <w:rsid w:val="00780D23"/>
    <w:rsid w:val="0078423F"/>
    <w:rsid w:val="007864B4"/>
    <w:rsid w:val="00786AA6"/>
    <w:rsid w:val="0078752F"/>
    <w:rsid w:val="00791002"/>
    <w:rsid w:val="00793779"/>
    <w:rsid w:val="007A013B"/>
    <w:rsid w:val="007A053C"/>
    <w:rsid w:val="007A09CF"/>
    <w:rsid w:val="007A1ADA"/>
    <w:rsid w:val="007A2D9F"/>
    <w:rsid w:val="007A7281"/>
    <w:rsid w:val="007B0271"/>
    <w:rsid w:val="007B3665"/>
    <w:rsid w:val="007B4D2D"/>
    <w:rsid w:val="007B583E"/>
    <w:rsid w:val="007B5CB0"/>
    <w:rsid w:val="007B6B51"/>
    <w:rsid w:val="007B7C00"/>
    <w:rsid w:val="007C0991"/>
    <w:rsid w:val="007C713A"/>
    <w:rsid w:val="007C7752"/>
    <w:rsid w:val="007C791E"/>
    <w:rsid w:val="007D27B3"/>
    <w:rsid w:val="007D410A"/>
    <w:rsid w:val="007D4EC7"/>
    <w:rsid w:val="007D5183"/>
    <w:rsid w:val="007D56D0"/>
    <w:rsid w:val="007D774C"/>
    <w:rsid w:val="007E371B"/>
    <w:rsid w:val="007E4500"/>
    <w:rsid w:val="007E4D9B"/>
    <w:rsid w:val="007E5196"/>
    <w:rsid w:val="007E668D"/>
    <w:rsid w:val="007E77F0"/>
    <w:rsid w:val="007E7FAA"/>
    <w:rsid w:val="007F37BF"/>
    <w:rsid w:val="007F48FE"/>
    <w:rsid w:val="007F6AD9"/>
    <w:rsid w:val="008000F8"/>
    <w:rsid w:val="00800C23"/>
    <w:rsid w:val="0080240C"/>
    <w:rsid w:val="00802ACB"/>
    <w:rsid w:val="00802E92"/>
    <w:rsid w:val="00804F12"/>
    <w:rsid w:val="00806166"/>
    <w:rsid w:val="00810A42"/>
    <w:rsid w:val="008124F0"/>
    <w:rsid w:val="00812E9F"/>
    <w:rsid w:val="008159D7"/>
    <w:rsid w:val="00817203"/>
    <w:rsid w:val="00817F0E"/>
    <w:rsid w:val="00820427"/>
    <w:rsid w:val="00820763"/>
    <w:rsid w:val="00820804"/>
    <w:rsid w:val="00820BCC"/>
    <w:rsid w:val="008224C4"/>
    <w:rsid w:val="0082402F"/>
    <w:rsid w:val="008268CE"/>
    <w:rsid w:val="00827000"/>
    <w:rsid w:val="0082762A"/>
    <w:rsid w:val="008300F1"/>
    <w:rsid w:val="0083208D"/>
    <w:rsid w:val="008332FF"/>
    <w:rsid w:val="00841862"/>
    <w:rsid w:val="00841EA8"/>
    <w:rsid w:val="00844910"/>
    <w:rsid w:val="00844E85"/>
    <w:rsid w:val="0084525B"/>
    <w:rsid w:val="008519C2"/>
    <w:rsid w:val="00853C9D"/>
    <w:rsid w:val="00855DD8"/>
    <w:rsid w:val="00857F68"/>
    <w:rsid w:val="008606FF"/>
    <w:rsid w:val="0086174F"/>
    <w:rsid w:val="00866358"/>
    <w:rsid w:val="0087343E"/>
    <w:rsid w:val="008763AC"/>
    <w:rsid w:val="00876C53"/>
    <w:rsid w:val="00877F37"/>
    <w:rsid w:val="008931C3"/>
    <w:rsid w:val="00893AFE"/>
    <w:rsid w:val="008950EE"/>
    <w:rsid w:val="00896ED8"/>
    <w:rsid w:val="008978CC"/>
    <w:rsid w:val="008A045E"/>
    <w:rsid w:val="008A5299"/>
    <w:rsid w:val="008A7BBE"/>
    <w:rsid w:val="008B0A35"/>
    <w:rsid w:val="008B2234"/>
    <w:rsid w:val="008B3238"/>
    <w:rsid w:val="008B444F"/>
    <w:rsid w:val="008B4DFC"/>
    <w:rsid w:val="008C0C79"/>
    <w:rsid w:val="008C51A6"/>
    <w:rsid w:val="008C66E2"/>
    <w:rsid w:val="008C6E65"/>
    <w:rsid w:val="008C7AEB"/>
    <w:rsid w:val="008D0B3F"/>
    <w:rsid w:val="008D0C36"/>
    <w:rsid w:val="008D0DBF"/>
    <w:rsid w:val="008D404C"/>
    <w:rsid w:val="008D5637"/>
    <w:rsid w:val="008E0DEA"/>
    <w:rsid w:val="008E0E85"/>
    <w:rsid w:val="008E0FB0"/>
    <w:rsid w:val="008E12E6"/>
    <w:rsid w:val="008E2437"/>
    <w:rsid w:val="008E35CE"/>
    <w:rsid w:val="008E43B4"/>
    <w:rsid w:val="008E4A77"/>
    <w:rsid w:val="008E4E25"/>
    <w:rsid w:val="008F0C23"/>
    <w:rsid w:val="008F3554"/>
    <w:rsid w:val="009004EA"/>
    <w:rsid w:val="009007E2"/>
    <w:rsid w:val="00902B66"/>
    <w:rsid w:val="0090335B"/>
    <w:rsid w:val="0090450E"/>
    <w:rsid w:val="00904D7C"/>
    <w:rsid w:val="00904FFD"/>
    <w:rsid w:val="00905A27"/>
    <w:rsid w:val="00905F06"/>
    <w:rsid w:val="0090662C"/>
    <w:rsid w:val="00907B8D"/>
    <w:rsid w:val="009113CD"/>
    <w:rsid w:val="00912A3E"/>
    <w:rsid w:val="00912CEE"/>
    <w:rsid w:val="00915517"/>
    <w:rsid w:val="00921BA1"/>
    <w:rsid w:val="00922784"/>
    <w:rsid w:val="00923520"/>
    <w:rsid w:val="00924CF5"/>
    <w:rsid w:val="00925260"/>
    <w:rsid w:val="00926764"/>
    <w:rsid w:val="009268BA"/>
    <w:rsid w:val="00926EF9"/>
    <w:rsid w:val="009272A3"/>
    <w:rsid w:val="00927830"/>
    <w:rsid w:val="0093181A"/>
    <w:rsid w:val="00931D34"/>
    <w:rsid w:val="00932F7C"/>
    <w:rsid w:val="00934B59"/>
    <w:rsid w:val="00934EE5"/>
    <w:rsid w:val="00935879"/>
    <w:rsid w:val="00936494"/>
    <w:rsid w:val="00937130"/>
    <w:rsid w:val="00941C3D"/>
    <w:rsid w:val="00941D15"/>
    <w:rsid w:val="00941DDF"/>
    <w:rsid w:val="00946A96"/>
    <w:rsid w:val="00950971"/>
    <w:rsid w:val="009511F1"/>
    <w:rsid w:val="00951900"/>
    <w:rsid w:val="00952306"/>
    <w:rsid w:val="00952FD1"/>
    <w:rsid w:val="00953833"/>
    <w:rsid w:val="00953C19"/>
    <w:rsid w:val="00963BD9"/>
    <w:rsid w:val="0096418F"/>
    <w:rsid w:val="00970565"/>
    <w:rsid w:val="00971227"/>
    <w:rsid w:val="00972DDA"/>
    <w:rsid w:val="00973B80"/>
    <w:rsid w:val="00975A7E"/>
    <w:rsid w:val="00976F7F"/>
    <w:rsid w:val="009826D6"/>
    <w:rsid w:val="00984C14"/>
    <w:rsid w:val="009870FF"/>
    <w:rsid w:val="00990ACA"/>
    <w:rsid w:val="009959F7"/>
    <w:rsid w:val="009974D8"/>
    <w:rsid w:val="009A03AD"/>
    <w:rsid w:val="009A17A8"/>
    <w:rsid w:val="009A22C2"/>
    <w:rsid w:val="009A3D47"/>
    <w:rsid w:val="009A3F53"/>
    <w:rsid w:val="009B45B2"/>
    <w:rsid w:val="009B4895"/>
    <w:rsid w:val="009B66F8"/>
    <w:rsid w:val="009B682F"/>
    <w:rsid w:val="009B6A6C"/>
    <w:rsid w:val="009C0076"/>
    <w:rsid w:val="009C245B"/>
    <w:rsid w:val="009C4D0F"/>
    <w:rsid w:val="009C4F8E"/>
    <w:rsid w:val="009C5186"/>
    <w:rsid w:val="009C7242"/>
    <w:rsid w:val="009C7F1B"/>
    <w:rsid w:val="009D018F"/>
    <w:rsid w:val="009D0243"/>
    <w:rsid w:val="009D3F6B"/>
    <w:rsid w:val="009D6020"/>
    <w:rsid w:val="009D6F94"/>
    <w:rsid w:val="009D7947"/>
    <w:rsid w:val="009D7A21"/>
    <w:rsid w:val="009E31F0"/>
    <w:rsid w:val="009E3A74"/>
    <w:rsid w:val="009F486D"/>
    <w:rsid w:val="009F65C6"/>
    <w:rsid w:val="009F7CCC"/>
    <w:rsid w:val="00A00206"/>
    <w:rsid w:val="00A00259"/>
    <w:rsid w:val="00A00986"/>
    <w:rsid w:val="00A010DF"/>
    <w:rsid w:val="00A0172E"/>
    <w:rsid w:val="00A01BF2"/>
    <w:rsid w:val="00A01E62"/>
    <w:rsid w:val="00A02605"/>
    <w:rsid w:val="00A063C5"/>
    <w:rsid w:val="00A06C2C"/>
    <w:rsid w:val="00A11C9D"/>
    <w:rsid w:val="00A12638"/>
    <w:rsid w:val="00A138C9"/>
    <w:rsid w:val="00A15006"/>
    <w:rsid w:val="00A2287C"/>
    <w:rsid w:val="00A23667"/>
    <w:rsid w:val="00A258AE"/>
    <w:rsid w:val="00A25D73"/>
    <w:rsid w:val="00A26694"/>
    <w:rsid w:val="00A27B9B"/>
    <w:rsid w:val="00A30081"/>
    <w:rsid w:val="00A30AFA"/>
    <w:rsid w:val="00A32143"/>
    <w:rsid w:val="00A32A20"/>
    <w:rsid w:val="00A341D9"/>
    <w:rsid w:val="00A361DF"/>
    <w:rsid w:val="00A37372"/>
    <w:rsid w:val="00A373CE"/>
    <w:rsid w:val="00A374CD"/>
    <w:rsid w:val="00A42E24"/>
    <w:rsid w:val="00A44009"/>
    <w:rsid w:val="00A4538C"/>
    <w:rsid w:val="00A5065A"/>
    <w:rsid w:val="00A50A16"/>
    <w:rsid w:val="00A50BFF"/>
    <w:rsid w:val="00A55E83"/>
    <w:rsid w:val="00A56E95"/>
    <w:rsid w:val="00A621CA"/>
    <w:rsid w:val="00A64CA0"/>
    <w:rsid w:val="00A650C3"/>
    <w:rsid w:val="00A66A47"/>
    <w:rsid w:val="00A72F40"/>
    <w:rsid w:val="00A74F8B"/>
    <w:rsid w:val="00A758CD"/>
    <w:rsid w:val="00A75B7B"/>
    <w:rsid w:val="00A778E9"/>
    <w:rsid w:val="00A77D19"/>
    <w:rsid w:val="00A81098"/>
    <w:rsid w:val="00A812C4"/>
    <w:rsid w:val="00A83A7E"/>
    <w:rsid w:val="00A84DD4"/>
    <w:rsid w:val="00A9027B"/>
    <w:rsid w:val="00A90AE4"/>
    <w:rsid w:val="00A91DA7"/>
    <w:rsid w:val="00A936DB"/>
    <w:rsid w:val="00A93CD3"/>
    <w:rsid w:val="00A94075"/>
    <w:rsid w:val="00A9453E"/>
    <w:rsid w:val="00A94578"/>
    <w:rsid w:val="00A9543B"/>
    <w:rsid w:val="00A9788A"/>
    <w:rsid w:val="00AA07D1"/>
    <w:rsid w:val="00AA0E9F"/>
    <w:rsid w:val="00AA2678"/>
    <w:rsid w:val="00AA3C29"/>
    <w:rsid w:val="00AA4117"/>
    <w:rsid w:val="00AB0003"/>
    <w:rsid w:val="00AB029E"/>
    <w:rsid w:val="00AB3C9B"/>
    <w:rsid w:val="00AB4A90"/>
    <w:rsid w:val="00AB6A53"/>
    <w:rsid w:val="00AB6AB3"/>
    <w:rsid w:val="00AC121F"/>
    <w:rsid w:val="00AC1448"/>
    <w:rsid w:val="00AC1CCE"/>
    <w:rsid w:val="00AC221F"/>
    <w:rsid w:val="00AC3C1C"/>
    <w:rsid w:val="00AC3CA0"/>
    <w:rsid w:val="00AC461A"/>
    <w:rsid w:val="00AC46EF"/>
    <w:rsid w:val="00AD01D2"/>
    <w:rsid w:val="00AD02E8"/>
    <w:rsid w:val="00AD0502"/>
    <w:rsid w:val="00AD2E34"/>
    <w:rsid w:val="00AD5190"/>
    <w:rsid w:val="00AD67C8"/>
    <w:rsid w:val="00AD6E5F"/>
    <w:rsid w:val="00AE3B3D"/>
    <w:rsid w:val="00AE3D99"/>
    <w:rsid w:val="00AE3E87"/>
    <w:rsid w:val="00AE4385"/>
    <w:rsid w:val="00AF0294"/>
    <w:rsid w:val="00AF0642"/>
    <w:rsid w:val="00AF11AF"/>
    <w:rsid w:val="00AF11D0"/>
    <w:rsid w:val="00AF21FA"/>
    <w:rsid w:val="00AF6AFF"/>
    <w:rsid w:val="00B00702"/>
    <w:rsid w:val="00B018A3"/>
    <w:rsid w:val="00B03EF7"/>
    <w:rsid w:val="00B04AB3"/>
    <w:rsid w:val="00B057E6"/>
    <w:rsid w:val="00B05C40"/>
    <w:rsid w:val="00B06219"/>
    <w:rsid w:val="00B06412"/>
    <w:rsid w:val="00B06A40"/>
    <w:rsid w:val="00B06B38"/>
    <w:rsid w:val="00B11A68"/>
    <w:rsid w:val="00B135BD"/>
    <w:rsid w:val="00B146D5"/>
    <w:rsid w:val="00B148DB"/>
    <w:rsid w:val="00B16168"/>
    <w:rsid w:val="00B17B28"/>
    <w:rsid w:val="00B20AEF"/>
    <w:rsid w:val="00B2178C"/>
    <w:rsid w:val="00B217CE"/>
    <w:rsid w:val="00B24811"/>
    <w:rsid w:val="00B31DE0"/>
    <w:rsid w:val="00B32CFD"/>
    <w:rsid w:val="00B34985"/>
    <w:rsid w:val="00B3516E"/>
    <w:rsid w:val="00B353A8"/>
    <w:rsid w:val="00B35419"/>
    <w:rsid w:val="00B3574D"/>
    <w:rsid w:val="00B368C2"/>
    <w:rsid w:val="00B4109C"/>
    <w:rsid w:val="00B42798"/>
    <w:rsid w:val="00B43F04"/>
    <w:rsid w:val="00B4484B"/>
    <w:rsid w:val="00B454B1"/>
    <w:rsid w:val="00B456D4"/>
    <w:rsid w:val="00B5073C"/>
    <w:rsid w:val="00B51194"/>
    <w:rsid w:val="00B5311B"/>
    <w:rsid w:val="00B5388C"/>
    <w:rsid w:val="00B54011"/>
    <w:rsid w:val="00B544D6"/>
    <w:rsid w:val="00B54976"/>
    <w:rsid w:val="00B55B0B"/>
    <w:rsid w:val="00B56674"/>
    <w:rsid w:val="00B57295"/>
    <w:rsid w:val="00B60CF4"/>
    <w:rsid w:val="00B62609"/>
    <w:rsid w:val="00B66089"/>
    <w:rsid w:val="00B67C6C"/>
    <w:rsid w:val="00B728DB"/>
    <w:rsid w:val="00B72EBA"/>
    <w:rsid w:val="00B730F2"/>
    <w:rsid w:val="00B75A85"/>
    <w:rsid w:val="00B77934"/>
    <w:rsid w:val="00B80206"/>
    <w:rsid w:val="00B805BB"/>
    <w:rsid w:val="00B85CA9"/>
    <w:rsid w:val="00B87E7D"/>
    <w:rsid w:val="00B90FAC"/>
    <w:rsid w:val="00B946F0"/>
    <w:rsid w:val="00B97228"/>
    <w:rsid w:val="00BA0184"/>
    <w:rsid w:val="00BA0474"/>
    <w:rsid w:val="00BA2EB3"/>
    <w:rsid w:val="00BA3209"/>
    <w:rsid w:val="00BA4BC2"/>
    <w:rsid w:val="00BA5BB8"/>
    <w:rsid w:val="00BA7B03"/>
    <w:rsid w:val="00BB1195"/>
    <w:rsid w:val="00BB2713"/>
    <w:rsid w:val="00BB518E"/>
    <w:rsid w:val="00BB6537"/>
    <w:rsid w:val="00BB79E6"/>
    <w:rsid w:val="00BC45E0"/>
    <w:rsid w:val="00BC52BC"/>
    <w:rsid w:val="00BC52FE"/>
    <w:rsid w:val="00BD11E3"/>
    <w:rsid w:val="00BD3E30"/>
    <w:rsid w:val="00BD587B"/>
    <w:rsid w:val="00BD5BC9"/>
    <w:rsid w:val="00BD78D1"/>
    <w:rsid w:val="00BE18DF"/>
    <w:rsid w:val="00BE26FD"/>
    <w:rsid w:val="00BE27D2"/>
    <w:rsid w:val="00BE389C"/>
    <w:rsid w:val="00BE38CC"/>
    <w:rsid w:val="00BE3B21"/>
    <w:rsid w:val="00BE40C8"/>
    <w:rsid w:val="00BE570C"/>
    <w:rsid w:val="00BE6C34"/>
    <w:rsid w:val="00BE7D9F"/>
    <w:rsid w:val="00BF06AA"/>
    <w:rsid w:val="00BF159D"/>
    <w:rsid w:val="00BF29A6"/>
    <w:rsid w:val="00BF3A3D"/>
    <w:rsid w:val="00BF5228"/>
    <w:rsid w:val="00BF65ED"/>
    <w:rsid w:val="00BF7EAA"/>
    <w:rsid w:val="00BF7F1E"/>
    <w:rsid w:val="00C028AF"/>
    <w:rsid w:val="00C02AD7"/>
    <w:rsid w:val="00C02ADE"/>
    <w:rsid w:val="00C03AAC"/>
    <w:rsid w:val="00C04462"/>
    <w:rsid w:val="00C06B96"/>
    <w:rsid w:val="00C11D67"/>
    <w:rsid w:val="00C134A2"/>
    <w:rsid w:val="00C1540D"/>
    <w:rsid w:val="00C16F98"/>
    <w:rsid w:val="00C2057E"/>
    <w:rsid w:val="00C220DC"/>
    <w:rsid w:val="00C22917"/>
    <w:rsid w:val="00C22CB6"/>
    <w:rsid w:val="00C22CD7"/>
    <w:rsid w:val="00C22E09"/>
    <w:rsid w:val="00C24721"/>
    <w:rsid w:val="00C27204"/>
    <w:rsid w:val="00C304DE"/>
    <w:rsid w:val="00C32C6C"/>
    <w:rsid w:val="00C357BF"/>
    <w:rsid w:val="00C35A18"/>
    <w:rsid w:val="00C37A86"/>
    <w:rsid w:val="00C41DCE"/>
    <w:rsid w:val="00C41E04"/>
    <w:rsid w:val="00C425C6"/>
    <w:rsid w:val="00C44A0B"/>
    <w:rsid w:val="00C44B0A"/>
    <w:rsid w:val="00C46B09"/>
    <w:rsid w:val="00C47DC4"/>
    <w:rsid w:val="00C50C68"/>
    <w:rsid w:val="00C606AC"/>
    <w:rsid w:val="00C614B2"/>
    <w:rsid w:val="00C62EE2"/>
    <w:rsid w:val="00C640A3"/>
    <w:rsid w:val="00C6468C"/>
    <w:rsid w:val="00C65027"/>
    <w:rsid w:val="00C67168"/>
    <w:rsid w:val="00C70897"/>
    <w:rsid w:val="00C74024"/>
    <w:rsid w:val="00C75570"/>
    <w:rsid w:val="00C75910"/>
    <w:rsid w:val="00C77476"/>
    <w:rsid w:val="00C80514"/>
    <w:rsid w:val="00C837BA"/>
    <w:rsid w:val="00C84122"/>
    <w:rsid w:val="00C84CAA"/>
    <w:rsid w:val="00C85C76"/>
    <w:rsid w:val="00C8638B"/>
    <w:rsid w:val="00C8723E"/>
    <w:rsid w:val="00C912CE"/>
    <w:rsid w:val="00C9319D"/>
    <w:rsid w:val="00C937BA"/>
    <w:rsid w:val="00C93C2D"/>
    <w:rsid w:val="00C93F3D"/>
    <w:rsid w:val="00C973CC"/>
    <w:rsid w:val="00C975C0"/>
    <w:rsid w:val="00CA06EF"/>
    <w:rsid w:val="00CA4B38"/>
    <w:rsid w:val="00CB43BC"/>
    <w:rsid w:val="00CB5C7F"/>
    <w:rsid w:val="00CC163C"/>
    <w:rsid w:val="00CC5388"/>
    <w:rsid w:val="00CC54F3"/>
    <w:rsid w:val="00CC6E9F"/>
    <w:rsid w:val="00CD0EF9"/>
    <w:rsid w:val="00CD1C4C"/>
    <w:rsid w:val="00CD1CCB"/>
    <w:rsid w:val="00CD20E4"/>
    <w:rsid w:val="00CD21E8"/>
    <w:rsid w:val="00CD6119"/>
    <w:rsid w:val="00CD6358"/>
    <w:rsid w:val="00CD7B46"/>
    <w:rsid w:val="00CE2AA3"/>
    <w:rsid w:val="00CE4D11"/>
    <w:rsid w:val="00CF2CB7"/>
    <w:rsid w:val="00CF47E7"/>
    <w:rsid w:val="00CF4C96"/>
    <w:rsid w:val="00CF6389"/>
    <w:rsid w:val="00CF7C2A"/>
    <w:rsid w:val="00D01453"/>
    <w:rsid w:val="00D03894"/>
    <w:rsid w:val="00D03975"/>
    <w:rsid w:val="00D03C1E"/>
    <w:rsid w:val="00D043A2"/>
    <w:rsid w:val="00D0741D"/>
    <w:rsid w:val="00D10AC9"/>
    <w:rsid w:val="00D10B4C"/>
    <w:rsid w:val="00D116E1"/>
    <w:rsid w:val="00D11A00"/>
    <w:rsid w:val="00D13D1E"/>
    <w:rsid w:val="00D14952"/>
    <w:rsid w:val="00D149EA"/>
    <w:rsid w:val="00D1650B"/>
    <w:rsid w:val="00D174D2"/>
    <w:rsid w:val="00D20C38"/>
    <w:rsid w:val="00D221C0"/>
    <w:rsid w:val="00D23301"/>
    <w:rsid w:val="00D23BD1"/>
    <w:rsid w:val="00D24068"/>
    <w:rsid w:val="00D25F5B"/>
    <w:rsid w:val="00D26560"/>
    <w:rsid w:val="00D3042E"/>
    <w:rsid w:val="00D30D00"/>
    <w:rsid w:val="00D319DD"/>
    <w:rsid w:val="00D3582F"/>
    <w:rsid w:val="00D40509"/>
    <w:rsid w:val="00D407B1"/>
    <w:rsid w:val="00D46FE4"/>
    <w:rsid w:val="00D47483"/>
    <w:rsid w:val="00D4783A"/>
    <w:rsid w:val="00D53851"/>
    <w:rsid w:val="00D54B86"/>
    <w:rsid w:val="00D60425"/>
    <w:rsid w:val="00D6217B"/>
    <w:rsid w:val="00D64178"/>
    <w:rsid w:val="00D6598B"/>
    <w:rsid w:val="00D65C93"/>
    <w:rsid w:val="00D668A6"/>
    <w:rsid w:val="00D67485"/>
    <w:rsid w:val="00D67995"/>
    <w:rsid w:val="00D67DFD"/>
    <w:rsid w:val="00D74014"/>
    <w:rsid w:val="00D744A1"/>
    <w:rsid w:val="00D74AF5"/>
    <w:rsid w:val="00D751EE"/>
    <w:rsid w:val="00D75989"/>
    <w:rsid w:val="00D76391"/>
    <w:rsid w:val="00D76DFC"/>
    <w:rsid w:val="00D77936"/>
    <w:rsid w:val="00D77E93"/>
    <w:rsid w:val="00D814A8"/>
    <w:rsid w:val="00D81ED0"/>
    <w:rsid w:val="00D84FC9"/>
    <w:rsid w:val="00D858A3"/>
    <w:rsid w:val="00D879F2"/>
    <w:rsid w:val="00D91B4B"/>
    <w:rsid w:val="00D950D7"/>
    <w:rsid w:val="00D96181"/>
    <w:rsid w:val="00D962C6"/>
    <w:rsid w:val="00D97613"/>
    <w:rsid w:val="00DA120A"/>
    <w:rsid w:val="00DA31D3"/>
    <w:rsid w:val="00DA6437"/>
    <w:rsid w:val="00DB0A0B"/>
    <w:rsid w:val="00DB3AB1"/>
    <w:rsid w:val="00DB61AD"/>
    <w:rsid w:val="00DC1AEE"/>
    <w:rsid w:val="00DC2A90"/>
    <w:rsid w:val="00DC2EF7"/>
    <w:rsid w:val="00DC46FB"/>
    <w:rsid w:val="00DC553C"/>
    <w:rsid w:val="00DC6152"/>
    <w:rsid w:val="00DC74D4"/>
    <w:rsid w:val="00DD2514"/>
    <w:rsid w:val="00DD42BB"/>
    <w:rsid w:val="00DD45E0"/>
    <w:rsid w:val="00DD4CDA"/>
    <w:rsid w:val="00DD68A1"/>
    <w:rsid w:val="00DD6958"/>
    <w:rsid w:val="00DD70E6"/>
    <w:rsid w:val="00DD736E"/>
    <w:rsid w:val="00DE0FC3"/>
    <w:rsid w:val="00DE1C62"/>
    <w:rsid w:val="00DE287D"/>
    <w:rsid w:val="00DE2A50"/>
    <w:rsid w:val="00DE2D34"/>
    <w:rsid w:val="00DE4F98"/>
    <w:rsid w:val="00DE589D"/>
    <w:rsid w:val="00DE58E9"/>
    <w:rsid w:val="00DE5DC4"/>
    <w:rsid w:val="00DE636C"/>
    <w:rsid w:val="00DF2077"/>
    <w:rsid w:val="00DF4F32"/>
    <w:rsid w:val="00DF5455"/>
    <w:rsid w:val="00DF5BF8"/>
    <w:rsid w:val="00DF5D7E"/>
    <w:rsid w:val="00E06F7F"/>
    <w:rsid w:val="00E07029"/>
    <w:rsid w:val="00E07840"/>
    <w:rsid w:val="00E079A4"/>
    <w:rsid w:val="00E10FC6"/>
    <w:rsid w:val="00E126F5"/>
    <w:rsid w:val="00E14608"/>
    <w:rsid w:val="00E17796"/>
    <w:rsid w:val="00E20A6B"/>
    <w:rsid w:val="00E20D28"/>
    <w:rsid w:val="00E225CC"/>
    <w:rsid w:val="00E2621A"/>
    <w:rsid w:val="00E26629"/>
    <w:rsid w:val="00E26CC1"/>
    <w:rsid w:val="00E27FDA"/>
    <w:rsid w:val="00E30EB1"/>
    <w:rsid w:val="00E32233"/>
    <w:rsid w:val="00E32C02"/>
    <w:rsid w:val="00E33284"/>
    <w:rsid w:val="00E33DEA"/>
    <w:rsid w:val="00E369A1"/>
    <w:rsid w:val="00E37367"/>
    <w:rsid w:val="00E37603"/>
    <w:rsid w:val="00E40E3C"/>
    <w:rsid w:val="00E42E6B"/>
    <w:rsid w:val="00E44D8F"/>
    <w:rsid w:val="00E44FE2"/>
    <w:rsid w:val="00E46A8F"/>
    <w:rsid w:val="00E470C8"/>
    <w:rsid w:val="00E50550"/>
    <w:rsid w:val="00E529B8"/>
    <w:rsid w:val="00E536EA"/>
    <w:rsid w:val="00E53B34"/>
    <w:rsid w:val="00E53D74"/>
    <w:rsid w:val="00E54759"/>
    <w:rsid w:val="00E54A13"/>
    <w:rsid w:val="00E60FD5"/>
    <w:rsid w:val="00E6473F"/>
    <w:rsid w:val="00E64E42"/>
    <w:rsid w:val="00E65151"/>
    <w:rsid w:val="00E70DC9"/>
    <w:rsid w:val="00E714E4"/>
    <w:rsid w:val="00E73171"/>
    <w:rsid w:val="00E737FE"/>
    <w:rsid w:val="00E740FF"/>
    <w:rsid w:val="00E80186"/>
    <w:rsid w:val="00E8562C"/>
    <w:rsid w:val="00E94B96"/>
    <w:rsid w:val="00E96EB5"/>
    <w:rsid w:val="00E97F02"/>
    <w:rsid w:val="00EA30C3"/>
    <w:rsid w:val="00EA35C1"/>
    <w:rsid w:val="00EA5207"/>
    <w:rsid w:val="00EA61B0"/>
    <w:rsid w:val="00EA7886"/>
    <w:rsid w:val="00EB4CDC"/>
    <w:rsid w:val="00EB4E39"/>
    <w:rsid w:val="00EB5227"/>
    <w:rsid w:val="00EC1F58"/>
    <w:rsid w:val="00EC3BF2"/>
    <w:rsid w:val="00EC5F2D"/>
    <w:rsid w:val="00EC6622"/>
    <w:rsid w:val="00EC7D2E"/>
    <w:rsid w:val="00ED1676"/>
    <w:rsid w:val="00ED2C65"/>
    <w:rsid w:val="00ED3542"/>
    <w:rsid w:val="00ED62A6"/>
    <w:rsid w:val="00ED67A9"/>
    <w:rsid w:val="00ED6D64"/>
    <w:rsid w:val="00EE0BF6"/>
    <w:rsid w:val="00EE0F67"/>
    <w:rsid w:val="00EE1853"/>
    <w:rsid w:val="00EE195C"/>
    <w:rsid w:val="00EE2731"/>
    <w:rsid w:val="00EE2958"/>
    <w:rsid w:val="00EE35AD"/>
    <w:rsid w:val="00EE3DB1"/>
    <w:rsid w:val="00EE556F"/>
    <w:rsid w:val="00EE5778"/>
    <w:rsid w:val="00EE5F26"/>
    <w:rsid w:val="00EE7581"/>
    <w:rsid w:val="00EE7DA0"/>
    <w:rsid w:val="00EE7E2C"/>
    <w:rsid w:val="00EF02D5"/>
    <w:rsid w:val="00EF2BF9"/>
    <w:rsid w:val="00EF57D7"/>
    <w:rsid w:val="00EF6586"/>
    <w:rsid w:val="00F013BE"/>
    <w:rsid w:val="00F020D9"/>
    <w:rsid w:val="00F03546"/>
    <w:rsid w:val="00F03626"/>
    <w:rsid w:val="00F03C07"/>
    <w:rsid w:val="00F0535B"/>
    <w:rsid w:val="00F066FA"/>
    <w:rsid w:val="00F1208B"/>
    <w:rsid w:val="00F121DF"/>
    <w:rsid w:val="00F132FA"/>
    <w:rsid w:val="00F13AB3"/>
    <w:rsid w:val="00F14252"/>
    <w:rsid w:val="00F14300"/>
    <w:rsid w:val="00F14CB0"/>
    <w:rsid w:val="00F17485"/>
    <w:rsid w:val="00F20818"/>
    <w:rsid w:val="00F228AF"/>
    <w:rsid w:val="00F277B9"/>
    <w:rsid w:val="00F30BBB"/>
    <w:rsid w:val="00F31014"/>
    <w:rsid w:val="00F31B25"/>
    <w:rsid w:val="00F32371"/>
    <w:rsid w:val="00F34FDF"/>
    <w:rsid w:val="00F35CC4"/>
    <w:rsid w:val="00F37BA2"/>
    <w:rsid w:val="00F41C42"/>
    <w:rsid w:val="00F4294D"/>
    <w:rsid w:val="00F434B2"/>
    <w:rsid w:val="00F44A45"/>
    <w:rsid w:val="00F451F4"/>
    <w:rsid w:val="00F467C9"/>
    <w:rsid w:val="00F4768B"/>
    <w:rsid w:val="00F505B8"/>
    <w:rsid w:val="00F50A47"/>
    <w:rsid w:val="00F50E1D"/>
    <w:rsid w:val="00F52503"/>
    <w:rsid w:val="00F53194"/>
    <w:rsid w:val="00F54BEC"/>
    <w:rsid w:val="00F553F6"/>
    <w:rsid w:val="00F55A99"/>
    <w:rsid w:val="00F56C6E"/>
    <w:rsid w:val="00F61273"/>
    <w:rsid w:val="00F61F2A"/>
    <w:rsid w:val="00F6353D"/>
    <w:rsid w:val="00F640F9"/>
    <w:rsid w:val="00F66096"/>
    <w:rsid w:val="00F66237"/>
    <w:rsid w:val="00F70627"/>
    <w:rsid w:val="00F7147D"/>
    <w:rsid w:val="00F7188F"/>
    <w:rsid w:val="00F738E9"/>
    <w:rsid w:val="00F77FC6"/>
    <w:rsid w:val="00F832E0"/>
    <w:rsid w:val="00F874EA"/>
    <w:rsid w:val="00F90148"/>
    <w:rsid w:val="00F941C1"/>
    <w:rsid w:val="00F967BF"/>
    <w:rsid w:val="00F96C64"/>
    <w:rsid w:val="00F97CF0"/>
    <w:rsid w:val="00FA1BBA"/>
    <w:rsid w:val="00FA5127"/>
    <w:rsid w:val="00FA6942"/>
    <w:rsid w:val="00FA71C6"/>
    <w:rsid w:val="00FB223D"/>
    <w:rsid w:val="00FB2757"/>
    <w:rsid w:val="00FB5AEB"/>
    <w:rsid w:val="00FC063E"/>
    <w:rsid w:val="00FC1EFF"/>
    <w:rsid w:val="00FD1072"/>
    <w:rsid w:val="00FD11C3"/>
    <w:rsid w:val="00FD1E7A"/>
    <w:rsid w:val="00FD3762"/>
    <w:rsid w:val="00FD3EF7"/>
    <w:rsid w:val="00FD5FF1"/>
    <w:rsid w:val="00FD6DCD"/>
    <w:rsid w:val="00FD6E09"/>
    <w:rsid w:val="00FD7711"/>
    <w:rsid w:val="00FE0C6C"/>
    <w:rsid w:val="00FE0D12"/>
    <w:rsid w:val="00FE0F37"/>
    <w:rsid w:val="00FE2862"/>
    <w:rsid w:val="00FE3672"/>
    <w:rsid w:val="00FE43C0"/>
    <w:rsid w:val="00FE6528"/>
    <w:rsid w:val="00FE79B3"/>
    <w:rsid w:val="00FF0092"/>
    <w:rsid w:val="00FF015C"/>
    <w:rsid w:val="00FF60C4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5BC"/>
    <w:pPr>
      <w:keepNext/>
      <w:jc w:val="center"/>
      <w:outlineLvl w:val="0"/>
    </w:pPr>
    <w:rPr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55BC"/>
    <w:pPr>
      <w:keepNext/>
      <w:jc w:val="center"/>
      <w:outlineLvl w:val="1"/>
    </w:pPr>
    <w:rPr>
      <w:rFonts w:ascii=".VnTime" w:hAnsi=".VnTime"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5BC"/>
    <w:pPr>
      <w:keepNext/>
      <w:jc w:val="center"/>
      <w:outlineLvl w:val="2"/>
    </w:pPr>
    <w:rPr>
      <w:b/>
      <w:bCs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3F7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55B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2355BC"/>
    <w:rPr>
      <w:rFonts w:ascii=".VnTime" w:hAnsi=".VnTime" w:cs="Times New Roman"/>
      <w:i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2355BC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81F40"/>
    <w:pPr>
      <w:ind w:left="720"/>
      <w:contextualSpacing/>
    </w:pPr>
  </w:style>
  <w:style w:type="table" w:styleId="TableGrid">
    <w:name w:val="Table Grid"/>
    <w:basedOn w:val="TableNormal"/>
    <w:locked/>
    <w:rsid w:val="000B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84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4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27830"/>
  </w:style>
  <w:style w:type="character" w:customStyle="1" w:styleId="Heading8Char">
    <w:name w:val="Heading 8 Char"/>
    <w:basedOn w:val="DefaultParagraphFont"/>
    <w:link w:val="Heading8"/>
    <w:rsid w:val="003F7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3F701D"/>
    <w:pPr>
      <w:widowControl w:val="0"/>
      <w:spacing w:before="120"/>
      <w:ind w:firstLine="567"/>
      <w:jc w:val="both"/>
    </w:pPr>
    <w:rPr>
      <w:rFonts w:ascii=".VnArial" w:hAnsi=".VnArial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701D"/>
    <w:rPr>
      <w:rFonts w:ascii=".VnArial" w:eastAsia="Times New Roman" w:hAnsi=".VnArial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30AFA"/>
    <w:pPr>
      <w:tabs>
        <w:tab w:val="center" w:pos="4680"/>
        <w:tab w:val="right" w:pos="9360"/>
      </w:tabs>
    </w:pPr>
    <w:rPr>
      <w:rFonts w:ascii=".VnTime" w:hAnsi=".VnTime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0AFA"/>
    <w:rPr>
      <w:rFonts w:ascii=".VnTime" w:eastAsia="Times New Roman" w:hAnsi=".VnTime"/>
      <w:color w:val="000000"/>
      <w:sz w:val="28"/>
    </w:rPr>
  </w:style>
  <w:style w:type="paragraph" w:styleId="CommentText">
    <w:name w:val="annotation text"/>
    <w:aliases w:val=" Char Char, Char"/>
    <w:basedOn w:val="Normal"/>
    <w:link w:val="CommentTextChar"/>
    <w:unhideWhenUsed/>
    <w:rsid w:val="00A30AFA"/>
    <w:rPr>
      <w:sz w:val="20"/>
      <w:szCs w:val="20"/>
    </w:rPr>
  </w:style>
  <w:style w:type="character" w:customStyle="1" w:styleId="CommentTextChar">
    <w:name w:val="Comment Text Char"/>
    <w:aliases w:val=" Char Char Char, Char Char1"/>
    <w:basedOn w:val="DefaultParagraphFont"/>
    <w:link w:val="CommentText"/>
    <w:rsid w:val="00A30AF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2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EE"/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2777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00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B000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126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F5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1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002"/>
    <w:rPr>
      <w:rFonts w:ascii="Courier New" w:eastAsia="Times New Roman" w:hAnsi="Courier New" w:cs="Courier New"/>
    </w:rPr>
  </w:style>
  <w:style w:type="character" w:customStyle="1" w:styleId="ListParagraphChar">
    <w:name w:val="List Paragraph Char"/>
    <w:link w:val="ListParagraph"/>
    <w:locked/>
    <w:rsid w:val="00D10B4C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0A8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D0D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D0DBF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0A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25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5BC"/>
    <w:pPr>
      <w:keepNext/>
      <w:jc w:val="center"/>
      <w:outlineLvl w:val="0"/>
    </w:pPr>
    <w:rPr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55BC"/>
    <w:pPr>
      <w:keepNext/>
      <w:jc w:val="center"/>
      <w:outlineLvl w:val="1"/>
    </w:pPr>
    <w:rPr>
      <w:rFonts w:ascii=".VnTime" w:hAnsi=".VnTime"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5BC"/>
    <w:pPr>
      <w:keepNext/>
      <w:jc w:val="center"/>
      <w:outlineLvl w:val="2"/>
    </w:pPr>
    <w:rPr>
      <w:b/>
      <w:bCs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3F7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55B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2355BC"/>
    <w:rPr>
      <w:rFonts w:ascii=".VnTime" w:hAnsi=".VnTime" w:cs="Times New Roman"/>
      <w:i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2355BC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81F40"/>
    <w:pPr>
      <w:ind w:left="720"/>
      <w:contextualSpacing/>
    </w:pPr>
  </w:style>
  <w:style w:type="table" w:styleId="TableGrid">
    <w:name w:val="Table Grid"/>
    <w:basedOn w:val="TableNormal"/>
    <w:locked/>
    <w:rsid w:val="000B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84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4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27830"/>
  </w:style>
  <w:style w:type="character" w:customStyle="1" w:styleId="Heading8Char">
    <w:name w:val="Heading 8 Char"/>
    <w:basedOn w:val="DefaultParagraphFont"/>
    <w:link w:val="Heading8"/>
    <w:rsid w:val="003F7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3F701D"/>
    <w:pPr>
      <w:widowControl w:val="0"/>
      <w:spacing w:before="120"/>
      <w:ind w:firstLine="567"/>
      <w:jc w:val="both"/>
    </w:pPr>
    <w:rPr>
      <w:rFonts w:ascii=".VnArial" w:hAnsi=".VnArial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701D"/>
    <w:rPr>
      <w:rFonts w:ascii=".VnArial" w:eastAsia="Times New Roman" w:hAnsi=".VnArial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30AFA"/>
    <w:pPr>
      <w:tabs>
        <w:tab w:val="center" w:pos="4680"/>
        <w:tab w:val="right" w:pos="9360"/>
      </w:tabs>
    </w:pPr>
    <w:rPr>
      <w:rFonts w:ascii=".VnTime" w:hAnsi=".VnTime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0AFA"/>
    <w:rPr>
      <w:rFonts w:ascii=".VnTime" w:eastAsia="Times New Roman" w:hAnsi=".VnTime"/>
      <w:color w:val="000000"/>
      <w:sz w:val="28"/>
    </w:rPr>
  </w:style>
  <w:style w:type="paragraph" w:styleId="CommentText">
    <w:name w:val="annotation text"/>
    <w:aliases w:val=" Char Char, Char"/>
    <w:basedOn w:val="Normal"/>
    <w:link w:val="CommentTextChar"/>
    <w:unhideWhenUsed/>
    <w:rsid w:val="00A30AFA"/>
    <w:rPr>
      <w:sz w:val="20"/>
      <w:szCs w:val="20"/>
    </w:rPr>
  </w:style>
  <w:style w:type="character" w:customStyle="1" w:styleId="CommentTextChar">
    <w:name w:val="Comment Text Char"/>
    <w:aliases w:val=" Char Char Char, Char Char1"/>
    <w:basedOn w:val="DefaultParagraphFont"/>
    <w:link w:val="CommentText"/>
    <w:rsid w:val="00A30AF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2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EE"/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2777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B00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B000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126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F5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1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002"/>
    <w:rPr>
      <w:rFonts w:ascii="Courier New" w:eastAsia="Times New Roman" w:hAnsi="Courier New" w:cs="Courier New"/>
    </w:rPr>
  </w:style>
  <w:style w:type="character" w:customStyle="1" w:styleId="ListParagraphChar">
    <w:name w:val="List Paragraph Char"/>
    <w:link w:val="ListParagraph"/>
    <w:locked/>
    <w:rsid w:val="00D10B4C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0A8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D0D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D0DBF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0A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25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9A7A-2CE4-4E6E-B6BD-92BCB6C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THÔNG TIN VÀ TRUYỀN THÔNG</vt:lpstr>
    </vt:vector>
  </TitlesOfParts>
  <Company>Admin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THÔNG TIN VÀ TRUYỀN THÔNG</dc:title>
  <dc:creator>binhkhcn</dc:creator>
  <cp:lastModifiedBy>ADMIN</cp:lastModifiedBy>
  <cp:revision>3</cp:revision>
  <cp:lastPrinted>2020-02-07T03:26:00Z</cp:lastPrinted>
  <dcterms:created xsi:type="dcterms:W3CDTF">2020-02-12T09:10:00Z</dcterms:created>
  <dcterms:modified xsi:type="dcterms:W3CDTF">2020-02-18T04:31:00Z</dcterms:modified>
</cp:coreProperties>
</file>