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2E" w:rsidRPr="00A5402E" w:rsidRDefault="00A5402E" w:rsidP="001D411F">
      <w:pPr>
        <w:shd w:val="clear" w:color="auto" w:fill="FFFFFF"/>
        <w:spacing w:before="120" w:after="0" w:line="276" w:lineRule="auto"/>
        <w:jc w:val="center"/>
        <w:rPr>
          <w:rFonts w:ascii="Times New Roman" w:eastAsia="Calibri" w:hAnsi="Times New Roman" w:cs="Times New Roman"/>
          <w:b/>
          <w:sz w:val="28"/>
          <w:szCs w:val="28"/>
        </w:rPr>
      </w:pPr>
      <w:r w:rsidRPr="00A5402E">
        <w:rPr>
          <w:rFonts w:ascii="Times New Roman" w:eastAsia="Calibri" w:hAnsi="Times New Roman" w:cs="Times New Roman"/>
          <w:b/>
          <w:sz w:val="28"/>
          <w:szCs w:val="28"/>
        </w:rPr>
        <w:t xml:space="preserve">Rà soát các cam kết quốc tế </w:t>
      </w:r>
      <w:r w:rsidR="0059440C">
        <w:rPr>
          <w:rFonts w:ascii="Times New Roman" w:eastAsia="Calibri" w:hAnsi="Times New Roman" w:cs="Times New Roman"/>
          <w:b/>
          <w:sz w:val="28"/>
          <w:szCs w:val="28"/>
        </w:rPr>
        <w:t xml:space="preserve">của Việt Nam </w:t>
      </w:r>
      <w:r w:rsidRPr="00A5402E">
        <w:rPr>
          <w:rFonts w:ascii="Times New Roman" w:eastAsia="Calibri" w:hAnsi="Times New Roman" w:cs="Times New Roman"/>
          <w:b/>
          <w:sz w:val="28"/>
          <w:szCs w:val="28"/>
        </w:rPr>
        <w:t>liên quan đến lĩnh vực thanh toán</w:t>
      </w:r>
    </w:p>
    <w:p w:rsidR="007A10EF" w:rsidRPr="00D13E1B" w:rsidRDefault="00DA6566" w:rsidP="002F5F8A">
      <w:pPr>
        <w:shd w:val="clear" w:color="auto" w:fill="FFFFFF"/>
        <w:spacing w:before="120" w:after="0" w:line="276" w:lineRule="auto"/>
        <w:ind w:firstLine="720"/>
        <w:jc w:val="both"/>
        <w:rPr>
          <w:rFonts w:ascii="Times New Roman" w:eastAsia="Calibri" w:hAnsi="Times New Roman" w:cs="Times New Roman"/>
          <w:sz w:val="28"/>
          <w:szCs w:val="28"/>
        </w:rPr>
      </w:pPr>
      <w:r w:rsidRPr="00D13E1B">
        <w:rPr>
          <w:rFonts w:ascii="Times New Roman" w:eastAsia="Calibri" w:hAnsi="Times New Roman" w:cs="Times New Roman"/>
          <w:sz w:val="28"/>
          <w:szCs w:val="28"/>
        </w:rPr>
        <w:t xml:space="preserve">Đối chiếu các </w:t>
      </w:r>
      <w:r w:rsidR="007A10EF" w:rsidRPr="00D13E1B">
        <w:rPr>
          <w:rFonts w:ascii="Times New Roman" w:eastAsia="Calibri" w:hAnsi="Times New Roman" w:cs="Times New Roman"/>
          <w:sz w:val="28"/>
          <w:szCs w:val="28"/>
        </w:rPr>
        <w:t xml:space="preserve">nội dung quy định </w:t>
      </w:r>
      <w:r w:rsidR="00932613" w:rsidRPr="00D13E1B">
        <w:rPr>
          <w:rFonts w:ascii="Times New Roman" w:eastAsia="Calibri" w:hAnsi="Times New Roman" w:cs="Times New Roman"/>
          <w:sz w:val="28"/>
          <w:szCs w:val="28"/>
        </w:rPr>
        <w:t xml:space="preserve">về dịch vụ trung gian thanh toán, dịch vụ thanh toán, dịch vụ thanh toán thẻ điện tử (EPS) và các dịch vụ liên quan đến thanh toán </w:t>
      </w:r>
      <w:r w:rsidRPr="00D13E1B">
        <w:rPr>
          <w:rFonts w:ascii="Times New Roman" w:eastAsia="Calibri" w:hAnsi="Times New Roman" w:cs="Times New Roman"/>
          <w:sz w:val="28"/>
          <w:szCs w:val="28"/>
        </w:rPr>
        <w:t xml:space="preserve">tại các cam kết mà Việt </w:t>
      </w:r>
      <w:r w:rsidR="00A5402E" w:rsidRPr="00D13E1B">
        <w:rPr>
          <w:rFonts w:ascii="Times New Roman" w:eastAsia="Calibri" w:hAnsi="Times New Roman" w:cs="Times New Roman"/>
          <w:sz w:val="28"/>
          <w:szCs w:val="28"/>
        </w:rPr>
        <w:t xml:space="preserve">Nam có tham gia như </w:t>
      </w:r>
      <w:r w:rsidR="00D13E1B" w:rsidRPr="00D13E1B">
        <w:rPr>
          <w:rFonts w:ascii="Times New Roman" w:eastAsia="Calibri" w:hAnsi="Times New Roman" w:cs="Times New Roman"/>
          <w:sz w:val="28"/>
          <w:szCs w:val="28"/>
        </w:rPr>
        <w:t xml:space="preserve">Hiệp định </w:t>
      </w:r>
      <w:r w:rsidR="00A5402E" w:rsidRPr="00D13E1B">
        <w:rPr>
          <w:rFonts w:ascii="Times New Roman" w:eastAsia="Calibri" w:hAnsi="Times New Roman" w:cs="Times New Roman"/>
          <w:sz w:val="28"/>
          <w:szCs w:val="28"/>
        </w:rPr>
        <w:t xml:space="preserve">WTO, </w:t>
      </w:r>
      <w:r w:rsidR="00D13E1B" w:rsidRPr="00D13E1B">
        <w:rPr>
          <w:rStyle w:val="Emphasis"/>
          <w:rFonts w:ascii="Times New Roman" w:hAnsi="Times New Roman" w:cs="Times New Roman"/>
          <w:bCs/>
          <w:i w:val="0"/>
          <w:iCs w:val="0"/>
          <w:sz w:val="28"/>
          <w:szCs w:val="28"/>
          <w:shd w:val="clear" w:color="auto" w:fill="FFFFFF"/>
        </w:rPr>
        <w:t>Hiệp định</w:t>
      </w:r>
      <w:r w:rsidR="00D13E1B" w:rsidRPr="00D13E1B">
        <w:rPr>
          <w:rFonts w:ascii="Times New Roman" w:hAnsi="Times New Roman" w:cs="Times New Roman"/>
          <w:sz w:val="28"/>
          <w:szCs w:val="28"/>
          <w:shd w:val="clear" w:color="auto" w:fill="FFFFFF"/>
        </w:rPr>
        <w:t> Đối tác Toàn diện và </w:t>
      </w:r>
      <w:r w:rsidR="00D13E1B" w:rsidRPr="00D13E1B">
        <w:rPr>
          <w:rStyle w:val="Emphasis"/>
          <w:rFonts w:ascii="Times New Roman" w:hAnsi="Times New Roman" w:cs="Times New Roman"/>
          <w:bCs/>
          <w:i w:val="0"/>
          <w:iCs w:val="0"/>
          <w:sz w:val="28"/>
          <w:szCs w:val="28"/>
          <w:shd w:val="clear" w:color="auto" w:fill="FFFFFF"/>
        </w:rPr>
        <w:t>Tiến bộ</w:t>
      </w:r>
      <w:r w:rsidR="00D13E1B" w:rsidRPr="00D13E1B">
        <w:rPr>
          <w:rFonts w:ascii="Times New Roman" w:hAnsi="Times New Roman" w:cs="Times New Roman"/>
          <w:sz w:val="28"/>
          <w:szCs w:val="28"/>
          <w:shd w:val="clear" w:color="auto" w:fill="FFFFFF"/>
        </w:rPr>
        <w:t> xuyên Thái Bình Dương</w:t>
      </w:r>
      <w:r w:rsidR="00D13E1B" w:rsidRPr="00D13E1B">
        <w:rPr>
          <w:rFonts w:ascii="Times New Roman" w:eastAsia="Calibri" w:hAnsi="Times New Roman" w:cs="Times New Roman"/>
          <w:sz w:val="28"/>
          <w:szCs w:val="28"/>
        </w:rPr>
        <w:t xml:space="preserve"> (</w:t>
      </w:r>
      <w:r w:rsidR="00A5402E" w:rsidRPr="00D13E1B">
        <w:rPr>
          <w:rFonts w:ascii="Times New Roman" w:eastAsia="Calibri" w:hAnsi="Times New Roman" w:cs="Times New Roman"/>
          <w:sz w:val="28"/>
          <w:szCs w:val="28"/>
        </w:rPr>
        <w:t>CPTPP</w:t>
      </w:r>
      <w:r w:rsidR="00D13E1B" w:rsidRPr="00D13E1B">
        <w:rPr>
          <w:rFonts w:ascii="Times New Roman" w:eastAsia="Calibri" w:hAnsi="Times New Roman" w:cs="Times New Roman"/>
          <w:sz w:val="28"/>
          <w:szCs w:val="28"/>
        </w:rPr>
        <w:t>)</w:t>
      </w:r>
      <w:r w:rsidR="00A5402E" w:rsidRPr="00D13E1B">
        <w:rPr>
          <w:rFonts w:ascii="Times New Roman" w:eastAsia="Calibri" w:hAnsi="Times New Roman" w:cs="Times New Roman"/>
          <w:sz w:val="28"/>
          <w:szCs w:val="28"/>
        </w:rPr>
        <w:t xml:space="preserve"> </w:t>
      </w:r>
      <w:r w:rsidR="00F7149F" w:rsidRPr="00D13E1B">
        <w:rPr>
          <w:rFonts w:ascii="Times New Roman" w:eastAsia="Times New Roman" w:hAnsi="Times New Roman" w:cs="Times New Roman"/>
          <w:sz w:val="28"/>
          <w:szCs w:val="28"/>
        </w:rPr>
        <w:t>và điều ước quốc tế về đầu tư khác</w:t>
      </w:r>
      <w:r w:rsidR="00CC1B3B" w:rsidRPr="00D13E1B">
        <w:rPr>
          <w:rFonts w:ascii="Times New Roman" w:eastAsia="Times New Roman" w:hAnsi="Times New Roman" w:cs="Times New Roman"/>
          <w:sz w:val="28"/>
          <w:szCs w:val="28"/>
        </w:rPr>
        <w:t xml:space="preserve"> (Hiệp định thương mại tự do giữa Việt Nam </w:t>
      </w:r>
      <w:r w:rsidR="00CB0596">
        <w:rPr>
          <w:rFonts w:ascii="Times New Roman" w:eastAsia="Times New Roman" w:hAnsi="Times New Roman" w:cs="Times New Roman"/>
          <w:sz w:val="28"/>
          <w:szCs w:val="28"/>
        </w:rPr>
        <w:t>-</w:t>
      </w:r>
      <w:r w:rsidR="00CC1B3B" w:rsidRPr="00D13E1B">
        <w:rPr>
          <w:rFonts w:ascii="Times New Roman" w:eastAsia="Times New Roman" w:hAnsi="Times New Roman" w:cs="Times New Roman"/>
          <w:sz w:val="28"/>
          <w:szCs w:val="28"/>
        </w:rPr>
        <w:t xml:space="preserve"> Hàn Quốc</w:t>
      </w:r>
      <w:r w:rsidR="00045378" w:rsidRPr="00D13E1B">
        <w:rPr>
          <w:rFonts w:ascii="Times New Roman" w:eastAsia="Times New Roman" w:hAnsi="Times New Roman" w:cs="Times New Roman"/>
          <w:sz w:val="28"/>
          <w:szCs w:val="28"/>
        </w:rPr>
        <w:t xml:space="preserve">, </w:t>
      </w:r>
      <w:r w:rsidR="00CB0596">
        <w:rPr>
          <w:rFonts w:ascii="Times New Roman" w:eastAsia="Times New Roman" w:hAnsi="Times New Roman" w:cs="Times New Roman"/>
          <w:sz w:val="28"/>
          <w:szCs w:val="28"/>
        </w:rPr>
        <w:t xml:space="preserve">giữa </w:t>
      </w:r>
      <w:r w:rsidR="00045378" w:rsidRPr="00D13E1B">
        <w:rPr>
          <w:rFonts w:ascii="Times New Roman" w:eastAsia="Times New Roman" w:hAnsi="Times New Roman" w:cs="Times New Roman"/>
          <w:sz w:val="28"/>
          <w:szCs w:val="28"/>
        </w:rPr>
        <w:t xml:space="preserve">Việt Nam và Singapore, </w:t>
      </w:r>
      <w:r w:rsidRPr="00D13E1B">
        <w:rPr>
          <w:rFonts w:ascii="Times New Roman" w:eastAsia="Calibri" w:hAnsi="Times New Roman" w:cs="Times New Roman"/>
          <w:sz w:val="28"/>
          <w:szCs w:val="28"/>
        </w:rPr>
        <w:t>…</w:t>
      </w:r>
      <w:r w:rsidR="00CC1B3B" w:rsidRPr="00D13E1B">
        <w:rPr>
          <w:rFonts w:ascii="Times New Roman" w:eastAsia="Calibri" w:hAnsi="Times New Roman" w:cs="Times New Roman"/>
          <w:sz w:val="28"/>
          <w:szCs w:val="28"/>
        </w:rPr>
        <w:t xml:space="preserve">) </w:t>
      </w:r>
      <w:r w:rsidR="007A10EF" w:rsidRPr="00D13E1B">
        <w:rPr>
          <w:rFonts w:ascii="Times New Roman" w:eastAsia="Calibri" w:hAnsi="Times New Roman" w:cs="Times New Roman"/>
          <w:sz w:val="28"/>
          <w:szCs w:val="28"/>
        </w:rPr>
        <w:t>thì hầu</w:t>
      </w:r>
      <w:r w:rsidRPr="00D13E1B">
        <w:rPr>
          <w:rFonts w:ascii="Times New Roman" w:eastAsia="Calibri" w:hAnsi="Times New Roman" w:cs="Times New Roman"/>
          <w:sz w:val="28"/>
          <w:szCs w:val="28"/>
        </w:rPr>
        <w:t xml:space="preserve"> hết các cam kết của Việt Nam có tham gia đều trên cơ sở các nội dung cam kết trong Biểu cam kết WTO</w:t>
      </w:r>
      <w:r w:rsidR="007321AE" w:rsidRPr="00D13E1B">
        <w:rPr>
          <w:rFonts w:ascii="Times New Roman" w:eastAsia="Calibri" w:hAnsi="Times New Roman" w:cs="Times New Roman"/>
          <w:sz w:val="28"/>
          <w:szCs w:val="28"/>
        </w:rPr>
        <w:t xml:space="preserve"> của Việt Nam khi gia nhập tổ chức WTO</w:t>
      </w:r>
      <w:r w:rsidRPr="00D13E1B">
        <w:rPr>
          <w:rFonts w:ascii="Times New Roman" w:eastAsia="Calibri" w:hAnsi="Times New Roman" w:cs="Times New Roman"/>
          <w:sz w:val="28"/>
          <w:szCs w:val="28"/>
        </w:rPr>
        <w:t xml:space="preserve">. </w:t>
      </w:r>
    </w:p>
    <w:p w:rsidR="0044044A" w:rsidRDefault="007A10EF" w:rsidP="002F5F8A">
      <w:pPr>
        <w:shd w:val="clear" w:color="auto" w:fill="FFFFFF"/>
        <w:spacing w:before="120" w:after="0" w:line="276" w:lineRule="auto"/>
        <w:ind w:firstLine="720"/>
        <w:jc w:val="both"/>
        <w:rPr>
          <w:rFonts w:ascii="Times New Roman" w:eastAsia="Times New Roman" w:hAnsi="Times New Roman" w:cs="Times New Roman"/>
          <w:color w:val="000000"/>
          <w:sz w:val="28"/>
          <w:szCs w:val="28"/>
        </w:rPr>
      </w:pPr>
      <w:r w:rsidRPr="00A5402E">
        <w:rPr>
          <w:rFonts w:ascii="Times New Roman" w:eastAsia="Times New Roman" w:hAnsi="Times New Roman" w:cs="Times New Roman"/>
          <w:color w:val="000000"/>
          <w:sz w:val="28"/>
          <w:szCs w:val="28"/>
        </w:rPr>
        <w:t xml:space="preserve">Liên quan đến các </w:t>
      </w:r>
      <w:r w:rsidR="00932613">
        <w:rPr>
          <w:rFonts w:ascii="Times New Roman" w:eastAsia="Times New Roman" w:hAnsi="Times New Roman" w:cs="Times New Roman"/>
          <w:color w:val="000000"/>
          <w:sz w:val="28"/>
          <w:szCs w:val="28"/>
        </w:rPr>
        <w:t xml:space="preserve">cam kết </w:t>
      </w:r>
      <w:r w:rsidR="008D0B0B">
        <w:rPr>
          <w:rFonts w:ascii="Times New Roman" w:eastAsia="Times New Roman" w:hAnsi="Times New Roman" w:cs="Times New Roman"/>
          <w:color w:val="000000"/>
          <w:sz w:val="28"/>
          <w:szCs w:val="28"/>
        </w:rPr>
        <w:t xml:space="preserve">của Việt Nam </w:t>
      </w:r>
      <w:r w:rsidR="00932613">
        <w:rPr>
          <w:rFonts w:ascii="Times New Roman" w:eastAsia="Times New Roman" w:hAnsi="Times New Roman" w:cs="Times New Roman"/>
          <w:color w:val="000000"/>
          <w:sz w:val="28"/>
          <w:szCs w:val="28"/>
        </w:rPr>
        <w:t xml:space="preserve">đối với </w:t>
      </w:r>
      <w:r w:rsidR="0044044A" w:rsidRPr="00A5402E">
        <w:rPr>
          <w:rFonts w:ascii="Times New Roman" w:eastAsia="Times New Roman" w:hAnsi="Times New Roman" w:cs="Times New Roman"/>
          <w:color w:val="000000"/>
          <w:sz w:val="28"/>
          <w:szCs w:val="28"/>
        </w:rPr>
        <w:t>dịch vụ thanh toán</w:t>
      </w:r>
      <w:r w:rsidR="00154D9B">
        <w:rPr>
          <w:rFonts w:ascii="Times New Roman" w:eastAsia="Times New Roman" w:hAnsi="Times New Roman" w:cs="Times New Roman"/>
          <w:color w:val="000000"/>
          <w:sz w:val="28"/>
          <w:szCs w:val="28"/>
        </w:rPr>
        <w:t xml:space="preserve"> trong khuôn khổ </w:t>
      </w:r>
      <w:r w:rsidR="0044044A" w:rsidRPr="00A5402E">
        <w:rPr>
          <w:rFonts w:ascii="Times New Roman" w:eastAsia="Times New Roman" w:hAnsi="Times New Roman" w:cs="Times New Roman"/>
          <w:color w:val="000000"/>
          <w:sz w:val="28"/>
          <w:szCs w:val="28"/>
        </w:rPr>
        <w:t>Hiệp định</w:t>
      </w:r>
      <w:r w:rsidR="00154D9B">
        <w:rPr>
          <w:rFonts w:ascii="Times New Roman" w:eastAsia="Times New Roman" w:hAnsi="Times New Roman" w:cs="Times New Roman"/>
          <w:color w:val="000000"/>
          <w:sz w:val="28"/>
          <w:szCs w:val="28"/>
        </w:rPr>
        <w:t xml:space="preserve"> WTO, </w:t>
      </w:r>
      <w:r w:rsidR="00154D9B" w:rsidRPr="00A5402E">
        <w:rPr>
          <w:rFonts w:ascii="Times New Roman" w:eastAsia="Times New Roman" w:hAnsi="Times New Roman" w:cs="Times New Roman"/>
          <w:color w:val="000000"/>
          <w:sz w:val="28"/>
          <w:szCs w:val="28"/>
        </w:rPr>
        <w:t xml:space="preserve">dịch vụ thanh toán điện tử trong </w:t>
      </w:r>
      <w:r w:rsidR="00154D9B">
        <w:rPr>
          <w:rFonts w:ascii="Times New Roman" w:eastAsia="Times New Roman" w:hAnsi="Times New Roman" w:cs="Times New Roman"/>
          <w:color w:val="000000"/>
          <w:sz w:val="28"/>
          <w:szCs w:val="28"/>
        </w:rPr>
        <w:t>Hiệp định</w:t>
      </w:r>
      <w:r w:rsidR="00154D9B" w:rsidRPr="00A5402E">
        <w:rPr>
          <w:rFonts w:ascii="Times New Roman" w:eastAsia="Times New Roman" w:hAnsi="Times New Roman" w:cs="Times New Roman"/>
          <w:color w:val="000000"/>
          <w:sz w:val="28"/>
          <w:szCs w:val="28"/>
        </w:rPr>
        <w:t xml:space="preserve"> </w:t>
      </w:r>
      <w:r w:rsidR="0044044A" w:rsidRPr="00A5402E">
        <w:rPr>
          <w:rFonts w:ascii="Times New Roman" w:eastAsia="Times New Roman" w:hAnsi="Times New Roman" w:cs="Times New Roman"/>
          <w:color w:val="000000"/>
          <w:sz w:val="28"/>
          <w:szCs w:val="28"/>
        </w:rPr>
        <w:t>CPTPP</w:t>
      </w:r>
      <w:r w:rsidR="008D0B0B">
        <w:rPr>
          <w:rFonts w:ascii="Times New Roman" w:eastAsia="Times New Roman" w:hAnsi="Times New Roman" w:cs="Times New Roman"/>
          <w:color w:val="000000"/>
          <w:sz w:val="28"/>
          <w:szCs w:val="28"/>
        </w:rPr>
        <w:t>, phản hồi lại luồng ý kiến của một số đại diện Hiệp hội ngành nghề, công ty cung ứng dịch vụ trung gian thanh toán có vốn nước ngoài</w:t>
      </w:r>
      <w:r w:rsidR="00DA6566" w:rsidRPr="00A5402E">
        <w:rPr>
          <w:rFonts w:ascii="Times New Roman" w:eastAsia="Times New Roman" w:hAnsi="Times New Roman" w:cs="Times New Roman"/>
          <w:color w:val="000000"/>
          <w:sz w:val="28"/>
          <w:szCs w:val="28"/>
        </w:rPr>
        <w:t xml:space="preserve">, </w:t>
      </w:r>
      <w:r w:rsidR="008D0B0B">
        <w:rPr>
          <w:rFonts w:ascii="Times New Roman" w:eastAsia="Times New Roman" w:hAnsi="Times New Roman" w:cs="Times New Roman"/>
          <w:color w:val="000000"/>
          <w:sz w:val="28"/>
          <w:szCs w:val="28"/>
        </w:rPr>
        <w:t xml:space="preserve">đại diện </w:t>
      </w:r>
      <w:r w:rsidR="00BF19E9">
        <w:rPr>
          <w:rFonts w:ascii="Times New Roman" w:eastAsia="Times New Roman" w:hAnsi="Times New Roman" w:cs="Times New Roman"/>
          <w:color w:val="000000"/>
          <w:sz w:val="28"/>
          <w:szCs w:val="28"/>
        </w:rPr>
        <w:t>N</w:t>
      </w:r>
      <w:r w:rsidR="00154D9B">
        <w:rPr>
          <w:rFonts w:ascii="Times New Roman" w:eastAsia="Times New Roman" w:hAnsi="Times New Roman" w:cs="Times New Roman"/>
          <w:color w:val="000000"/>
          <w:sz w:val="28"/>
          <w:szCs w:val="28"/>
        </w:rPr>
        <w:t>gân hàng Nhà nước</w:t>
      </w:r>
      <w:r w:rsidR="00BF19E9">
        <w:rPr>
          <w:rFonts w:ascii="Times New Roman" w:eastAsia="Times New Roman" w:hAnsi="Times New Roman" w:cs="Times New Roman"/>
          <w:color w:val="000000"/>
          <w:sz w:val="28"/>
          <w:szCs w:val="28"/>
        </w:rPr>
        <w:t xml:space="preserve"> </w:t>
      </w:r>
      <w:r w:rsidR="008D0B0B">
        <w:rPr>
          <w:rFonts w:ascii="Times New Roman" w:eastAsia="Times New Roman" w:hAnsi="Times New Roman" w:cs="Times New Roman"/>
          <w:color w:val="000000"/>
          <w:sz w:val="28"/>
          <w:szCs w:val="28"/>
        </w:rPr>
        <w:t>khẳng định:</w:t>
      </w:r>
    </w:p>
    <w:p w:rsidR="00F67876" w:rsidRDefault="00F67876" w:rsidP="00F67876">
      <w:pPr>
        <w:shd w:val="clear" w:color="auto" w:fill="FFFFFF"/>
        <w:spacing w:before="120"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Pr="00A5402E">
        <w:rPr>
          <w:rFonts w:ascii="Times New Roman" w:eastAsia="Times New Roman" w:hAnsi="Times New Roman" w:cs="Times New Roman"/>
          <w:color w:val="000000"/>
          <w:sz w:val="28"/>
          <w:szCs w:val="28"/>
        </w:rPr>
        <w:t xml:space="preserve">rên cơ sở </w:t>
      </w:r>
      <w:r>
        <w:rPr>
          <w:rFonts w:ascii="Times New Roman" w:eastAsia="Times New Roman" w:hAnsi="Times New Roman" w:cs="Times New Roman"/>
          <w:color w:val="000000"/>
          <w:sz w:val="28"/>
          <w:szCs w:val="28"/>
        </w:rPr>
        <w:t xml:space="preserve">rà soát và </w:t>
      </w:r>
      <w:r w:rsidRPr="00A5402E">
        <w:rPr>
          <w:rFonts w:ascii="Times New Roman" w:eastAsia="Times New Roman" w:hAnsi="Times New Roman" w:cs="Times New Roman"/>
          <w:color w:val="000000"/>
          <w:sz w:val="28"/>
          <w:szCs w:val="28"/>
        </w:rPr>
        <w:t xml:space="preserve">tham </w:t>
      </w:r>
      <w:r>
        <w:rPr>
          <w:rFonts w:ascii="Times New Roman" w:eastAsia="Times New Roman" w:hAnsi="Times New Roman" w:cs="Times New Roman"/>
          <w:color w:val="000000"/>
          <w:sz w:val="28"/>
          <w:szCs w:val="28"/>
        </w:rPr>
        <w:t>vấn một số Bộ, ngành liên quan về vấn đề tỷ lệ sở hữu nước ngoài, Ngân hàng Nhà nước có ý kiến như sau:</w:t>
      </w:r>
    </w:p>
    <w:p w:rsidR="008D0833" w:rsidRPr="00CD14CB" w:rsidRDefault="008D0833" w:rsidP="002F5F8A">
      <w:pPr>
        <w:shd w:val="clear" w:color="auto" w:fill="FFFFFF"/>
        <w:spacing w:before="120" w:after="0" w:line="276" w:lineRule="auto"/>
        <w:ind w:firstLine="720"/>
        <w:jc w:val="both"/>
        <w:rPr>
          <w:rFonts w:ascii="Times New Roman" w:eastAsia="Times New Roman" w:hAnsi="Times New Roman" w:cs="Times New Roman"/>
          <w:b/>
          <w:i/>
          <w:color w:val="000000"/>
          <w:sz w:val="28"/>
          <w:szCs w:val="28"/>
        </w:rPr>
      </w:pPr>
      <w:r w:rsidRPr="00CD14CB">
        <w:rPr>
          <w:rFonts w:ascii="Times New Roman" w:eastAsia="Times New Roman" w:hAnsi="Times New Roman" w:cs="Times New Roman"/>
          <w:b/>
          <w:i/>
          <w:color w:val="000000"/>
          <w:sz w:val="28"/>
          <w:szCs w:val="28"/>
        </w:rPr>
        <w:t xml:space="preserve">Về </w:t>
      </w:r>
      <w:r w:rsidR="005B2A4D" w:rsidRPr="00CD14CB">
        <w:rPr>
          <w:rFonts w:ascii="Times New Roman" w:eastAsia="Times New Roman" w:hAnsi="Times New Roman" w:cs="Times New Roman"/>
          <w:b/>
          <w:i/>
          <w:color w:val="000000"/>
          <w:sz w:val="28"/>
          <w:szCs w:val="28"/>
        </w:rPr>
        <w:t>các cam kết quốc tế của Việt Nam về mở cửa thị trường</w:t>
      </w:r>
    </w:p>
    <w:p w:rsidR="00895FD2" w:rsidRPr="00895FD2" w:rsidRDefault="002F5F8A" w:rsidP="002F5F8A">
      <w:pPr>
        <w:tabs>
          <w:tab w:val="left" w:pos="567"/>
        </w:tabs>
        <w:spacing w:before="120" w:after="0" w:line="276" w:lineRule="auto"/>
        <w:jc w:val="both"/>
        <w:rPr>
          <w:rFonts w:ascii="Times New Roman" w:eastAsia="Calibri" w:hAnsi="Times New Roman" w:cs="Times New Roman"/>
          <w:sz w:val="28"/>
          <w:szCs w:val="28"/>
        </w:rPr>
      </w:pPr>
      <w:r w:rsidRPr="002F5F8A">
        <w:rPr>
          <w:rFonts w:ascii="Times New Roman" w:eastAsia="Calibri" w:hAnsi="Times New Roman" w:cs="Times New Roman"/>
          <w:color w:val="0070C0"/>
          <w:sz w:val="28"/>
          <w:szCs w:val="28"/>
        </w:rPr>
        <w:tab/>
      </w:r>
      <w:r>
        <w:rPr>
          <w:rFonts w:ascii="Times New Roman" w:eastAsia="Calibri" w:hAnsi="Times New Roman" w:cs="Times New Roman"/>
          <w:sz w:val="28"/>
          <w:szCs w:val="28"/>
        </w:rPr>
        <w:tab/>
      </w:r>
      <w:r w:rsidR="00895FD2" w:rsidRPr="00895FD2">
        <w:rPr>
          <w:rFonts w:ascii="Times New Roman" w:eastAsia="Calibri" w:hAnsi="Times New Roman" w:cs="Times New Roman"/>
          <w:sz w:val="28"/>
          <w:szCs w:val="28"/>
        </w:rPr>
        <w:t xml:space="preserve">Trong Biểu cam kết cụ thể về dịch vụ của Việt Nam </w:t>
      </w:r>
      <w:r w:rsidR="00895FD2" w:rsidRPr="00CD14CB">
        <w:rPr>
          <w:rFonts w:ascii="Times New Roman" w:eastAsia="Calibri" w:hAnsi="Times New Roman" w:cs="Times New Roman"/>
          <w:b/>
          <w:sz w:val="28"/>
          <w:szCs w:val="28"/>
        </w:rPr>
        <w:t>trong WTO</w:t>
      </w:r>
      <w:r w:rsidR="00895FD2" w:rsidRPr="00895FD2">
        <w:rPr>
          <w:rFonts w:ascii="Times New Roman" w:eastAsia="Calibri" w:hAnsi="Times New Roman" w:cs="Times New Roman"/>
          <w:sz w:val="28"/>
          <w:szCs w:val="28"/>
        </w:rPr>
        <w:t xml:space="preserve">, tại mục B. Dịch vụ ngân hàng và các dịch vụ tài chính khác, </w:t>
      </w:r>
      <w:r w:rsidR="00BF19E9">
        <w:rPr>
          <w:rFonts w:ascii="Times New Roman" w:eastAsia="Calibri" w:hAnsi="Times New Roman" w:cs="Times New Roman"/>
          <w:sz w:val="28"/>
          <w:szCs w:val="28"/>
        </w:rPr>
        <w:t>Việt Nam</w:t>
      </w:r>
      <w:r w:rsidR="00895FD2" w:rsidRPr="00895FD2">
        <w:rPr>
          <w:rFonts w:ascii="Times New Roman" w:eastAsia="Calibri" w:hAnsi="Times New Roman" w:cs="Times New Roman"/>
          <w:sz w:val="28"/>
          <w:szCs w:val="28"/>
        </w:rPr>
        <w:t xml:space="preserve"> có cam kết như sau:</w:t>
      </w:r>
    </w:p>
    <w:p w:rsidR="00895FD2" w:rsidRPr="00895FD2" w:rsidRDefault="00895FD2" w:rsidP="002F5F8A">
      <w:pPr>
        <w:tabs>
          <w:tab w:val="left" w:pos="567"/>
        </w:tabs>
        <w:spacing w:before="120" w:after="0" w:line="276" w:lineRule="auto"/>
        <w:jc w:val="both"/>
        <w:rPr>
          <w:rFonts w:ascii="Times New Roman" w:eastAsia="Calibri" w:hAnsi="Times New Roman" w:cs="Times New Roman"/>
          <w:sz w:val="28"/>
          <w:szCs w:val="28"/>
        </w:rPr>
      </w:pPr>
      <w:r w:rsidRPr="00895FD2">
        <w:rPr>
          <w:rFonts w:ascii="Times New Roman" w:eastAsia="Calibri" w:hAnsi="Times New Roman" w:cs="Times New Roman"/>
          <w:sz w:val="28"/>
          <w:szCs w:val="28"/>
        </w:rPr>
        <w:tab/>
        <w:t xml:space="preserve">- Đối với phương thức cung cấp dịch vụ xuyên biên giới (mode 1): </w:t>
      </w:r>
      <w:r w:rsidRPr="00895FD2">
        <w:rPr>
          <w:rFonts w:ascii="Times New Roman" w:eastAsia="Calibri" w:hAnsi="Times New Roman" w:cs="Times New Roman"/>
          <w:i/>
          <w:sz w:val="28"/>
          <w:szCs w:val="28"/>
        </w:rPr>
        <w:t>cam kết đối với dịch vụ B(k)</w:t>
      </w:r>
      <w:r w:rsidRPr="00895FD2">
        <w:rPr>
          <w:rFonts w:ascii="Times New Roman" w:eastAsia="Calibri" w:hAnsi="Times New Roman" w:cs="Times New Roman"/>
          <w:sz w:val="28"/>
          <w:szCs w:val="28"/>
        </w:rPr>
        <w:t xml:space="preserve"> cung cấp và chuyển thông tin tài chính và xử lý dữ liệu tài chính cũng như các phần mềm liên quan của các nhà cung cấp các dịch vụ tài chính khác</w:t>
      </w:r>
    </w:p>
    <w:p w:rsidR="00895FD2" w:rsidRPr="00895FD2" w:rsidRDefault="00895FD2" w:rsidP="002F5F8A">
      <w:pPr>
        <w:tabs>
          <w:tab w:val="left" w:pos="567"/>
        </w:tabs>
        <w:spacing w:before="120" w:after="0" w:line="276" w:lineRule="auto"/>
        <w:jc w:val="both"/>
        <w:rPr>
          <w:rFonts w:ascii="Times New Roman" w:eastAsia="Calibri" w:hAnsi="Times New Roman" w:cs="Times New Roman"/>
          <w:sz w:val="28"/>
          <w:szCs w:val="28"/>
        </w:rPr>
      </w:pPr>
      <w:r w:rsidRPr="00895FD2">
        <w:rPr>
          <w:rFonts w:ascii="Times New Roman" w:eastAsia="Calibri" w:hAnsi="Times New Roman" w:cs="Times New Roman"/>
          <w:sz w:val="28"/>
          <w:szCs w:val="28"/>
        </w:rPr>
        <w:tab/>
        <w:t xml:space="preserve">- Đối với phương thức </w:t>
      </w:r>
      <w:r w:rsidRPr="00895FD2">
        <w:rPr>
          <w:rFonts w:ascii="Times New Roman" w:eastAsia="Calibri" w:hAnsi="Times New Roman" w:cs="Times New Roman"/>
          <w:i/>
          <w:sz w:val="28"/>
          <w:szCs w:val="28"/>
        </w:rPr>
        <w:t>cung cấp dịch vụ thông qua hình thức hiện diện thương mại (mode 3)</w:t>
      </w:r>
      <w:r w:rsidRPr="00895FD2">
        <w:rPr>
          <w:rFonts w:ascii="Times New Roman" w:eastAsia="Calibri" w:hAnsi="Times New Roman" w:cs="Times New Roman"/>
          <w:sz w:val="28"/>
          <w:szCs w:val="28"/>
        </w:rPr>
        <w:t xml:space="preserve"> </w:t>
      </w:r>
      <w:r w:rsidR="00BF19E9">
        <w:rPr>
          <w:rFonts w:ascii="Times New Roman" w:eastAsia="Calibri" w:hAnsi="Times New Roman" w:cs="Times New Roman"/>
          <w:sz w:val="28"/>
          <w:szCs w:val="28"/>
        </w:rPr>
        <w:t>VN</w:t>
      </w:r>
      <w:r w:rsidRPr="00895FD2">
        <w:rPr>
          <w:rFonts w:ascii="Times New Roman" w:eastAsia="Calibri" w:hAnsi="Times New Roman" w:cs="Times New Roman"/>
          <w:sz w:val="28"/>
          <w:szCs w:val="28"/>
        </w:rPr>
        <w:t xml:space="preserve"> đã cam kết đối với 11 phân ngành dịch vụ trong lĩnh vực này, trong đó có </w:t>
      </w:r>
      <w:r w:rsidRPr="00895FD2">
        <w:rPr>
          <w:rFonts w:ascii="Times New Roman" w:eastAsia="Calibri" w:hAnsi="Times New Roman" w:cs="Times New Roman"/>
          <w:i/>
          <w:sz w:val="28"/>
          <w:szCs w:val="28"/>
        </w:rPr>
        <w:t>dịch vụ B(d) mọi dịch vụ thanh toán và chuyển tiền, bao gồm thẻ tín dụng, thẻ thanh toán và thẻ nợ, séc du lịch và hối phiếu ngân hàng</w:t>
      </w:r>
      <w:r w:rsidR="00D13E1B">
        <w:rPr>
          <w:rFonts w:ascii="Times New Roman" w:eastAsia="Calibri" w:hAnsi="Times New Roman" w:cs="Times New Roman"/>
          <w:sz w:val="28"/>
          <w:szCs w:val="28"/>
        </w:rPr>
        <w:t>.</w:t>
      </w:r>
    </w:p>
    <w:p w:rsidR="00654FE3" w:rsidRPr="00B24A15" w:rsidRDefault="00895FD2" w:rsidP="00B24A15">
      <w:pPr>
        <w:tabs>
          <w:tab w:val="left" w:pos="567"/>
        </w:tabs>
        <w:spacing w:before="120" w:after="0" w:line="276" w:lineRule="auto"/>
        <w:jc w:val="both"/>
        <w:rPr>
          <w:rFonts w:ascii="Times New Roman" w:eastAsia="Calibri" w:hAnsi="Times New Roman" w:cs="Times New Roman"/>
          <w:b/>
          <w:sz w:val="28"/>
          <w:szCs w:val="28"/>
        </w:rPr>
      </w:pPr>
      <w:r w:rsidRPr="00895FD2">
        <w:rPr>
          <w:rFonts w:ascii="Times New Roman" w:eastAsia="Calibri" w:hAnsi="Times New Roman" w:cs="Times New Roman"/>
          <w:sz w:val="28"/>
          <w:szCs w:val="28"/>
        </w:rPr>
        <w:tab/>
      </w:r>
      <w:r w:rsidR="005F7286" w:rsidRPr="0061573D">
        <w:rPr>
          <w:rFonts w:ascii="Times New Roman" w:eastAsia="Times New Roman" w:hAnsi="Times New Roman" w:cs="Times New Roman"/>
          <w:i/>
          <w:sz w:val="28"/>
          <w:szCs w:val="28"/>
          <w:highlight w:val="yellow"/>
          <w:lang w:bidi="th-TH"/>
        </w:rPr>
        <w:t xml:space="preserve">Qua đối chiếu quy định trong nước và các cam kết của Việt Nam tại các Hiệp định dẫn chiếu ở trên, </w:t>
      </w:r>
      <w:r w:rsidR="00BF19E9" w:rsidRPr="0061573D">
        <w:rPr>
          <w:rFonts w:ascii="Times New Roman" w:eastAsia="Times New Roman" w:hAnsi="Times New Roman" w:cs="Times New Roman"/>
          <w:i/>
          <w:sz w:val="28"/>
          <w:szCs w:val="28"/>
          <w:highlight w:val="yellow"/>
          <w:lang w:bidi="th-TH"/>
        </w:rPr>
        <w:t>NHNN</w:t>
      </w:r>
      <w:r w:rsidR="005F7286" w:rsidRPr="0061573D">
        <w:rPr>
          <w:rFonts w:ascii="Times New Roman" w:eastAsia="Times New Roman" w:hAnsi="Times New Roman" w:cs="Times New Roman"/>
          <w:i/>
          <w:sz w:val="28"/>
          <w:szCs w:val="28"/>
          <w:highlight w:val="yellow"/>
          <w:lang w:bidi="th-TH"/>
        </w:rPr>
        <w:t xml:space="preserve"> nhận thấy khái niệm và phạm vi trung gian thanh toán theo quy định của pháp luật trong nước không thuộc phạm vi cam kết mở cửa của Việt Nam tại Hiệp định WTO và Hiệp định CPTPP. Do vậy các quy định pháp luật để quản lý dịch vụ </w:t>
      </w:r>
      <w:r w:rsidR="00CD14CB" w:rsidRPr="0061573D">
        <w:rPr>
          <w:rFonts w:ascii="Times New Roman" w:eastAsia="Times New Roman" w:hAnsi="Times New Roman" w:cs="Times New Roman"/>
          <w:i/>
          <w:sz w:val="28"/>
          <w:szCs w:val="28"/>
          <w:highlight w:val="yellow"/>
          <w:lang w:bidi="th-TH"/>
        </w:rPr>
        <w:t>trung gian thanh toán</w:t>
      </w:r>
      <w:r w:rsidR="005F46FA" w:rsidRPr="0061573D">
        <w:rPr>
          <w:rFonts w:ascii="Times New Roman" w:eastAsia="Times New Roman" w:hAnsi="Times New Roman" w:cs="Times New Roman"/>
          <w:i/>
          <w:sz w:val="28"/>
          <w:szCs w:val="28"/>
          <w:highlight w:val="yellow"/>
          <w:lang w:bidi="th-TH"/>
        </w:rPr>
        <w:t xml:space="preserve">, trong đó có quy định tỷ lệ sở hữu nhà đầu tư nước ngoài trong tổ chức cung ứng dịch vụ </w:t>
      </w:r>
      <w:r w:rsidR="00CD14CB" w:rsidRPr="0061573D">
        <w:rPr>
          <w:rFonts w:ascii="Times New Roman" w:eastAsia="Times New Roman" w:hAnsi="Times New Roman" w:cs="Times New Roman"/>
          <w:i/>
          <w:sz w:val="28"/>
          <w:szCs w:val="28"/>
          <w:highlight w:val="yellow"/>
          <w:lang w:bidi="th-TH"/>
        </w:rPr>
        <w:t>trung gian thanh toán</w:t>
      </w:r>
      <w:r w:rsidR="005F7286" w:rsidRPr="0061573D">
        <w:rPr>
          <w:rFonts w:ascii="Times New Roman" w:eastAsia="Times New Roman" w:hAnsi="Times New Roman" w:cs="Times New Roman"/>
          <w:i/>
          <w:sz w:val="28"/>
          <w:szCs w:val="28"/>
          <w:highlight w:val="yellow"/>
          <w:lang w:bidi="th-TH"/>
        </w:rPr>
        <w:t xml:space="preserve"> </w:t>
      </w:r>
      <w:r w:rsidR="005F46FA" w:rsidRPr="0061573D">
        <w:rPr>
          <w:rFonts w:ascii="Times New Roman" w:eastAsia="Times New Roman" w:hAnsi="Times New Roman" w:cs="Times New Roman"/>
          <w:i/>
          <w:sz w:val="28"/>
          <w:szCs w:val="28"/>
          <w:highlight w:val="yellow"/>
          <w:lang w:bidi="th-TH"/>
        </w:rPr>
        <w:t xml:space="preserve">để đưa vào dự thảo Nghị định </w:t>
      </w:r>
      <w:r w:rsidR="005F7286" w:rsidRPr="0061573D">
        <w:rPr>
          <w:rFonts w:ascii="Times New Roman" w:eastAsia="Times New Roman" w:hAnsi="Times New Roman" w:cs="Times New Roman"/>
          <w:i/>
          <w:sz w:val="28"/>
          <w:szCs w:val="28"/>
          <w:highlight w:val="yellow"/>
          <w:lang w:bidi="th-TH"/>
        </w:rPr>
        <w:t>không</w:t>
      </w:r>
      <w:r w:rsidR="005F46FA" w:rsidRPr="0061573D">
        <w:rPr>
          <w:rFonts w:ascii="Times New Roman" w:eastAsia="Times New Roman" w:hAnsi="Times New Roman" w:cs="Times New Roman"/>
          <w:i/>
          <w:sz w:val="28"/>
          <w:szCs w:val="28"/>
          <w:highlight w:val="yellow"/>
          <w:lang w:bidi="th-TH"/>
        </w:rPr>
        <w:t xml:space="preserve"> thuộc phạm vi cam kết và không chịu</w:t>
      </w:r>
      <w:r w:rsidR="005F7286" w:rsidRPr="0061573D">
        <w:rPr>
          <w:rFonts w:ascii="Times New Roman" w:eastAsia="Times New Roman" w:hAnsi="Times New Roman" w:cs="Times New Roman"/>
          <w:i/>
          <w:sz w:val="28"/>
          <w:szCs w:val="28"/>
          <w:highlight w:val="yellow"/>
          <w:lang w:bidi="th-TH"/>
        </w:rPr>
        <w:t xml:space="preserve"> r</w:t>
      </w:r>
      <w:r w:rsidR="00C15212" w:rsidRPr="0061573D">
        <w:rPr>
          <w:rFonts w:ascii="Times New Roman" w:eastAsia="Times New Roman" w:hAnsi="Times New Roman" w:cs="Times New Roman"/>
          <w:i/>
          <w:sz w:val="28"/>
          <w:szCs w:val="28"/>
          <w:highlight w:val="yellow"/>
          <w:lang w:bidi="th-TH"/>
        </w:rPr>
        <w:t>àng buộc bởi các cam kết quốc tế đã dẫn ở trên</w:t>
      </w:r>
      <w:r w:rsidR="00F4110C" w:rsidRPr="0061573D">
        <w:rPr>
          <w:rFonts w:ascii="Times New Roman" w:eastAsia="Times New Roman" w:hAnsi="Times New Roman" w:cs="Times New Roman"/>
          <w:i/>
          <w:sz w:val="28"/>
          <w:szCs w:val="28"/>
          <w:highlight w:val="yellow"/>
          <w:lang w:bidi="th-TH"/>
        </w:rPr>
        <w:t>.</w:t>
      </w:r>
      <w:bookmarkStart w:id="0" w:name="_GoBack"/>
      <w:bookmarkEnd w:id="0"/>
      <w:r w:rsidR="00F4110C">
        <w:rPr>
          <w:rFonts w:ascii="Times New Roman" w:eastAsia="Times New Roman" w:hAnsi="Times New Roman" w:cs="Times New Roman"/>
          <w:i/>
          <w:sz w:val="28"/>
          <w:szCs w:val="28"/>
          <w:lang w:bidi="th-TH"/>
        </w:rPr>
        <w:t xml:space="preserve"> </w:t>
      </w:r>
    </w:p>
    <w:p w:rsidR="00F67876" w:rsidRPr="00A5402E" w:rsidRDefault="00C15212" w:rsidP="00F67876">
      <w:pPr>
        <w:spacing w:before="120" w:after="120" w:line="360" w:lineRule="exact"/>
        <w:ind w:firstLine="720"/>
        <w:jc w:val="both"/>
        <w:rPr>
          <w:rFonts w:ascii="Times New Roman" w:eastAsia="Times New Roman" w:hAnsi="Times New Roman" w:cs="Times New Roman"/>
          <w:sz w:val="28"/>
          <w:szCs w:val="28"/>
          <w:lang w:val="nl-NL"/>
        </w:rPr>
      </w:pPr>
      <w:r>
        <w:rPr>
          <w:rFonts w:ascii="Times New Roman" w:eastAsia="Calibri" w:hAnsi="Times New Roman" w:cs="Times New Roman"/>
          <w:noProof/>
          <w:sz w:val="28"/>
          <w:szCs w:val="28"/>
        </w:rPr>
        <w:t>Như đã nhiều lần khẳng định và thể hiện rõ trong Hồ sơ dự thảo Nghị định, d</w:t>
      </w:r>
      <w:r w:rsidR="007059F8">
        <w:rPr>
          <w:rFonts w:ascii="Times New Roman" w:eastAsia="Calibri" w:hAnsi="Times New Roman" w:cs="Times New Roman"/>
          <w:noProof/>
          <w:sz w:val="28"/>
          <w:szCs w:val="28"/>
        </w:rPr>
        <w:t xml:space="preserve">ịch vụ trung gian thanh toán là ngành nghề kinh doanh có điều kiện </w:t>
      </w:r>
      <w:r w:rsidR="007059F8" w:rsidRPr="007059F8">
        <w:rPr>
          <w:rFonts w:ascii="Times New Roman" w:eastAsia="Times New Roman" w:hAnsi="Times New Roman" w:cs="Times New Roman"/>
          <w:sz w:val="28"/>
          <w:szCs w:val="28"/>
          <w:lang w:val="nl-NL"/>
        </w:rPr>
        <w:t xml:space="preserve">tác động trực tiếp đến quyền lợi của người tham gia dịch vụ; cũng như ảnh hưởng đến sự ổn định, an ninh, </w:t>
      </w:r>
      <w:r w:rsidR="007059F8" w:rsidRPr="007059F8">
        <w:rPr>
          <w:rFonts w:ascii="Times New Roman" w:eastAsia="Times New Roman" w:hAnsi="Times New Roman" w:cs="Times New Roman"/>
          <w:sz w:val="28"/>
          <w:szCs w:val="28"/>
          <w:lang w:val="nl-NL"/>
        </w:rPr>
        <w:lastRenderedPageBreak/>
        <w:t xml:space="preserve">an toàn trong thực hiện chính sách tiền tệ quốc gia. </w:t>
      </w:r>
      <w:r w:rsidR="007059F8">
        <w:rPr>
          <w:rFonts w:ascii="Times New Roman" w:eastAsia="Times New Roman" w:hAnsi="Times New Roman" w:cs="Times New Roman"/>
          <w:sz w:val="28"/>
          <w:szCs w:val="28"/>
          <w:lang w:val="nl-NL"/>
        </w:rPr>
        <w:t>D</w:t>
      </w:r>
      <w:r w:rsidR="007059F8" w:rsidRPr="007059F8">
        <w:rPr>
          <w:rFonts w:ascii="Times New Roman" w:eastAsia="Calibri" w:hAnsi="Times New Roman" w:cs="Times New Roman"/>
          <w:noProof/>
          <w:sz w:val="28"/>
          <w:szCs w:val="28"/>
          <w:lang w:val="nl-NL"/>
        </w:rPr>
        <w:t>o đó m</w:t>
      </w:r>
      <w:r w:rsidR="007059F8" w:rsidRPr="007059F8">
        <w:rPr>
          <w:rFonts w:ascii="Times New Roman" w:eastAsia="Calibri" w:hAnsi="Times New Roman" w:cs="Times New Roman"/>
          <w:sz w:val="28"/>
          <w:szCs w:val="28"/>
          <w:lang w:val="nl-NL"/>
        </w:rPr>
        <w:t xml:space="preserve">ột trong các điều kiện tổ chức cung ứng dịch vụ </w:t>
      </w:r>
      <w:r w:rsidR="001E5DC4">
        <w:rPr>
          <w:rFonts w:ascii="Times New Roman" w:eastAsia="Calibri" w:hAnsi="Times New Roman" w:cs="Times New Roman"/>
          <w:sz w:val="28"/>
          <w:szCs w:val="28"/>
          <w:lang w:val="nl-NL"/>
        </w:rPr>
        <w:t>trung gian thanh toán</w:t>
      </w:r>
      <w:r w:rsidR="007059F8" w:rsidRPr="007059F8">
        <w:rPr>
          <w:rFonts w:ascii="Times New Roman" w:eastAsia="Calibri" w:hAnsi="Times New Roman" w:cs="Times New Roman"/>
          <w:sz w:val="28"/>
          <w:szCs w:val="28"/>
          <w:lang w:val="nl-NL"/>
        </w:rPr>
        <w:t xml:space="preserve"> phải đáp ứng để được cấp Giấy phép là tỷ lệ tối đa nhà đầu tư nước ngoài góp vốn vào tổ chức </w:t>
      </w:r>
      <w:r w:rsidR="001E5DC4">
        <w:rPr>
          <w:rFonts w:ascii="Times New Roman" w:eastAsia="Calibri" w:hAnsi="Times New Roman" w:cs="Times New Roman"/>
          <w:sz w:val="28"/>
          <w:szCs w:val="28"/>
          <w:lang w:val="nl-NL"/>
        </w:rPr>
        <w:t>trung gian thanh toán</w:t>
      </w:r>
      <w:r w:rsidR="007059F8" w:rsidRPr="007059F8">
        <w:rPr>
          <w:rFonts w:ascii="Times New Roman" w:eastAsia="Calibri" w:hAnsi="Times New Roman" w:cs="Times New Roman"/>
          <w:sz w:val="28"/>
          <w:szCs w:val="28"/>
          <w:lang w:val="nl-NL"/>
        </w:rPr>
        <w:t xml:space="preserve">, quy định này được đề ra </w:t>
      </w:r>
      <w:r w:rsidR="007059F8" w:rsidRPr="00A5402E">
        <w:rPr>
          <w:rFonts w:ascii="Times New Roman" w:eastAsia="Times New Roman" w:hAnsi="Times New Roman" w:cs="Times New Roman"/>
          <w:sz w:val="28"/>
          <w:szCs w:val="28"/>
          <w:lang w:val="nl-NL"/>
        </w:rPr>
        <w:t>nhằm tạo thuận lợi thu hút vốn đầu tư nước ngoài nhưng vẫn bảo đảm được vai trò chủ động của các doanh nghiệp trong nước, bảo đảm an ninh, an toàn cho hoạt động ngân hàng - tài chính, chủ quyền quốc gia trong lĩnh vực tài chính - ngân hàng góp phần phục vụ công tác phòng, chống rửa tiền nhằm tạo sự minh bạch và lành mạnh trong hoạt động cung ứng dịch vụ trung gian thanh toán.</w:t>
      </w:r>
    </w:p>
    <w:p w:rsidR="007059F8" w:rsidRPr="00BC1FC4" w:rsidRDefault="007059F8" w:rsidP="002F5F8A">
      <w:pPr>
        <w:spacing w:before="120" w:after="0" w:line="276" w:lineRule="auto"/>
        <w:ind w:firstLine="720"/>
        <w:jc w:val="both"/>
        <w:rPr>
          <w:rFonts w:ascii="Times New Roman" w:eastAsia="Calibri" w:hAnsi="Times New Roman" w:cs="Times New Roman"/>
          <w:sz w:val="28"/>
          <w:szCs w:val="28"/>
          <w:lang w:val="nl-NL"/>
        </w:rPr>
      </w:pPr>
      <w:r w:rsidRPr="00F4110C">
        <w:rPr>
          <w:rFonts w:ascii="Times New Roman" w:eastAsia="Calibri" w:hAnsi="Times New Roman" w:cs="Times New Roman"/>
          <w:sz w:val="28"/>
          <w:szCs w:val="28"/>
          <w:lang w:val="nl-NL"/>
        </w:rPr>
        <w:t xml:space="preserve">Tại Hồ sơ lập đề nghị xây dựng Nghị định trình Chính phủ, NHNN đã dự kiến trình tỷ lệ góp vốn của nhà đầu tư tối đa là 30%, tuy nhiên, trong quá trình lắng nghe, tiếp thu các ý kiến góp ý </w:t>
      </w:r>
      <w:r w:rsidR="00C15212">
        <w:rPr>
          <w:rFonts w:ascii="Times New Roman" w:eastAsia="Calibri" w:hAnsi="Times New Roman" w:cs="Times New Roman"/>
          <w:sz w:val="28"/>
          <w:szCs w:val="28"/>
          <w:lang w:val="nl-NL"/>
        </w:rPr>
        <w:t xml:space="preserve">của </w:t>
      </w:r>
      <w:r w:rsidRPr="00F4110C">
        <w:rPr>
          <w:rFonts w:ascii="Times New Roman" w:eastAsia="Calibri" w:hAnsi="Times New Roman" w:cs="Times New Roman"/>
          <w:sz w:val="28"/>
          <w:szCs w:val="28"/>
          <w:lang w:val="nl-NL"/>
        </w:rPr>
        <w:t>đại diện một số tổ chức có liên quan, NHNN đã tiếp thu và nâng tỷ lệ góp vốn lên tối đa là 49%</w:t>
      </w:r>
      <w:r w:rsidR="00C15212">
        <w:rPr>
          <w:rFonts w:ascii="Times New Roman" w:eastAsia="Calibri" w:hAnsi="Times New Roman" w:cs="Times New Roman"/>
          <w:sz w:val="28"/>
          <w:szCs w:val="28"/>
          <w:lang w:val="nl-NL"/>
        </w:rPr>
        <w:t xml:space="preserve"> như tại dự thảo mới nhất</w:t>
      </w:r>
      <w:r w:rsidRPr="00F4110C">
        <w:rPr>
          <w:rFonts w:ascii="Times New Roman" w:eastAsia="Calibri" w:hAnsi="Times New Roman" w:cs="Times New Roman"/>
          <w:sz w:val="28"/>
          <w:szCs w:val="28"/>
          <w:lang w:val="nl-NL"/>
        </w:rPr>
        <w:t xml:space="preserve">. </w:t>
      </w:r>
      <w:r w:rsidR="00A014D4" w:rsidRPr="00BC1FC4">
        <w:rPr>
          <w:rFonts w:ascii="Times New Roman" w:eastAsia="Calibri" w:hAnsi="Times New Roman" w:cs="Times New Roman"/>
          <w:sz w:val="28"/>
          <w:szCs w:val="28"/>
          <w:lang w:val="nl-NL"/>
        </w:rPr>
        <w:t>Như vậy, tỷ lệ này là phù hợp trong bối cảnh hiện nay</w:t>
      </w:r>
      <w:r w:rsidR="00C15212" w:rsidRPr="00BC1FC4">
        <w:rPr>
          <w:rFonts w:ascii="Times New Roman" w:eastAsia="Calibri" w:hAnsi="Times New Roman" w:cs="Times New Roman"/>
          <w:sz w:val="28"/>
          <w:szCs w:val="28"/>
          <w:lang w:val="nl-NL"/>
        </w:rPr>
        <w:t>,</w:t>
      </w:r>
      <w:r w:rsidR="00A014D4" w:rsidRPr="00BC1FC4">
        <w:rPr>
          <w:rFonts w:ascii="Times New Roman" w:eastAsia="Calibri" w:hAnsi="Times New Roman" w:cs="Times New Roman"/>
          <w:sz w:val="28"/>
          <w:szCs w:val="28"/>
          <w:lang w:val="nl-NL"/>
        </w:rPr>
        <w:t xml:space="preserve"> vừa đảm bảo nguyên tắc chủ quyền quốc gia, vừa đảm bảo an ninh an toàn tiền tệ cũng như tạo điều kiện cho các doanh nghiệp trong nước có cơ hội cạnh tranh bình đẳng mà vẫn tranh thủ thu hút được vốn nhà đầu tư nước ngoài nhằm đảm bảo hài hòa lợi ích giữa các bên.</w:t>
      </w:r>
    </w:p>
    <w:p w:rsidR="000E0E71" w:rsidRDefault="00F41835" w:rsidP="002F5F8A">
      <w:pPr>
        <w:spacing w:before="120" w:after="0" w:line="276" w:lineRule="auto"/>
        <w:ind w:firstLine="720"/>
        <w:jc w:val="both"/>
        <w:rPr>
          <w:rFonts w:ascii="Times New Roman" w:eastAsia="Calibri" w:hAnsi="Times New Roman" w:cs="Times New Roman"/>
          <w:sz w:val="28"/>
          <w:szCs w:val="28"/>
          <w:lang w:val="nl-NL"/>
        </w:rPr>
      </w:pPr>
      <w:r w:rsidRPr="00BC1FC4">
        <w:rPr>
          <w:rFonts w:ascii="Times New Roman" w:eastAsia="Calibri" w:hAnsi="Times New Roman" w:cs="Times New Roman"/>
          <w:sz w:val="28"/>
          <w:szCs w:val="28"/>
          <w:lang w:val="nl-NL"/>
        </w:rPr>
        <w:t xml:space="preserve">Trong quá trình </w:t>
      </w:r>
      <w:r w:rsidR="00C15212" w:rsidRPr="00BC1FC4">
        <w:rPr>
          <w:rFonts w:ascii="Times New Roman" w:eastAsia="Calibri" w:hAnsi="Times New Roman" w:cs="Times New Roman"/>
          <w:sz w:val="28"/>
          <w:szCs w:val="28"/>
          <w:lang w:val="nl-NL"/>
        </w:rPr>
        <w:t>t</w:t>
      </w:r>
      <w:r w:rsidRPr="00BC1FC4">
        <w:rPr>
          <w:rFonts w:ascii="Times New Roman" w:eastAsia="Calibri" w:hAnsi="Times New Roman" w:cs="Times New Roman"/>
          <w:sz w:val="28"/>
          <w:szCs w:val="28"/>
          <w:lang w:val="nl-NL"/>
        </w:rPr>
        <w:t>ổng hợp</w:t>
      </w:r>
      <w:r w:rsidR="00C15212" w:rsidRPr="00BC1FC4">
        <w:rPr>
          <w:rFonts w:ascii="Times New Roman" w:eastAsia="Calibri" w:hAnsi="Times New Roman" w:cs="Times New Roman"/>
          <w:sz w:val="28"/>
          <w:szCs w:val="28"/>
          <w:lang w:val="nl-NL"/>
        </w:rPr>
        <w:t xml:space="preserve"> ý kiến góp ý hoàn thiện dự thảo, NHNN</w:t>
      </w:r>
      <w:r w:rsidR="00F4110C" w:rsidRPr="00BC1FC4">
        <w:rPr>
          <w:rFonts w:ascii="Times New Roman" w:eastAsia="Calibri" w:hAnsi="Times New Roman" w:cs="Times New Roman"/>
          <w:sz w:val="28"/>
          <w:szCs w:val="28"/>
          <w:lang w:val="nl-NL"/>
        </w:rPr>
        <w:t xml:space="preserve"> luôn cầu thị</w:t>
      </w:r>
      <w:r w:rsidR="00C15212" w:rsidRPr="00BC1FC4">
        <w:rPr>
          <w:rFonts w:ascii="Times New Roman" w:eastAsia="Calibri" w:hAnsi="Times New Roman" w:cs="Times New Roman"/>
          <w:sz w:val="28"/>
          <w:szCs w:val="28"/>
          <w:lang w:val="nl-NL"/>
        </w:rPr>
        <w:t xml:space="preserve">, lắng nghe ý kiến nhiều bên, trong đó có cộng đồng doanh nghiệp trung gian thanh toán có quyền và lợi ích liên quan tới quy định này. </w:t>
      </w:r>
      <w:r w:rsidR="000E0E71" w:rsidRPr="00BC1FC4">
        <w:rPr>
          <w:rFonts w:ascii="Times New Roman" w:eastAsia="Calibri" w:hAnsi="Times New Roman" w:cs="Times New Roman"/>
          <w:sz w:val="28"/>
          <w:szCs w:val="28"/>
          <w:lang w:val="nl-NL"/>
        </w:rPr>
        <w:t>NHNN cam kết đảm bảo Việt Nam sẽ tuân thủ cam kết quốc tế trong các Hiệp định liên quan như WTO, CPTPP có nội dung liên quan đến dịch vụ thanh toán, dịch vụ thanh toán thẻ điện tử</w:t>
      </w:r>
      <w:r w:rsidR="00C15212" w:rsidRPr="00BC1FC4">
        <w:rPr>
          <w:rFonts w:ascii="Times New Roman" w:eastAsia="Calibri" w:hAnsi="Times New Roman" w:cs="Times New Roman"/>
          <w:sz w:val="28"/>
          <w:szCs w:val="28"/>
          <w:lang w:val="nl-NL"/>
        </w:rPr>
        <w:t xml:space="preserve"> và sẽ tiếp tục rà soát các quy định có liên quan về dịch vụ thanh toán tại Hiệp định bảo hộ</w:t>
      </w:r>
      <w:r w:rsidR="000E0E71" w:rsidRPr="00BC1FC4">
        <w:rPr>
          <w:rFonts w:ascii="Times New Roman" w:eastAsia="Calibri" w:hAnsi="Times New Roman" w:cs="Times New Roman"/>
          <w:sz w:val="28"/>
          <w:szCs w:val="28"/>
          <w:lang w:val="nl-NL"/>
        </w:rPr>
        <w:t xml:space="preserve"> </w:t>
      </w:r>
      <w:r w:rsidR="00C15212" w:rsidRPr="00BC1FC4">
        <w:rPr>
          <w:rFonts w:ascii="Times New Roman" w:eastAsia="Calibri" w:hAnsi="Times New Roman" w:cs="Times New Roman"/>
          <w:sz w:val="28"/>
          <w:szCs w:val="28"/>
          <w:lang w:val="nl-NL"/>
        </w:rPr>
        <w:t>đầu tư, Hiệp định thương mại song phương với một số nước, đảm bảo tuân thủ các cam kết quốc tế mà Việt Nam đã tham gia</w:t>
      </w:r>
      <w:r w:rsidR="000E0E71" w:rsidRPr="00BC1FC4">
        <w:rPr>
          <w:rFonts w:ascii="Times New Roman" w:eastAsia="Calibri" w:hAnsi="Times New Roman" w:cs="Times New Roman"/>
          <w:sz w:val="28"/>
          <w:szCs w:val="28"/>
          <w:lang w:val="nl-NL"/>
        </w:rPr>
        <w:t>.</w:t>
      </w:r>
      <w:r w:rsidR="009A537E" w:rsidRPr="00BC1FC4">
        <w:rPr>
          <w:rFonts w:ascii="Times New Roman" w:eastAsia="Calibri" w:hAnsi="Times New Roman" w:cs="Times New Roman"/>
          <w:sz w:val="28"/>
          <w:szCs w:val="28"/>
          <w:lang w:val="nl-NL"/>
        </w:rPr>
        <w:t xml:space="preserve"> Đại diện NHNN cám ơn ý kiến góp ý của các Hiệp hội ngành nghề, các tổ chức cung ứng dịch vụ trung gian thanh toán, và ý kiến của một số chuyên gia và mong sẽ tiếp tục nhận được nhiều ý kiến góp ý cụ thể, xác đáng để hoàn thiện dự thảo Nghị định.</w:t>
      </w:r>
      <w:r w:rsidR="00C15212" w:rsidRPr="00BC1FC4">
        <w:rPr>
          <w:rFonts w:ascii="Times New Roman" w:eastAsia="Calibri" w:hAnsi="Times New Roman" w:cs="Times New Roman"/>
          <w:sz w:val="28"/>
          <w:szCs w:val="28"/>
          <w:lang w:val="nl-NL"/>
        </w:rPr>
        <w:t>/.</w:t>
      </w:r>
    </w:p>
    <w:p w:rsidR="00BC1FC4" w:rsidRPr="00BC1FC4" w:rsidRDefault="00BC1FC4" w:rsidP="002F5F8A">
      <w:pPr>
        <w:spacing w:before="120" w:after="0" w:line="276" w:lineRule="auto"/>
        <w:ind w:firstLine="720"/>
        <w:jc w:val="both"/>
        <w:rPr>
          <w:rFonts w:ascii="Times New Roman" w:eastAsia="Calibri" w:hAnsi="Times New Roman" w:cs="Times New Roman"/>
          <w:sz w:val="28"/>
          <w:szCs w:val="28"/>
          <w:lang w:val="nl-NL"/>
        </w:rPr>
      </w:pPr>
    </w:p>
    <w:p w:rsidR="007059F8" w:rsidRPr="00BC1FC4" w:rsidRDefault="007059F8" w:rsidP="002F5F8A">
      <w:pPr>
        <w:spacing w:before="120" w:after="0" w:line="276" w:lineRule="auto"/>
        <w:ind w:firstLine="720"/>
        <w:jc w:val="both"/>
        <w:rPr>
          <w:rFonts w:ascii="Times New Roman" w:eastAsia="Calibri" w:hAnsi="Times New Roman" w:cs="Times New Roman"/>
          <w:sz w:val="28"/>
          <w:szCs w:val="28"/>
          <w:lang w:val="nl-NL"/>
        </w:rPr>
      </w:pPr>
    </w:p>
    <w:p w:rsidR="001E63FE" w:rsidRPr="00A751C3" w:rsidRDefault="001E63FE" w:rsidP="002F5F8A">
      <w:pPr>
        <w:spacing w:before="120" w:after="0" w:line="276" w:lineRule="auto"/>
        <w:jc w:val="both"/>
        <w:rPr>
          <w:rFonts w:ascii="Times New Roman" w:hAnsi="Times New Roman" w:cs="Times New Roman"/>
          <w:sz w:val="26"/>
          <w:szCs w:val="26"/>
          <w:lang w:val="pt-BR"/>
        </w:rPr>
      </w:pPr>
    </w:p>
    <w:sectPr w:rsidR="001E63FE" w:rsidRPr="00A751C3" w:rsidSect="00906155">
      <w:headerReference w:type="even" r:id="rId8"/>
      <w:headerReference w:type="default" r:id="rId9"/>
      <w:footerReference w:type="even" r:id="rId10"/>
      <w:footerReference w:type="default" r:id="rId11"/>
      <w:headerReference w:type="first" r:id="rId12"/>
      <w:footerReference w:type="first" r:id="rId13"/>
      <w:pgSz w:w="11907" w:h="16839" w:code="9"/>
      <w:pgMar w:top="1440" w:right="85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2A" w:rsidRDefault="00376A2A" w:rsidP="009B40D4">
      <w:pPr>
        <w:spacing w:after="0" w:line="240" w:lineRule="auto"/>
      </w:pPr>
      <w:r>
        <w:separator/>
      </w:r>
    </w:p>
  </w:endnote>
  <w:endnote w:type="continuationSeparator" w:id="0">
    <w:p w:rsidR="00376A2A" w:rsidRDefault="00376A2A" w:rsidP="009B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B2" w:rsidRDefault="002C7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743701"/>
      <w:docPartObj>
        <w:docPartGallery w:val="Page Numbers (Bottom of Page)"/>
        <w:docPartUnique/>
      </w:docPartObj>
    </w:sdtPr>
    <w:sdtEndPr>
      <w:rPr>
        <w:noProof/>
      </w:rPr>
    </w:sdtEndPr>
    <w:sdtContent>
      <w:p w:rsidR="002C7DB2" w:rsidRDefault="002C7DB2">
        <w:pPr>
          <w:pStyle w:val="Footer"/>
          <w:jc w:val="center"/>
        </w:pPr>
        <w:r>
          <w:fldChar w:fldCharType="begin"/>
        </w:r>
        <w:r>
          <w:instrText xml:space="preserve"> PAGE   \* MERGEFORMAT </w:instrText>
        </w:r>
        <w:r>
          <w:fldChar w:fldCharType="separate"/>
        </w:r>
        <w:r w:rsidR="0061573D">
          <w:rPr>
            <w:noProof/>
          </w:rPr>
          <w:t>2</w:t>
        </w:r>
        <w:r>
          <w:rPr>
            <w:noProof/>
          </w:rPr>
          <w:fldChar w:fldCharType="end"/>
        </w:r>
      </w:p>
    </w:sdtContent>
  </w:sdt>
  <w:p w:rsidR="002C7DB2" w:rsidRDefault="002C7D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B2" w:rsidRDefault="002C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2A" w:rsidRDefault="00376A2A" w:rsidP="009B40D4">
      <w:pPr>
        <w:spacing w:after="0" w:line="240" w:lineRule="auto"/>
      </w:pPr>
      <w:r>
        <w:separator/>
      </w:r>
    </w:p>
  </w:footnote>
  <w:footnote w:type="continuationSeparator" w:id="0">
    <w:p w:rsidR="00376A2A" w:rsidRDefault="00376A2A" w:rsidP="009B4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B2" w:rsidRDefault="002C7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B2" w:rsidRDefault="002C7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B2" w:rsidRDefault="002C7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542"/>
    <w:multiLevelType w:val="hybridMultilevel"/>
    <w:tmpl w:val="9A5AF056"/>
    <w:lvl w:ilvl="0" w:tplc="E7009D6A">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1034ACF"/>
    <w:multiLevelType w:val="hybridMultilevel"/>
    <w:tmpl w:val="C22E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86683"/>
    <w:multiLevelType w:val="hybridMultilevel"/>
    <w:tmpl w:val="E744B814"/>
    <w:lvl w:ilvl="0" w:tplc="6CD46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50"/>
    <w:rsid w:val="00000252"/>
    <w:rsid w:val="00015062"/>
    <w:rsid w:val="00023586"/>
    <w:rsid w:val="000333A9"/>
    <w:rsid w:val="00037B1B"/>
    <w:rsid w:val="00041868"/>
    <w:rsid w:val="00045378"/>
    <w:rsid w:val="00052CBD"/>
    <w:rsid w:val="00062EED"/>
    <w:rsid w:val="00085F76"/>
    <w:rsid w:val="000B0104"/>
    <w:rsid w:val="000B59F5"/>
    <w:rsid w:val="000C12DD"/>
    <w:rsid w:val="000E0B02"/>
    <w:rsid w:val="000E0E71"/>
    <w:rsid w:val="001441E2"/>
    <w:rsid w:val="00152B3E"/>
    <w:rsid w:val="00154D9B"/>
    <w:rsid w:val="00156143"/>
    <w:rsid w:val="001A08C5"/>
    <w:rsid w:val="001A32CC"/>
    <w:rsid w:val="001C0E86"/>
    <w:rsid w:val="001D411F"/>
    <w:rsid w:val="001E5DC4"/>
    <w:rsid w:val="001E63FE"/>
    <w:rsid w:val="001F1014"/>
    <w:rsid w:val="001F263E"/>
    <w:rsid w:val="002450BC"/>
    <w:rsid w:val="002675EC"/>
    <w:rsid w:val="002C4157"/>
    <w:rsid w:val="002C7DB2"/>
    <w:rsid w:val="002D0485"/>
    <w:rsid w:val="002F1F42"/>
    <w:rsid w:val="002F5F8A"/>
    <w:rsid w:val="00320C64"/>
    <w:rsid w:val="00325D47"/>
    <w:rsid w:val="0033091F"/>
    <w:rsid w:val="00340BC8"/>
    <w:rsid w:val="003445F1"/>
    <w:rsid w:val="003545BB"/>
    <w:rsid w:val="0035661B"/>
    <w:rsid w:val="00376A2A"/>
    <w:rsid w:val="003B464B"/>
    <w:rsid w:val="003D7CA8"/>
    <w:rsid w:val="003E7E8B"/>
    <w:rsid w:val="00404523"/>
    <w:rsid w:val="00404AFC"/>
    <w:rsid w:val="00417992"/>
    <w:rsid w:val="00421D1C"/>
    <w:rsid w:val="0044044A"/>
    <w:rsid w:val="00451DE9"/>
    <w:rsid w:val="004570E7"/>
    <w:rsid w:val="004D656F"/>
    <w:rsid w:val="00512366"/>
    <w:rsid w:val="005202AA"/>
    <w:rsid w:val="00531840"/>
    <w:rsid w:val="005505FB"/>
    <w:rsid w:val="00557646"/>
    <w:rsid w:val="00564FCA"/>
    <w:rsid w:val="0059440C"/>
    <w:rsid w:val="00595A50"/>
    <w:rsid w:val="00595F09"/>
    <w:rsid w:val="005B2A4D"/>
    <w:rsid w:val="005B5304"/>
    <w:rsid w:val="005B6901"/>
    <w:rsid w:val="005F46FA"/>
    <w:rsid w:val="005F70D9"/>
    <w:rsid w:val="005F7286"/>
    <w:rsid w:val="006029E9"/>
    <w:rsid w:val="0061573D"/>
    <w:rsid w:val="00623FFA"/>
    <w:rsid w:val="00654FE3"/>
    <w:rsid w:val="006553B8"/>
    <w:rsid w:val="00655BC9"/>
    <w:rsid w:val="0065620B"/>
    <w:rsid w:val="00694AF9"/>
    <w:rsid w:val="006B4D2B"/>
    <w:rsid w:val="006C3546"/>
    <w:rsid w:val="006D7B97"/>
    <w:rsid w:val="006E7C42"/>
    <w:rsid w:val="006F15BF"/>
    <w:rsid w:val="006F6E79"/>
    <w:rsid w:val="0070188E"/>
    <w:rsid w:val="007059F8"/>
    <w:rsid w:val="00706B48"/>
    <w:rsid w:val="007321AE"/>
    <w:rsid w:val="0075708B"/>
    <w:rsid w:val="00770E2F"/>
    <w:rsid w:val="0078010F"/>
    <w:rsid w:val="00783DAD"/>
    <w:rsid w:val="00795AFF"/>
    <w:rsid w:val="007A10EF"/>
    <w:rsid w:val="00801728"/>
    <w:rsid w:val="00805BF3"/>
    <w:rsid w:val="008318B8"/>
    <w:rsid w:val="00843D62"/>
    <w:rsid w:val="00845428"/>
    <w:rsid w:val="00867ECF"/>
    <w:rsid w:val="00892AF0"/>
    <w:rsid w:val="00895FD2"/>
    <w:rsid w:val="008A2D99"/>
    <w:rsid w:val="008A2D9F"/>
    <w:rsid w:val="008C13D8"/>
    <w:rsid w:val="008C5F91"/>
    <w:rsid w:val="008D0833"/>
    <w:rsid w:val="008D0B0B"/>
    <w:rsid w:val="008D0CCC"/>
    <w:rsid w:val="008D69A2"/>
    <w:rsid w:val="008F6989"/>
    <w:rsid w:val="00903525"/>
    <w:rsid w:val="00906155"/>
    <w:rsid w:val="00925DBC"/>
    <w:rsid w:val="00932613"/>
    <w:rsid w:val="0093354F"/>
    <w:rsid w:val="00937C8D"/>
    <w:rsid w:val="0095570A"/>
    <w:rsid w:val="00963A5C"/>
    <w:rsid w:val="00964A49"/>
    <w:rsid w:val="00965717"/>
    <w:rsid w:val="0097757E"/>
    <w:rsid w:val="0098553D"/>
    <w:rsid w:val="009946DB"/>
    <w:rsid w:val="00996118"/>
    <w:rsid w:val="009A2873"/>
    <w:rsid w:val="009A537E"/>
    <w:rsid w:val="009B40D4"/>
    <w:rsid w:val="009B6D6A"/>
    <w:rsid w:val="009C2DD0"/>
    <w:rsid w:val="009E247A"/>
    <w:rsid w:val="009F5B0C"/>
    <w:rsid w:val="00A014D4"/>
    <w:rsid w:val="00A030CE"/>
    <w:rsid w:val="00A10E17"/>
    <w:rsid w:val="00A5402E"/>
    <w:rsid w:val="00A751C3"/>
    <w:rsid w:val="00A7572C"/>
    <w:rsid w:val="00AC7026"/>
    <w:rsid w:val="00AE0445"/>
    <w:rsid w:val="00AF5B54"/>
    <w:rsid w:val="00B12A02"/>
    <w:rsid w:val="00B20A72"/>
    <w:rsid w:val="00B24A15"/>
    <w:rsid w:val="00B372E7"/>
    <w:rsid w:val="00B414FC"/>
    <w:rsid w:val="00B42107"/>
    <w:rsid w:val="00B440BC"/>
    <w:rsid w:val="00B648A6"/>
    <w:rsid w:val="00B81480"/>
    <w:rsid w:val="00B84AD0"/>
    <w:rsid w:val="00BB26C5"/>
    <w:rsid w:val="00BB35E5"/>
    <w:rsid w:val="00BC1FC4"/>
    <w:rsid w:val="00BC5780"/>
    <w:rsid w:val="00BD50AD"/>
    <w:rsid w:val="00BE161E"/>
    <w:rsid w:val="00BE63D8"/>
    <w:rsid w:val="00BF19E9"/>
    <w:rsid w:val="00C065D3"/>
    <w:rsid w:val="00C10E0F"/>
    <w:rsid w:val="00C15212"/>
    <w:rsid w:val="00C26E81"/>
    <w:rsid w:val="00C36DB3"/>
    <w:rsid w:val="00C55E9C"/>
    <w:rsid w:val="00C5751E"/>
    <w:rsid w:val="00C61F05"/>
    <w:rsid w:val="00C80062"/>
    <w:rsid w:val="00CA130F"/>
    <w:rsid w:val="00CB0596"/>
    <w:rsid w:val="00CC1B3B"/>
    <w:rsid w:val="00CD14CB"/>
    <w:rsid w:val="00CD19A1"/>
    <w:rsid w:val="00CE2C09"/>
    <w:rsid w:val="00D0536A"/>
    <w:rsid w:val="00D13E1B"/>
    <w:rsid w:val="00D44441"/>
    <w:rsid w:val="00DA6566"/>
    <w:rsid w:val="00DB40B0"/>
    <w:rsid w:val="00DC202E"/>
    <w:rsid w:val="00DD70AA"/>
    <w:rsid w:val="00DE561A"/>
    <w:rsid w:val="00E52386"/>
    <w:rsid w:val="00E754C7"/>
    <w:rsid w:val="00E8098F"/>
    <w:rsid w:val="00E83774"/>
    <w:rsid w:val="00E8585F"/>
    <w:rsid w:val="00EB491E"/>
    <w:rsid w:val="00ED5541"/>
    <w:rsid w:val="00F201E2"/>
    <w:rsid w:val="00F4110C"/>
    <w:rsid w:val="00F41835"/>
    <w:rsid w:val="00F45321"/>
    <w:rsid w:val="00F55B0D"/>
    <w:rsid w:val="00F612E9"/>
    <w:rsid w:val="00F66485"/>
    <w:rsid w:val="00F67876"/>
    <w:rsid w:val="00F7149F"/>
    <w:rsid w:val="00F86F2A"/>
    <w:rsid w:val="00FC1B1E"/>
    <w:rsid w:val="00FD624E"/>
    <w:rsid w:val="00FD791D"/>
    <w:rsid w:val="00FE54FB"/>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77701-A512-4CD5-A6BB-75A63E46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B54"/>
    <w:pPr>
      <w:ind w:left="720"/>
      <w:contextualSpacing/>
    </w:pPr>
  </w:style>
  <w:style w:type="paragraph" w:styleId="FootnoteText">
    <w:name w:val="footnote text"/>
    <w:basedOn w:val="Normal"/>
    <w:link w:val="FootnoteTextChar"/>
    <w:uiPriority w:val="99"/>
    <w:semiHidden/>
    <w:unhideWhenUsed/>
    <w:rsid w:val="009B4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0D4"/>
    <w:rPr>
      <w:sz w:val="20"/>
      <w:szCs w:val="20"/>
    </w:rPr>
  </w:style>
  <w:style w:type="character" w:styleId="FootnoteReference">
    <w:name w:val="footnote reference"/>
    <w:basedOn w:val="DefaultParagraphFont"/>
    <w:uiPriority w:val="99"/>
    <w:semiHidden/>
    <w:unhideWhenUsed/>
    <w:rsid w:val="009B40D4"/>
    <w:rPr>
      <w:vertAlign w:val="superscript"/>
    </w:rPr>
  </w:style>
  <w:style w:type="paragraph" w:styleId="NormalWeb">
    <w:name w:val="Normal (Web)"/>
    <w:basedOn w:val="Normal"/>
    <w:uiPriority w:val="99"/>
    <w:unhideWhenUsed/>
    <w:rsid w:val="00E754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7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B2"/>
  </w:style>
  <w:style w:type="paragraph" w:styleId="Footer">
    <w:name w:val="footer"/>
    <w:basedOn w:val="Normal"/>
    <w:link w:val="FooterChar"/>
    <w:uiPriority w:val="99"/>
    <w:unhideWhenUsed/>
    <w:rsid w:val="002C7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B2"/>
  </w:style>
  <w:style w:type="paragraph" w:styleId="BalloonText">
    <w:name w:val="Balloon Text"/>
    <w:basedOn w:val="Normal"/>
    <w:link w:val="BalloonTextChar"/>
    <w:uiPriority w:val="99"/>
    <w:semiHidden/>
    <w:unhideWhenUsed/>
    <w:rsid w:val="0099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18"/>
    <w:rPr>
      <w:rFonts w:ascii="Tahoma" w:hAnsi="Tahoma" w:cs="Tahoma"/>
      <w:sz w:val="16"/>
      <w:szCs w:val="16"/>
    </w:rPr>
  </w:style>
  <w:style w:type="character" w:styleId="Emphasis">
    <w:name w:val="Emphasis"/>
    <w:basedOn w:val="DefaultParagraphFont"/>
    <w:uiPriority w:val="20"/>
    <w:qFormat/>
    <w:rsid w:val="00D13E1B"/>
    <w:rPr>
      <w:i/>
      <w:iCs/>
    </w:rPr>
  </w:style>
  <w:style w:type="character" w:styleId="CommentReference">
    <w:name w:val="annotation reference"/>
    <w:basedOn w:val="DefaultParagraphFont"/>
    <w:uiPriority w:val="99"/>
    <w:semiHidden/>
    <w:unhideWhenUsed/>
    <w:rsid w:val="00BC1FC4"/>
    <w:rPr>
      <w:sz w:val="16"/>
      <w:szCs w:val="16"/>
    </w:rPr>
  </w:style>
  <w:style w:type="paragraph" w:styleId="CommentText">
    <w:name w:val="annotation text"/>
    <w:basedOn w:val="Normal"/>
    <w:link w:val="CommentTextChar"/>
    <w:uiPriority w:val="99"/>
    <w:semiHidden/>
    <w:unhideWhenUsed/>
    <w:rsid w:val="00BC1FC4"/>
    <w:pPr>
      <w:spacing w:line="240" w:lineRule="auto"/>
    </w:pPr>
    <w:rPr>
      <w:sz w:val="20"/>
      <w:szCs w:val="20"/>
    </w:rPr>
  </w:style>
  <w:style w:type="character" w:customStyle="1" w:styleId="CommentTextChar">
    <w:name w:val="Comment Text Char"/>
    <w:basedOn w:val="DefaultParagraphFont"/>
    <w:link w:val="CommentText"/>
    <w:uiPriority w:val="99"/>
    <w:semiHidden/>
    <w:rsid w:val="00BC1FC4"/>
    <w:rPr>
      <w:sz w:val="20"/>
      <w:szCs w:val="20"/>
    </w:rPr>
  </w:style>
  <w:style w:type="paragraph" w:styleId="CommentSubject">
    <w:name w:val="annotation subject"/>
    <w:basedOn w:val="CommentText"/>
    <w:next w:val="CommentText"/>
    <w:link w:val="CommentSubjectChar"/>
    <w:uiPriority w:val="99"/>
    <w:semiHidden/>
    <w:unhideWhenUsed/>
    <w:rsid w:val="00BC1FC4"/>
    <w:rPr>
      <w:b/>
      <w:bCs/>
    </w:rPr>
  </w:style>
  <w:style w:type="character" w:customStyle="1" w:styleId="CommentSubjectChar">
    <w:name w:val="Comment Subject Char"/>
    <w:basedOn w:val="CommentTextChar"/>
    <w:link w:val="CommentSubject"/>
    <w:uiPriority w:val="99"/>
    <w:semiHidden/>
    <w:rsid w:val="00BC1FC4"/>
    <w:rPr>
      <w:b/>
      <w:bCs/>
      <w:sz w:val="20"/>
      <w:szCs w:val="20"/>
    </w:rPr>
  </w:style>
  <w:style w:type="paragraph" w:styleId="Revision">
    <w:name w:val="Revision"/>
    <w:hidden/>
    <w:uiPriority w:val="99"/>
    <w:semiHidden/>
    <w:rsid w:val="00F67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80082">
      <w:bodyDiv w:val="1"/>
      <w:marLeft w:val="0"/>
      <w:marRight w:val="0"/>
      <w:marTop w:val="0"/>
      <w:marBottom w:val="0"/>
      <w:divBdr>
        <w:top w:val="none" w:sz="0" w:space="0" w:color="auto"/>
        <w:left w:val="none" w:sz="0" w:space="0" w:color="auto"/>
        <w:bottom w:val="none" w:sz="0" w:space="0" w:color="auto"/>
        <w:right w:val="none" w:sz="0" w:space="0" w:color="auto"/>
      </w:divBdr>
      <w:divsChild>
        <w:div w:id="675033839">
          <w:marLeft w:val="0"/>
          <w:marRight w:val="0"/>
          <w:marTop w:val="0"/>
          <w:marBottom w:val="0"/>
          <w:divBdr>
            <w:top w:val="none" w:sz="0" w:space="0" w:color="auto"/>
            <w:left w:val="none" w:sz="0" w:space="0" w:color="auto"/>
            <w:bottom w:val="none" w:sz="0" w:space="0" w:color="auto"/>
            <w:right w:val="none" w:sz="0" w:space="0" w:color="auto"/>
          </w:divBdr>
        </w:div>
        <w:div w:id="271862142">
          <w:marLeft w:val="0"/>
          <w:marRight w:val="0"/>
          <w:marTop w:val="208"/>
          <w:marBottom w:val="0"/>
          <w:divBdr>
            <w:top w:val="none" w:sz="0" w:space="0" w:color="auto"/>
            <w:left w:val="none" w:sz="0" w:space="0" w:color="auto"/>
            <w:bottom w:val="none" w:sz="0" w:space="0" w:color="auto"/>
            <w:right w:val="none" w:sz="0" w:space="0" w:color="auto"/>
          </w:divBdr>
        </w:div>
      </w:divsChild>
    </w:div>
    <w:div w:id="696661116">
      <w:bodyDiv w:val="1"/>
      <w:marLeft w:val="0"/>
      <w:marRight w:val="0"/>
      <w:marTop w:val="0"/>
      <w:marBottom w:val="0"/>
      <w:divBdr>
        <w:top w:val="none" w:sz="0" w:space="0" w:color="auto"/>
        <w:left w:val="none" w:sz="0" w:space="0" w:color="auto"/>
        <w:bottom w:val="none" w:sz="0" w:space="0" w:color="auto"/>
        <w:right w:val="none" w:sz="0" w:space="0" w:color="auto"/>
      </w:divBdr>
      <w:divsChild>
        <w:div w:id="1820540192">
          <w:marLeft w:val="0"/>
          <w:marRight w:val="0"/>
          <w:marTop w:val="0"/>
          <w:marBottom w:val="0"/>
          <w:divBdr>
            <w:top w:val="none" w:sz="0" w:space="0" w:color="auto"/>
            <w:left w:val="none" w:sz="0" w:space="0" w:color="auto"/>
            <w:bottom w:val="none" w:sz="0" w:space="0" w:color="auto"/>
            <w:right w:val="none" w:sz="0" w:space="0" w:color="auto"/>
          </w:divBdr>
        </w:div>
        <w:div w:id="449133672">
          <w:marLeft w:val="0"/>
          <w:marRight w:val="0"/>
          <w:marTop w:val="0"/>
          <w:marBottom w:val="0"/>
          <w:divBdr>
            <w:top w:val="none" w:sz="0" w:space="0" w:color="auto"/>
            <w:left w:val="none" w:sz="0" w:space="0" w:color="auto"/>
            <w:bottom w:val="none" w:sz="0" w:space="0" w:color="auto"/>
            <w:right w:val="none" w:sz="0" w:space="0" w:color="auto"/>
          </w:divBdr>
        </w:div>
        <w:div w:id="2033802254">
          <w:marLeft w:val="0"/>
          <w:marRight w:val="0"/>
          <w:marTop w:val="0"/>
          <w:marBottom w:val="0"/>
          <w:divBdr>
            <w:top w:val="none" w:sz="0" w:space="0" w:color="auto"/>
            <w:left w:val="none" w:sz="0" w:space="0" w:color="auto"/>
            <w:bottom w:val="none" w:sz="0" w:space="0" w:color="auto"/>
            <w:right w:val="none" w:sz="0" w:space="0" w:color="auto"/>
          </w:divBdr>
        </w:div>
      </w:divsChild>
    </w:div>
    <w:div w:id="806434066">
      <w:bodyDiv w:val="1"/>
      <w:marLeft w:val="0"/>
      <w:marRight w:val="0"/>
      <w:marTop w:val="0"/>
      <w:marBottom w:val="0"/>
      <w:divBdr>
        <w:top w:val="none" w:sz="0" w:space="0" w:color="auto"/>
        <w:left w:val="none" w:sz="0" w:space="0" w:color="auto"/>
        <w:bottom w:val="none" w:sz="0" w:space="0" w:color="auto"/>
        <w:right w:val="none" w:sz="0" w:space="0" w:color="auto"/>
      </w:divBdr>
    </w:div>
    <w:div w:id="885292413">
      <w:bodyDiv w:val="1"/>
      <w:marLeft w:val="0"/>
      <w:marRight w:val="0"/>
      <w:marTop w:val="0"/>
      <w:marBottom w:val="0"/>
      <w:divBdr>
        <w:top w:val="none" w:sz="0" w:space="0" w:color="auto"/>
        <w:left w:val="none" w:sz="0" w:space="0" w:color="auto"/>
        <w:bottom w:val="none" w:sz="0" w:space="0" w:color="auto"/>
        <w:right w:val="none" w:sz="0" w:space="0" w:color="auto"/>
      </w:divBdr>
      <w:divsChild>
        <w:div w:id="92436947">
          <w:marLeft w:val="0"/>
          <w:marRight w:val="0"/>
          <w:marTop w:val="0"/>
          <w:marBottom w:val="0"/>
          <w:divBdr>
            <w:top w:val="none" w:sz="0" w:space="0" w:color="auto"/>
            <w:left w:val="none" w:sz="0" w:space="0" w:color="auto"/>
            <w:bottom w:val="none" w:sz="0" w:space="0" w:color="auto"/>
            <w:right w:val="none" w:sz="0" w:space="0" w:color="auto"/>
          </w:divBdr>
        </w:div>
      </w:divsChild>
    </w:div>
    <w:div w:id="1661225544">
      <w:bodyDiv w:val="1"/>
      <w:marLeft w:val="0"/>
      <w:marRight w:val="0"/>
      <w:marTop w:val="0"/>
      <w:marBottom w:val="0"/>
      <w:divBdr>
        <w:top w:val="none" w:sz="0" w:space="0" w:color="auto"/>
        <w:left w:val="none" w:sz="0" w:space="0" w:color="auto"/>
        <w:bottom w:val="none" w:sz="0" w:space="0" w:color="auto"/>
        <w:right w:val="none" w:sz="0" w:space="0" w:color="auto"/>
      </w:divBdr>
      <w:divsChild>
        <w:div w:id="1410811168">
          <w:marLeft w:val="0"/>
          <w:marRight w:val="0"/>
          <w:marTop w:val="0"/>
          <w:marBottom w:val="0"/>
          <w:divBdr>
            <w:top w:val="none" w:sz="0" w:space="0" w:color="auto"/>
            <w:left w:val="none" w:sz="0" w:space="0" w:color="auto"/>
            <w:bottom w:val="none" w:sz="0" w:space="0" w:color="auto"/>
            <w:right w:val="none" w:sz="0" w:space="0" w:color="auto"/>
          </w:divBdr>
        </w:div>
        <w:div w:id="1961063879">
          <w:marLeft w:val="0"/>
          <w:marRight w:val="0"/>
          <w:marTop w:val="0"/>
          <w:marBottom w:val="0"/>
          <w:divBdr>
            <w:top w:val="none" w:sz="0" w:space="0" w:color="auto"/>
            <w:left w:val="none" w:sz="0" w:space="0" w:color="auto"/>
            <w:bottom w:val="none" w:sz="0" w:space="0" w:color="auto"/>
            <w:right w:val="none" w:sz="0" w:space="0" w:color="auto"/>
          </w:divBdr>
        </w:div>
        <w:div w:id="1907301958">
          <w:marLeft w:val="0"/>
          <w:marRight w:val="0"/>
          <w:marTop w:val="0"/>
          <w:marBottom w:val="0"/>
          <w:divBdr>
            <w:top w:val="none" w:sz="0" w:space="0" w:color="auto"/>
            <w:left w:val="none" w:sz="0" w:space="0" w:color="auto"/>
            <w:bottom w:val="none" w:sz="0" w:space="0" w:color="auto"/>
            <w:right w:val="none" w:sz="0" w:space="0" w:color="auto"/>
          </w:divBdr>
        </w:div>
        <w:div w:id="76555457">
          <w:marLeft w:val="0"/>
          <w:marRight w:val="0"/>
          <w:marTop w:val="0"/>
          <w:marBottom w:val="0"/>
          <w:divBdr>
            <w:top w:val="none" w:sz="0" w:space="0" w:color="auto"/>
            <w:left w:val="none" w:sz="0" w:space="0" w:color="auto"/>
            <w:bottom w:val="none" w:sz="0" w:space="0" w:color="auto"/>
            <w:right w:val="none" w:sz="0" w:space="0" w:color="auto"/>
          </w:divBdr>
        </w:div>
        <w:div w:id="568730122">
          <w:marLeft w:val="0"/>
          <w:marRight w:val="0"/>
          <w:marTop w:val="0"/>
          <w:marBottom w:val="0"/>
          <w:divBdr>
            <w:top w:val="none" w:sz="0" w:space="0" w:color="auto"/>
            <w:left w:val="none" w:sz="0" w:space="0" w:color="auto"/>
            <w:bottom w:val="none" w:sz="0" w:space="0" w:color="auto"/>
            <w:right w:val="none" w:sz="0" w:space="0" w:color="auto"/>
          </w:divBdr>
        </w:div>
        <w:div w:id="1904558796">
          <w:marLeft w:val="0"/>
          <w:marRight w:val="0"/>
          <w:marTop w:val="0"/>
          <w:marBottom w:val="0"/>
          <w:divBdr>
            <w:top w:val="none" w:sz="0" w:space="0" w:color="auto"/>
            <w:left w:val="none" w:sz="0" w:space="0" w:color="auto"/>
            <w:bottom w:val="none" w:sz="0" w:space="0" w:color="auto"/>
            <w:right w:val="none" w:sz="0" w:space="0" w:color="auto"/>
          </w:divBdr>
        </w:div>
        <w:div w:id="766464766">
          <w:marLeft w:val="0"/>
          <w:marRight w:val="0"/>
          <w:marTop w:val="0"/>
          <w:marBottom w:val="0"/>
          <w:divBdr>
            <w:top w:val="none" w:sz="0" w:space="0" w:color="auto"/>
            <w:left w:val="none" w:sz="0" w:space="0" w:color="auto"/>
            <w:bottom w:val="none" w:sz="0" w:space="0" w:color="auto"/>
            <w:right w:val="none" w:sz="0" w:space="0" w:color="auto"/>
          </w:divBdr>
        </w:div>
        <w:div w:id="155191639">
          <w:marLeft w:val="0"/>
          <w:marRight w:val="0"/>
          <w:marTop w:val="0"/>
          <w:marBottom w:val="0"/>
          <w:divBdr>
            <w:top w:val="none" w:sz="0" w:space="0" w:color="auto"/>
            <w:left w:val="none" w:sz="0" w:space="0" w:color="auto"/>
            <w:bottom w:val="none" w:sz="0" w:space="0" w:color="auto"/>
            <w:right w:val="none" w:sz="0" w:space="0" w:color="auto"/>
          </w:divBdr>
        </w:div>
        <w:div w:id="1289429262">
          <w:marLeft w:val="0"/>
          <w:marRight w:val="0"/>
          <w:marTop w:val="0"/>
          <w:marBottom w:val="0"/>
          <w:divBdr>
            <w:top w:val="none" w:sz="0" w:space="0" w:color="auto"/>
            <w:left w:val="none" w:sz="0" w:space="0" w:color="auto"/>
            <w:bottom w:val="none" w:sz="0" w:space="0" w:color="auto"/>
            <w:right w:val="none" w:sz="0" w:space="0" w:color="auto"/>
          </w:divBdr>
        </w:div>
        <w:div w:id="680548294">
          <w:marLeft w:val="0"/>
          <w:marRight w:val="0"/>
          <w:marTop w:val="0"/>
          <w:marBottom w:val="0"/>
          <w:divBdr>
            <w:top w:val="none" w:sz="0" w:space="0" w:color="auto"/>
            <w:left w:val="none" w:sz="0" w:space="0" w:color="auto"/>
            <w:bottom w:val="none" w:sz="0" w:space="0" w:color="auto"/>
            <w:right w:val="none" w:sz="0" w:space="0" w:color="auto"/>
          </w:divBdr>
        </w:div>
        <w:div w:id="1620911910">
          <w:marLeft w:val="0"/>
          <w:marRight w:val="0"/>
          <w:marTop w:val="0"/>
          <w:marBottom w:val="0"/>
          <w:divBdr>
            <w:top w:val="none" w:sz="0" w:space="0" w:color="auto"/>
            <w:left w:val="none" w:sz="0" w:space="0" w:color="auto"/>
            <w:bottom w:val="none" w:sz="0" w:space="0" w:color="auto"/>
            <w:right w:val="none" w:sz="0" w:space="0" w:color="auto"/>
          </w:divBdr>
        </w:div>
        <w:div w:id="2038895797">
          <w:marLeft w:val="0"/>
          <w:marRight w:val="0"/>
          <w:marTop w:val="0"/>
          <w:marBottom w:val="0"/>
          <w:divBdr>
            <w:top w:val="none" w:sz="0" w:space="0" w:color="auto"/>
            <w:left w:val="none" w:sz="0" w:space="0" w:color="auto"/>
            <w:bottom w:val="none" w:sz="0" w:space="0" w:color="auto"/>
            <w:right w:val="none" w:sz="0" w:space="0" w:color="auto"/>
          </w:divBdr>
        </w:div>
        <w:div w:id="169295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66C10-B733-4BC8-B143-7B68ACC0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Tuan Le</dc:creator>
  <cp:lastModifiedBy>Admin</cp:lastModifiedBy>
  <cp:revision>3</cp:revision>
  <cp:lastPrinted>2019-12-11T09:04:00Z</cp:lastPrinted>
  <dcterms:created xsi:type="dcterms:W3CDTF">2019-12-11T10:05:00Z</dcterms:created>
  <dcterms:modified xsi:type="dcterms:W3CDTF">2019-12-11T10:06:00Z</dcterms:modified>
</cp:coreProperties>
</file>