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Ind w:w="510" w:type="dxa"/>
        <w:tblLayout w:type="fixed"/>
        <w:tblLook w:val="01E0" w:firstRow="1" w:lastRow="1" w:firstColumn="1" w:lastColumn="1" w:noHBand="0" w:noVBand="0"/>
      </w:tblPr>
      <w:tblGrid>
        <w:gridCol w:w="2142"/>
        <w:gridCol w:w="7470"/>
      </w:tblGrid>
      <w:tr w:rsidR="00A25C5D" w:rsidRPr="00F46F7B" w:rsidTr="007B3AFA">
        <w:trPr>
          <w:trHeight w:val="80"/>
        </w:trPr>
        <w:tc>
          <w:tcPr>
            <w:tcW w:w="2142" w:type="dxa"/>
          </w:tcPr>
          <w:p w:rsidR="00AF7DDF" w:rsidRPr="00F46F7B" w:rsidRDefault="00AF7DDF" w:rsidP="005428C3">
            <w:pPr>
              <w:tabs>
                <w:tab w:val="left" w:pos="8370"/>
              </w:tabs>
              <w:spacing w:after="0" w:line="312" w:lineRule="auto"/>
              <w:jc w:val="both"/>
              <w:rPr>
                <w:rFonts w:ascii="Times New Roman" w:eastAsia="Calibri" w:hAnsi="Times New Roman" w:cs="Times New Roman"/>
                <w:b/>
                <w:bCs/>
                <w:sz w:val="24"/>
                <w:szCs w:val="24"/>
              </w:rPr>
            </w:pPr>
          </w:p>
          <w:p w:rsidR="00A25C5D" w:rsidRPr="00F46F7B" w:rsidRDefault="00A25C5D" w:rsidP="005428C3">
            <w:pPr>
              <w:tabs>
                <w:tab w:val="left" w:pos="8370"/>
              </w:tabs>
              <w:spacing w:after="0" w:line="312" w:lineRule="auto"/>
              <w:jc w:val="both"/>
              <w:rPr>
                <w:rFonts w:ascii="Times New Roman" w:eastAsia="Calibri" w:hAnsi="Times New Roman" w:cs="Times New Roman"/>
                <w:b/>
                <w:bCs/>
                <w:sz w:val="24"/>
                <w:szCs w:val="24"/>
              </w:rPr>
            </w:pPr>
            <w:r w:rsidRPr="00F46F7B">
              <w:rPr>
                <w:rFonts w:ascii="Times New Roman" w:eastAsia="Calibri" w:hAnsi="Times New Roman" w:cs="Times New Roman"/>
                <w:b/>
                <w:bCs/>
                <w:sz w:val="24"/>
                <w:szCs w:val="24"/>
              </w:rPr>
              <w:t xml:space="preserve">Kính gửi: </w:t>
            </w:r>
          </w:p>
        </w:tc>
        <w:tc>
          <w:tcPr>
            <w:tcW w:w="7470" w:type="dxa"/>
          </w:tcPr>
          <w:p w:rsidR="00AF7DDF" w:rsidRPr="00F46F7B" w:rsidRDefault="00AF7DDF" w:rsidP="005428C3">
            <w:pPr>
              <w:tabs>
                <w:tab w:val="left" w:pos="8370"/>
              </w:tabs>
              <w:spacing w:after="0" w:line="312" w:lineRule="auto"/>
              <w:jc w:val="both"/>
              <w:rPr>
                <w:rFonts w:ascii="Times New Roman" w:eastAsia="Calibri" w:hAnsi="Times New Roman" w:cs="Times New Roman"/>
                <w:b/>
                <w:sz w:val="24"/>
                <w:szCs w:val="24"/>
              </w:rPr>
            </w:pPr>
          </w:p>
          <w:p w:rsidR="00A25C5D" w:rsidRPr="00F46F7B" w:rsidRDefault="003D6D70" w:rsidP="005428C3">
            <w:pPr>
              <w:tabs>
                <w:tab w:val="left" w:pos="8370"/>
              </w:tabs>
              <w:spacing w:after="0" w:line="312"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t>Quý</w:t>
            </w:r>
            <w:r w:rsidR="00CB7DC5">
              <w:rPr>
                <w:rFonts w:ascii="Times New Roman" w:eastAsia="Calibri" w:hAnsi="Times New Roman" w:cs="Times New Roman"/>
                <w:b/>
                <w:noProof/>
                <w:sz w:val="24"/>
                <w:szCs w:val="24"/>
              </w:rPr>
              <w:t xml:space="preserve"> Cơ quan</w:t>
            </w:r>
            <w:r>
              <w:rPr>
                <w:rFonts w:ascii="Times New Roman" w:eastAsia="Calibri" w:hAnsi="Times New Roman" w:cs="Times New Roman"/>
                <w:b/>
                <w:noProof/>
                <w:sz w:val="24"/>
                <w:szCs w:val="24"/>
              </w:rPr>
              <w:t xml:space="preserve">. </w:t>
            </w:r>
          </w:p>
          <w:p w:rsidR="00A25C5D" w:rsidRPr="00F46F7B" w:rsidRDefault="00A25C5D" w:rsidP="005428C3">
            <w:pPr>
              <w:tabs>
                <w:tab w:val="left" w:pos="8370"/>
              </w:tabs>
              <w:spacing w:after="0" w:line="312" w:lineRule="auto"/>
              <w:jc w:val="both"/>
              <w:rPr>
                <w:rFonts w:ascii="Times New Roman" w:eastAsia="Calibri" w:hAnsi="Times New Roman" w:cs="Times New Roman"/>
                <w:b/>
                <w:sz w:val="24"/>
                <w:szCs w:val="24"/>
              </w:rPr>
            </w:pPr>
          </w:p>
        </w:tc>
      </w:tr>
    </w:tbl>
    <w:tbl>
      <w:tblPr>
        <w:tblStyle w:val="TableGrid"/>
        <w:tblpPr w:leftFromText="180" w:rightFromText="180" w:vertAnchor="page" w:horzAnchor="margin" w:tblpXSpec="center" w:tblpY="1201"/>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069"/>
      </w:tblGrid>
      <w:tr w:rsidR="004729D4" w:rsidRPr="00951564" w:rsidTr="007B3AFA">
        <w:trPr>
          <w:trHeight w:val="1490"/>
        </w:trPr>
        <w:tc>
          <w:tcPr>
            <w:tcW w:w="5305" w:type="dxa"/>
          </w:tcPr>
          <w:p w:rsidR="004729D4" w:rsidRPr="00951564" w:rsidRDefault="004729D4" w:rsidP="004729D4">
            <w:pPr>
              <w:tabs>
                <w:tab w:val="left" w:pos="8370"/>
              </w:tabs>
              <w:spacing w:after="0" w:line="312" w:lineRule="auto"/>
              <w:jc w:val="center"/>
              <w:rPr>
                <w:rFonts w:ascii="Times New Roman" w:eastAsia="Calibri" w:hAnsi="Times New Roman" w:cs="Times New Roman"/>
                <w:b/>
                <w:sz w:val="23"/>
                <w:szCs w:val="23"/>
              </w:rPr>
            </w:pPr>
            <w:r w:rsidRPr="00951564">
              <w:rPr>
                <w:rFonts w:ascii="Times New Roman" w:eastAsia="Calibri" w:hAnsi="Times New Roman" w:cs="Times New Roman"/>
                <w:b/>
                <w:sz w:val="23"/>
                <w:szCs w:val="23"/>
              </w:rPr>
              <w:t>NGÂN HÀNG TMCP KỸ THƯƠNG VIỆT NAM</w:t>
            </w:r>
          </w:p>
          <w:p w:rsidR="004729D4" w:rsidRPr="00951564" w:rsidRDefault="004729D4" w:rsidP="004729D4">
            <w:pPr>
              <w:tabs>
                <w:tab w:val="left" w:pos="8370"/>
              </w:tabs>
              <w:spacing w:after="0" w:line="312" w:lineRule="auto"/>
              <w:jc w:val="center"/>
              <w:rPr>
                <w:rFonts w:ascii="Times New Roman" w:eastAsia="Calibri" w:hAnsi="Times New Roman" w:cs="Times New Roman"/>
                <w:b/>
                <w:i/>
                <w:sz w:val="23"/>
                <w:szCs w:val="23"/>
              </w:rPr>
            </w:pPr>
            <w:r w:rsidRPr="00951564">
              <w:rPr>
                <w:rFonts w:ascii="Times New Roman" w:eastAsia="Calibri" w:hAnsi="Times New Roman" w:cs="Times New Roman"/>
                <w:b/>
                <w:i/>
                <w:sz w:val="23"/>
                <w:szCs w:val="23"/>
              </w:rPr>
              <w:t>Số:                /201</w:t>
            </w:r>
            <w:r w:rsidR="00B64FAB" w:rsidRPr="00951564">
              <w:rPr>
                <w:rFonts w:ascii="Times New Roman" w:eastAsia="Calibri" w:hAnsi="Times New Roman" w:cs="Times New Roman"/>
                <w:b/>
                <w:i/>
                <w:sz w:val="23"/>
                <w:szCs w:val="23"/>
              </w:rPr>
              <w:t>9</w:t>
            </w:r>
            <w:r w:rsidRPr="00951564">
              <w:rPr>
                <w:rFonts w:ascii="Times New Roman" w:eastAsia="Calibri" w:hAnsi="Times New Roman" w:cs="Times New Roman"/>
                <w:b/>
                <w:i/>
                <w:sz w:val="23"/>
                <w:szCs w:val="23"/>
              </w:rPr>
              <w:t>/TCB-CV</w:t>
            </w:r>
          </w:p>
          <w:p w:rsidR="004729D4" w:rsidRPr="00951564" w:rsidRDefault="004729D4" w:rsidP="00951564">
            <w:pPr>
              <w:tabs>
                <w:tab w:val="left" w:pos="8370"/>
              </w:tabs>
              <w:spacing w:after="0" w:line="312" w:lineRule="auto"/>
              <w:jc w:val="center"/>
              <w:rPr>
                <w:rFonts w:ascii="Times New Roman" w:eastAsia="Calibri" w:hAnsi="Times New Roman" w:cs="Times New Roman"/>
                <w:b/>
                <w:i/>
                <w:sz w:val="23"/>
                <w:szCs w:val="23"/>
              </w:rPr>
            </w:pPr>
            <w:r w:rsidRPr="00951564">
              <w:rPr>
                <w:rFonts w:ascii="Times New Roman" w:eastAsia="Calibri" w:hAnsi="Times New Roman" w:cs="Times New Roman"/>
                <w:i/>
                <w:sz w:val="23"/>
                <w:szCs w:val="23"/>
              </w:rPr>
              <w:t xml:space="preserve">V/v: Góp ý dự thảo </w:t>
            </w:r>
            <w:r w:rsidR="00B64FAB" w:rsidRPr="00951564">
              <w:rPr>
                <w:rFonts w:ascii="Times New Roman" w:eastAsia="Calibri" w:hAnsi="Times New Roman" w:cs="Times New Roman"/>
                <w:i/>
                <w:sz w:val="23"/>
                <w:szCs w:val="23"/>
              </w:rPr>
              <w:t xml:space="preserve">sửa đổi, bổ sung một số điều của Thông tư 39/2014/TT-NHNN </w:t>
            </w:r>
          </w:p>
        </w:tc>
        <w:tc>
          <w:tcPr>
            <w:tcW w:w="5069" w:type="dxa"/>
          </w:tcPr>
          <w:p w:rsidR="004729D4" w:rsidRPr="00951564" w:rsidRDefault="004729D4" w:rsidP="004729D4">
            <w:pPr>
              <w:tabs>
                <w:tab w:val="left" w:pos="8370"/>
              </w:tabs>
              <w:spacing w:after="0" w:line="312" w:lineRule="auto"/>
              <w:jc w:val="center"/>
              <w:rPr>
                <w:rFonts w:ascii="Times New Roman" w:eastAsia="Calibri" w:hAnsi="Times New Roman" w:cs="Times New Roman"/>
                <w:b/>
                <w:sz w:val="23"/>
                <w:szCs w:val="23"/>
              </w:rPr>
            </w:pPr>
            <w:r w:rsidRPr="00951564">
              <w:rPr>
                <w:rFonts w:ascii="Times New Roman" w:eastAsia="Calibri" w:hAnsi="Times New Roman" w:cs="Times New Roman"/>
                <w:b/>
                <w:sz w:val="23"/>
                <w:szCs w:val="23"/>
              </w:rPr>
              <w:t>CỘNG HÒA XÃ HỘI CHỦ NGHĨA VIỆT NAM</w:t>
            </w:r>
          </w:p>
          <w:p w:rsidR="004729D4" w:rsidRPr="00951564" w:rsidRDefault="004729D4" w:rsidP="004729D4">
            <w:pPr>
              <w:tabs>
                <w:tab w:val="left" w:pos="8370"/>
              </w:tabs>
              <w:spacing w:after="0" w:line="312" w:lineRule="auto"/>
              <w:jc w:val="center"/>
              <w:rPr>
                <w:rFonts w:ascii="Times New Roman" w:eastAsia="Calibri" w:hAnsi="Times New Roman" w:cs="Times New Roman"/>
                <w:b/>
                <w:sz w:val="23"/>
                <w:szCs w:val="23"/>
                <w:u w:val="single"/>
              </w:rPr>
            </w:pPr>
            <w:r w:rsidRPr="00951564">
              <w:rPr>
                <w:rFonts w:ascii="Times New Roman" w:eastAsia="Calibri" w:hAnsi="Times New Roman" w:cs="Times New Roman"/>
                <w:b/>
                <w:sz w:val="23"/>
                <w:szCs w:val="23"/>
                <w:u w:val="single"/>
              </w:rPr>
              <w:t>Độc lập – Tự do – Hạnh phúc</w:t>
            </w:r>
          </w:p>
          <w:p w:rsidR="004729D4" w:rsidRPr="00951564" w:rsidRDefault="004729D4" w:rsidP="00B64FAB">
            <w:pPr>
              <w:tabs>
                <w:tab w:val="left" w:pos="8370"/>
              </w:tabs>
              <w:spacing w:after="0" w:line="312" w:lineRule="auto"/>
              <w:jc w:val="center"/>
              <w:rPr>
                <w:rFonts w:ascii="Times New Roman" w:eastAsia="Calibri" w:hAnsi="Times New Roman" w:cs="Times New Roman"/>
                <w:i/>
                <w:sz w:val="23"/>
                <w:szCs w:val="23"/>
              </w:rPr>
            </w:pPr>
            <w:r w:rsidRPr="00951564">
              <w:rPr>
                <w:rFonts w:ascii="Times New Roman" w:eastAsia="Calibri" w:hAnsi="Times New Roman" w:cs="Times New Roman"/>
                <w:i/>
                <w:sz w:val="23"/>
                <w:szCs w:val="23"/>
              </w:rPr>
              <w:t xml:space="preserve">Hà Nội, ngày         tháng            năm </w:t>
            </w:r>
            <w:r w:rsidR="00B64FAB" w:rsidRPr="00951564">
              <w:rPr>
                <w:rFonts w:ascii="Times New Roman" w:eastAsia="Calibri" w:hAnsi="Times New Roman" w:cs="Times New Roman"/>
                <w:i/>
                <w:sz w:val="23"/>
                <w:szCs w:val="23"/>
              </w:rPr>
              <w:t>2019</w:t>
            </w:r>
          </w:p>
        </w:tc>
      </w:tr>
    </w:tbl>
    <w:p w:rsidR="005428C3" w:rsidRPr="00F46F7B" w:rsidRDefault="00A25C5D" w:rsidP="00911661">
      <w:pPr>
        <w:tabs>
          <w:tab w:val="left" w:pos="8370"/>
        </w:tabs>
        <w:spacing w:before="120" w:after="120" w:line="24" w:lineRule="atLeast"/>
        <w:ind w:firstLine="450"/>
        <w:jc w:val="both"/>
        <w:rPr>
          <w:rFonts w:ascii="Times New Roman" w:eastAsia="Calibri" w:hAnsi="Times New Roman" w:cs="Times New Roman"/>
          <w:bCs/>
          <w:sz w:val="24"/>
          <w:szCs w:val="24"/>
        </w:rPr>
      </w:pPr>
      <w:r w:rsidRPr="00F46F7B">
        <w:rPr>
          <w:rFonts w:ascii="Times New Roman" w:eastAsia="Calibri" w:hAnsi="Times New Roman" w:cs="Times New Roman"/>
          <w:bCs/>
          <w:sz w:val="24"/>
          <w:szCs w:val="24"/>
        </w:rPr>
        <w:t>Ngân hàng TMCP Kỹ thương Việt Nam (“</w:t>
      </w:r>
      <w:r w:rsidRPr="00F46F7B">
        <w:rPr>
          <w:rFonts w:ascii="Times New Roman" w:eastAsia="Calibri" w:hAnsi="Times New Roman" w:cs="Times New Roman"/>
          <w:b/>
          <w:bCs/>
          <w:sz w:val="24"/>
          <w:szCs w:val="24"/>
        </w:rPr>
        <w:t>Techcombank</w:t>
      </w:r>
      <w:r w:rsidRPr="00F46F7B">
        <w:rPr>
          <w:rFonts w:ascii="Times New Roman" w:eastAsia="Calibri" w:hAnsi="Times New Roman" w:cs="Times New Roman"/>
          <w:bCs/>
          <w:sz w:val="24"/>
          <w:szCs w:val="24"/>
        </w:rPr>
        <w:t>”) xin gửi tới Quý cơ quan lời chào trân trọng.</w:t>
      </w:r>
    </w:p>
    <w:p w:rsidR="009C7E3B" w:rsidRPr="00F46F7B" w:rsidRDefault="00A25C5D" w:rsidP="0033751C">
      <w:pPr>
        <w:tabs>
          <w:tab w:val="left" w:pos="8370"/>
        </w:tabs>
        <w:spacing w:before="120" w:after="120" w:line="24" w:lineRule="atLeast"/>
        <w:ind w:firstLine="450"/>
        <w:jc w:val="both"/>
        <w:rPr>
          <w:rFonts w:ascii="Times New Roman" w:eastAsia="Calibri" w:hAnsi="Times New Roman" w:cs="Times New Roman"/>
          <w:sz w:val="24"/>
          <w:szCs w:val="24"/>
        </w:rPr>
      </w:pPr>
      <w:r w:rsidRPr="00F46F7B">
        <w:rPr>
          <w:rFonts w:ascii="Times New Roman" w:eastAsia="Calibri" w:hAnsi="Times New Roman" w:cs="Times New Roman"/>
          <w:sz w:val="24"/>
          <w:szCs w:val="24"/>
        </w:rPr>
        <w:t xml:space="preserve">Techcombank có nhận được </w:t>
      </w:r>
      <w:r w:rsidR="003D6D70">
        <w:rPr>
          <w:rFonts w:ascii="Times New Roman" w:hAnsi="Times New Roman" w:cs="Times New Roman"/>
          <w:sz w:val="24"/>
          <w:szCs w:val="24"/>
        </w:rPr>
        <w:t>thư mời tham dự Hội thảo</w:t>
      </w:r>
      <w:r w:rsidR="003C3A95" w:rsidRPr="00F46F7B">
        <w:rPr>
          <w:rFonts w:ascii="Times New Roman" w:hAnsi="Times New Roman" w:cs="Times New Roman"/>
          <w:sz w:val="24"/>
          <w:szCs w:val="24"/>
        </w:rPr>
        <w:t xml:space="preserve"> </w:t>
      </w:r>
      <w:r w:rsidR="003D6D70">
        <w:rPr>
          <w:rFonts w:ascii="Times New Roman" w:hAnsi="Times New Roman" w:cs="Times New Roman"/>
          <w:sz w:val="24"/>
          <w:szCs w:val="24"/>
        </w:rPr>
        <w:t xml:space="preserve">lấy </w:t>
      </w:r>
      <w:r w:rsidR="003C3A95" w:rsidRPr="00F46F7B">
        <w:rPr>
          <w:rFonts w:ascii="Times New Roman" w:hAnsi="Times New Roman" w:cs="Times New Roman"/>
          <w:sz w:val="24"/>
          <w:szCs w:val="24"/>
        </w:rPr>
        <w:t xml:space="preserve">ý kiến </w:t>
      </w:r>
      <w:r w:rsidR="003D6D70">
        <w:rPr>
          <w:rFonts w:ascii="Times New Roman" w:hAnsi="Times New Roman" w:cs="Times New Roman"/>
          <w:sz w:val="24"/>
          <w:szCs w:val="24"/>
        </w:rPr>
        <w:t xml:space="preserve">doanh nghiệp </w:t>
      </w:r>
      <w:r w:rsidR="003C3A95" w:rsidRPr="00F46F7B">
        <w:rPr>
          <w:rFonts w:ascii="Times New Roman" w:hAnsi="Times New Roman" w:cs="Times New Roman"/>
          <w:sz w:val="24"/>
          <w:szCs w:val="24"/>
        </w:rPr>
        <w:t xml:space="preserve">đối với dự thảo </w:t>
      </w:r>
      <w:r w:rsidR="00D872A8" w:rsidRPr="00F46F7B">
        <w:rPr>
          <w:rFonts w:ascii="Times New Roman" w:hAnsi="Times New Roman" w:cs="Times New Roman"/>
          <w:sz w:val="24"/>
          <w:szCs w:val="24"/>
        </w:rPr>
        <w:t>Thông tư sửa đổi, bổ sung Thông tư 39 hướng dẫn về dịch vụ trung gian thanh toán</w:t>
      </w:r>
      <w:r w:rsidR="00282761" w:rsidRPr="00F46F7B">
        <w:rPr>
          <w:rFonts w:ascii="Times New Roman" w:hAnsi="Times New Roman" w:cs="Times New Roman"/>
          <w:sz w:val="24"/>
          <w:szCs w:val="24"/>
        </w:rPr>
        <w:t xml:space="preserve"> </w:t>
      </w:r>
      <w:r w:rsidR="005428C3" w:rsidRPr="00F46F7B">
        <w:rPr>
          <w:rFonts w:ascii="Times New Roman" w:hAnsi="Times New Roman" w:cs="Times New Roman"/>
          <w:sz w:val="24"/>
          <w:szCs w:val="24"/>
        </w:rPr>
        <w:t>do Thống đốc Ngân hàng Nhà nước Việt Nam ban hành</w:t>
      </w:r>
      <w:r w:rsidR="003C3A95" w:rsidRPr="00F46F7B">
        <w:rPr>
          <w:rFonts w:ascii="Times New Roman" w:eastAsia="Calibri" w:hAnsi="Times New Roman" w:cs="Times New Roman"/>
          <w:sz w:val="24"/>
          <w:szCs w:val="24"/>
        </w:rPr>
        <w:t xml:space="preserve"> </w:t>
      </w:r>
      <w:r w:rsidR="006F6E71" w:rsidRPr="00F46F7B">
        <w:rPr>
          <w:rFonts w:ascii="Times New Roman" w:eastAsia="Calibri" w:hAnsi="Times New Roman" w:cs="Times New Roman"/>
          <w:sz w:val="24"/>
          <w:szCs w:val="24"/>
        </w:rPr>
        <w:t>(“</w:t>
      </w:r>
      <w:r w:rsidR="006F6E71" w:rsidRPr="00F46F7B">
        <w:rPr>
          <w:rFonts w:ascii="Times New Roman" w:eastAsia="Calibri" w:hAnsi="Times New Roman" w:cs="Times New Roman"/>
          <w:b/>
          <w:sz w:val="24"/>
          <w:szCs w:val="24"/>
        </w:rPr>
        <w:t>Dự thảo Thông tư</w:t>
      </w:r>
      <w:r w:rsidR="006F6E71" w:rsidRPr="00F46F7B">
        <w:rPr>
          <w:rFonts w:ascii="Times New Roman" w:eastAsia="Calibri" w:hAnsi="Times New Roman" w:cs="Times New Roman"/>
          <w:sz w:val="24"/>
          <w:szCs w:val="24"/>
        </w:rPr>
        <w:t>”)</w:t>
      </w:r>
      <w:r w:rsidRPr="00F46F7B">
        <w:rPr>
          <w:rFonts w:ascii="Times New Roman" w:eastAsia="Calibri" w:hAnsi="Times New Roman" w:cs="Times New Roman"/>
          <w:sz w:val="24"/>
          <w:szCs w:val="24"/>
        </w:rPr>
        <w:t>. Sau khi nghiên cứu, Techcombank có một số ý kiến đóng góp</w:t>
      </w:r>
      <w:r w:rsidR="006B5426" w:rsidRPr="00F46F7B">
        <w:rPr>
          <w:rFonts w:ascii="Times New Roman" w:eastAsia="Calibri" w:hAnsi="Times New Roman" w:cs="Times New Roman"/>
          <w:sz w:val="24"/>
          <w:szCs w:val="24"/>
        </w:rPr>
        <w:t>,</w:t>
      </w:r>
      <w:r w:rsidRPr="00F46F7B">
        <w:rPr>
          <w:rFonts w:ascii="Times New Roman" w:eastAsia="Calibri" w:hAnsi="Times New Roman" w:cs="Times New Roman"/>
          <w:sz w:val="24"/>
          <w:szCs w:val="24"/>
        </w:rPr>
        <w:t xml:space="preserve"> </w:t>
      </w:r>
      <w:r w:rsidR="006B5426" w:rsidRPr="00F46F7B">
        <w:rPr>
          <w:rFonts w:ascii="Times New Roman" w:eastAsia="Calibri" w:hAnsi="Times New Roman" w:cs="Times New Roman"/>
          <w:sz w:val="24"/>
          <w:szCs w:val="24"/>
        </w:rPr>
        <w:t>c</w:t>
      </w:r>
      <w:r w:rsidRPr="00F46F7B">
        <w:rPr>
          <w:rFonts w:ascii="Times New Roman" w:eastAsia="Calibri" w:hAnsi="Times New Roman" w:cs="Times New Roman"/>
          <w:sz w:val="24"/>
          <w:szCs w:val="24"/>
        </w:rPr>
        <w:t>ụ thể như sau:</w:t>
      </w:r>
    </w:p>
    <w:p w:rsidR="00EE54AC" w:rsidRPr="000906D7" w:rsidRDefault="00226DC9" w:rsidP="0033751C">
      <w:pPr>
        <w:pStyle w:val="ListParagraph"/>
        <w:numPr>
          <w:ilvl w:val="0"/>
          <w:numId w:val="17"/>
        </w:numPr>
        <w:spacing w:before="120" w:after="120" w:line="24" w:lineRule="atLeast"/>
        <w:contextualSpacing w:val="0"/>
        <w:jc w:val="both"/>
        <w:rPr>
          <w:rFonts w:ascii="Times New Roman" w:hAnsi="Times New Roman" w:cs="Times New Roman"/>
          <w:b/>
          <w:sz w:val="24"/>
          <w:szCs w:val="24"/>
        </w:rPr>
      </w:pPr>
      <w:r w:rsidRPr="000906D7">
        <w:rPr>
          <w:rFonts w:ascii="Times New Roman" w:hAnsi="Times New Roman" w:cs="Times New Roman"/>
          <w:b/>
          <w:sz w:val="24"/>
          <w:szCs w:val="24"/>
        </w:rPr>
        <w:t>Điều 3</w:t>
      </w:r>
      <w:r w:rsidR="00497FD4" w:rsidRPr="000906D7">
        <w:rPr>
          <w:rFonts w:ascii="Times New Roman" w:hAnsi="Times New Roman" w:cs="Times New Roman"/>
          <w:b/>
          <w:sz w:val="24"/>
          <w:szCs w:val="24"/>
        </w:rPr>
        <w:t xml:space="preserve"> Thông tư 39</w:t>
      </w:r>
      <w:r w:rsidRPr="000906D7">
        <w:rPr>
          <w:rFonts w:ascii="Times New Roman" w:hAnsi="Times New Roman" w:cs="Times New Roman"/>
          <w:b/>
          <w:sz w:val="24"/>
          <w:szCs w:val="24"/>
        </w:rPr>
        <w:t>. Giải thích từ ngữ</w:t>
      </w:r>
      <w:r w:rsidR="00B82B40" w:rsidRPr="000906D7">
        <w:rPr>
          <w:rFonts w:ascii="Times New Roman" w:hAnsi="Times New Roman" w:cs="Times New Roman"/>
          <w:b/>
          <w:sz w:val="24"/>
          <w:szCs w:val="24"/>
        </w:rPr>
        <w:t>:</w:t>
      </w:r>
    </w:p>
    <w:p w:rsidR="00696F72" w:rsidRPr="00F46F7B" w:rsidRDefault="00226DC9" w:rsidP="0033751C">
      <w:pPr>
        <w:pStyle w:val="ListParagraph"/>
        <w:spacing w:before="120" w:after="120" w:line="24" w:lineRule="atLeast"/>
        <w:ind w:left="360"/>
        <w:contextualSpacing w:val="0"/>
        <w:jc w:val="both"/>
        <w:rPr>
          <w:rFonts w:ascii="Times New Roman" w:hAnsi="Times New Roman"/>
          <w:sz w:val="24"/>
          <w:szCs w:val="24"/>
        </w:rPr>
      </w:pPr>
      <w:r w:rsidRPr="00F46F7B">
        <w:rPr>
          <w:rFonts w:ascii="Times New Roman" w:hAnsi="Times New Roman"/>
          <w:sz w:val="24"/>
          <w:szCs w:val="24"/>
        </w:rPr>
        <w:t>Dự thảo hiện tại đã bổ</w:t>
      </w:r>
      <w:r w:rsidR="001F2C7F" w:rsidRPr="00F46F7B">
        <w:rPr>
          <w:rFonts w:ascii="Times New Roman" w:hAnsi="Times New Roman"/>
          <w:sz w:val="24"/>
          <w:szCs w:val="24"/>
        </w:rPr>
        <w:t xml:space="preserve"> sung quy định làm rõ các khái niệ</w:t>
      </w:r>
      <w:r w:rsidR="00303787" w:rsidRPr="00F46F7B">
        <w:rPr>
          <w:rFonts w:ascii="Times New Roman" w:hAnsi="Times New Roman"/>
          <w:sz w:val="24"/>
          <w:szCs w:val="24"/>
        </w:rPr>
        <w:t xml:space="preserve">m, đồng thời </w:t>
      </w:r>
      <w:r w:rsidRPr="00F46F7B">
        <w:rPr>
          <w:rFonts w:ascii="Times New Roman" w:hAnsi="Times New Roman"/>
          <w:sz w:val="24"/>
          <w:szCs w:val="24"/>
        </w:rPr>
        <w:t>quy định chi tiết hơn</w:t>
      </w:r>
      <w:r w:rsidR="00497FD4">
        <w:rPr>
          <w:rFonts w:ascii="Times New Roman" w:hAnsi="Times New Roman"/>
          <w:sz w:val="24"/>
          <w:szCs w:val="24"/>
        </w:rPr>
        <w:t xml:space="preserve"> các khái niệm (như </w:t>
      </w:r>
      <w:r w:rsidR="00F105CD">
        <w:rPr>
          <w:rFonts w:ascii="Times New Roman" w:hAnsi="Times New Roman"/>
          <w:sz w:val="24"/>
          <w:szCs w:val="24"/>
        </w:rPr>
        <w:t>Tài khoản đảm bảo thanh toán, Hệ thống bù trừ điện tử, Tổ chức chủ trì hệ thống bù trừ điện tử….)</w:t>
      </w:r>
      <w:r w:rsidRPr="00F46F7B">
        <w:rPr>
          <w:rFonts w:ascii="Times New Roman" w:hAnsi="Times New Roman"/>
          <w:sz w:val="24"/>
          <w:szCs w:val="24"/>
        </w:rPr>
        <w:t xml:space="preserve"> ở </w:t>
      </w:r>
      <w:r w:rsidR="00303787" w:rsidRPr="00F46F7B">
        <w:rPr>
          <w:rFonts w:ascii="Times New Roman" w:hAnsi="Times New Roman"/>
          <w:sz w:val="24"/>
          <w:szCs w:val="24"/>
        </w:rPr>
        <w:t>một</w:t>
      </w:r>
      <w:r w:rsidRPr="00F46F7B">
        <w:rPr>
          <w:rFonts w:ascii="Times New Roman" w:hAnsi="Times New Roman"/>
          <w:sz w:val="24"/>
          <w:szCs w:val="24"/>
        </w:rPr>
        <w:t xml:space="preserve"> số dịch vụ như bù trừ điện tử, ví điện tử</w:t>
      </w:r>
      <w:r w:rsidR="00303787" w:rsidRPr="00F46F7B">
        <w:rPr>
          <w:rFonts w:ascii="Times New Roman" w:hAnsi="Times New Roman"/>
          <w:sz w:val="24"/>
          <w:szCs w:val="24"/>
        </w:rPr>
        <w:t xml:space="preserve">. Đồng thời, quy định pháp luật liên quan hiện tại là </w:t>
      </w:r>
      <w:r w:rsidR="00EE54AC" w:rsidRPr="00F46F7B">
        <w:rPr>
          <w:rFonts w:ascii="Times New Roman" w:hAnsi="Times New Roman"/>
          <w:sz w:val="24"/>
          <w:szCs w:val="24"/>
        </w:rPr>
        <w:t xml:space="preserve">Thông tư hướng dẫn về dịch vụ trung gian thanh toán hiện hành (Thông tư số 39/2014/TT-NHNN, Thông tư số 20/2016/TT-NHNN, Thông tư số 30/2016/TT-NHNN) </w:t>
      </w:r>
      <w:r w:rsidR="00F105CD">
        <w:rPr>
          <w:rFonts w:ascii="Times New Roman" w:hAnsi="Times New Roman"/>
          <w:sz w:val="24"/>
          <w:szCs w:val="24"/>
        </w:rPr>
        <w:t>đã</w:t>
      </w:r>
      <w:r w:rsidR="00EE54AC" w:rsidRPr="00F46F7B">
        <w:rPr>
          <w:rFonts w:ascii="Times New Roman" w:hAnsi="Times New Roman"/>
          <w:sz w:val="24"/>
          <w:szCs w:val="24"/>
        </w:rPr>
        <w:t xml:space="preserve"> đưa ra </w:t>
      </w:r>
      <w:r w:rsidR="00F105CD">
        <w:rPr>
          <w:rFonts w:ascii="Times New Roman" w:hAnsi="Times New Roman"/>
          <w:sz w:val="24"/>
          <w:szCs w:val="24"/>
        </w:rPr>
        <w:t>một số định nghĩa cơ bản</w:t>
      </w:r>
      <w:r w:rsidR="00EE54AC" w:rsidRPr="00F46F7B">
        <w:rPr>
          <w:rFonts w:ascii="Times New Roman" w:hAnsi="Times New Roman"/>
          <w:sz w:val="24"/>
          <w:szCs w:val="24"/>
        </w:rPr>
        <w:t xml:space="preserve"> về các dịch vụ trung gian thanh toán (TGTT)</w:t>
      </w:r>
      <w:r w:rsidR="00F105CD">
        <w:rPr>
          <w:rFonts w:ascii="Times New Roman" w:hAnsi="Times New Roman"/>
          <w:sz w:val="24"/>
          <w:szCs w:val="24"/>
        </w:rPr>
        <w:t>. Tuy nhiên</w:t>
      </w:r>
      <w:r w:rsidR="007C45C0">
        <w:rPr>
          <w:rFonts w:ascii="Times New Roman" w:hAnsi="Times New Roman"/>
          <w:sz w:val="24"/>
          <w:szCs w:val="24"/>
        </w:rPr>
        <w:t>, quy định tại Dự thảo thông tư và quy định pháp luật hiện hành vẫn chưa rõ ràng, nên</w:t>
      </w:r>
      <w:r w:rsidR="00EE54AC" w:rsidRPr="00F46F7B">
        <w:rPr>
          <w:rFonts w:ascii="Times New Roman" w:hAnsi="Times New Roman"/>
          <w:sz w:val="24"/>
          <w:szCs w:val="24"/>
        </w:rPr>
        <w:t xml:space="preserve"> việc áp dụng các quy định tại thông tư trên thực tế là không cao và rất vướng mắc. </w:t>
      </w:r>
      <w:r w:rsidR="006937E3" w:rsidRPr="00F46F7B">
        <w:rPr>
          <w:rFonts w:ascii="Times New Roman" w:hAnsi="Times New Roman"/>
          <w:sz w:val="24"/>
          <w:szCs w:val="24"/>
        </w:rPr>
        <w:t>Đặc biệt,</w:t>
      </w:r>
      <w:r w:rsidR="00EE54AC" w:rsidRPr="00F46F7B">
        <w:rPr>
          <w:rFonts w:ascii="Times New Roman" w:hAnsi="Times New Roman"/>
          <w:sz w:val="24"/>
          <w:szCs w:val="24"/>
        </w:rPr>
        <w:t xml:space="preserve"> về phía </w:t>
      </w:r>
      <w:r w:rsidR="006937E3" w:rsidRPr="00F46F7B">
        <w:rPr>
          <w:rFonts w:ascii="Times New Roman" w:hAnsi="Times New Roman"/>
          <w:sz w:val="24"/>
          <w:szCs w:val="24"/>
        </w:rPr>
        <w:t>Ngân hàng</w:t>
      </w:r>
      <w:r w:rsidR="00EE54AC" w:rsidRPr="00F46F7B">
        <w:rPr>
          <w:rFonts w:ascii="Times New Roman" w:hAnsi="Times New Roman"/>
          <w:sz w:val="24"/>
          <w:szCs w:val="24"/>
        </w:rPr>
        <w:t xml:space="preserve"> </w:t>
      </w:r>
      <w:r w:rsidR="006937E3" w:rsidRPr="00F46F7B">
        <w:rPr>
          <w:rFonts w:ascii="Times New Roman" w:hAnsi="Times New Roman"/>
          <w:sz w:val="24"/>
          <w:szCs w:val="24"/>
        </w:rPr>
        <w:t xml:space="preserve">với vai trò là </w:t>
      </w:r>
      <w:r w:rsidR="00EE54AC" w:rsidRPr="00F46F7B">
        <w:rPr>
          <w:rFonts w:ascii="Times New Roman" w:hAnsi="Times New Roman"/>
          <w:sz w:val="24"/>
          <w:szCs w:val="24"/>
        </w:rPr>
        <w:t xml:space="preserve">đối tác chính của các tổ chức TGTT, rất </w:t>
      </w:r>
      <w:r w:rsidR="006937E3" w:rsidRPr="00F46F7B">
        <w:rPr>
          <w:rFonts w:ascii="Times New Roman" w:hAnsi="Times New Roman"/>
          <w:sz w:val="24"/>
          <w:szCs w:val="24"/>
        </w:rPr>
        <w:t>khó khăn</w:t>
      </w:r>
      <w:r w:rsidR="00EE54AC" w:rsidRPr="00F46F7B">
        <w:rPr>
          <w:rFonts w:ascii="Times New Roman" w:hAnsi="Times New Roman"/>
          <w:sz w:val="24"/>
          <w:szCs w:val="24"/>
        </w:rPr>
        <w:t xml:space="preserve"> trong việc xác định nội dung dịch vụ mà các tổ chức TGTT này được phép cung cấp </w:t>
      </w:r>
    </w:p>
    <w:p w:rsidR="00226DC9" w:rsidRPr="00F46F7B" w:rsidRDefault="00EE54AC" w:rsidP="0033751C">
      <w:pPr>
        <w:pStyle w:val="ListParagraph"/>
        <w:spacing w:before="120" w:after="120" w:line="24" w:lineRule="atLeast"/>
        <w:ind w:left="360"/>
        <w:contextualSpacing w:val="0"/>
        <w:jc w:val="both"/>
        <w:rPr>
          <w:rFonts w:ascii="Times New Roman" w:hAnsi="Times New Roman" w:cs="Times New Roman"/>
          <w:sz w:val="24"/>
          <w:szCs w:val="24"/>
        </w:rPr>
      </w:pPr>
      <w:r w:rsidRPr="00F46F7B">
        <w:rPr>
          <w:rFonts w:ascii="Times New Roman" w:hAnsi="Times New Roman"/>
          <w:sz w:val="24"/>
          <w:szCs w:val="24"/>
        </w:rPr>
        <w:t xml:space="preserve">Vì vậy, </w:t>
      </w:r>
      <w:r w:rsidR="00303787" w:rsidRPr="00F46F7B">
        <w:rPr>
          <w:rFonts w:ascii="Times New Roman" w:hAnsi="Times New Roman"/>
          <w:sz w:val="24"/>
          <w:szCs w:val="24"/>
        </w:rPr>
        <w:t xml:space="preserve">Techcombank  kiến nghị </w:t>
      </w:r>
      <w:r w:rsidR="00696F72" w:rsidRPr="00F46F7B">
        <w:rPr>
          <w:rFonts w:ascii="Times New Roman" w:hAnsi="Times New Roman"/>
          <w:sz w:val="24"/>
          <w:szCs w:val="24"/>
        </w:rPr>
        <w:t>Ngân hàng nhà nước</w:t>
      </w:r>
      <w:r w:rsidR="00303787" w:rsidRPr="00F46F7B">
        <w:rPr>
          <w:rFonts w:ascii="Times New Roman" w:hAnsi="Times New Roman"/>
          <w:sz w:val="24"/>
          <w:szCs w:val="24"/>
        </w:rPr>
        <w:t xml:space="preserve"> quy định chi tiết</w:t>
      </w:r>
      <w:r w:rsidR="00696F72" w:rsidRPr="00F46F7B">
        <w:rPr>
          <w:rFonts w:ascii="Times New Roman" w:hAnsi="Times New Roman"/>
          <w:sz w:val="24"/>
          <w:szCs w:val="24"/>
        </w:rPr>
        <w:t xml:space="preserve"> hơn</w:t>
      </w:r>
      <w:r w:rsidR="00303787" w:rsidRPr="00F46F7B">
        <w:rPr>
          <w:rFonts w:ascii="Times New Roman" w:hAnsi="Times New Roman"/>
          <w:sz w:val="24"/>
          <w:szCs w:val="24"/>
        </w:rPr>
        <w:t xml:space="preserve"> ở tất cả các dịch vụ và thể hiện các nội dung cơ bản: mô tả nghiệp vụ hoặc đưa ra điều kiện nghiệp vụ; quyền và nghĩa vụ của các bên tham gia vào nghiệp vụ đó. </w:t>
      </w:r>
    </w:p>
    <w:p w:rsidR="00B82B40" w:rsidRPr="000906D7" w:rsidRDefault="00B82B40" w:rsidP="0033751C">
      <w:pPr>
        <w:pStyle w:val="ListParagraph"/>
        <w:numPr>
          <w:ilvl w:val="0"/>
          <w:numId w:val="17"/>
        </w:numPr>
        <w:spacing w:before="120" w:after="120" w:line="24" w:lineRule="atLeast"/>
        <w:contextualSpacing w:val="0"/>
        <w:jc w:val="both"/>
        <w:rPr>
          <w:rFonts w:ascii="Times New Roman" w:hAnsi="Times New Roman"/>
          <w:b/>
          <w:sz w:val="24"/>
          <w:szCs w:val="24"/>
        </w:rPr>
      </w:pPr>
      <w:r w:rsidRPr="000906D7">
        <w:rPr>
          <w:rFonts w:ascii="Times New Roman" w:hAnsi="Times New Roman"/>
          <w:b/>
          <w:sz w:val="24"/>
          <w:szCs w:val="24"/>
        </w:rPr>
        <w:t>Điều 6</w:t>
      </w:r>
      <w:r w:rsidR="00497FD4" w:rsidRPr="000906D7">
        <w:rPr>
          <w:rFonts w:ascii="Times New Roman" w:hAnsi="Times New Roman"/>
          <w:b/>
          <w:sz w:val="24"/>
          <w:szCs w:val="24"/>
        </w:rPr>
        <w:t xml:space="preserve"> </w:t>
      </w:r>
      <w:r w:rsidR="00497FD4" w:rsidRPr="000906D7">
        <w:rPr>
          <w:rFonts w:ascii="Times New Roman" w:hAnsi="Times New Roman" w:cs="Times New Roman"/>
          <w:b/>
          <w:sz w:val="24"/>
          <w:szCs w:val="24"/>
        </w:rPr>
        <w:t>Thông tư 39</w:t>
      </w:r>
      <w:r w:rsidRPr="000906D7">
        <w:rPr>
          <w:rFonts w:ascii="Times New Roman" w:hAnsi="Times New Roman"/>
          <w:b/>
          <w:sz w:val="24"/>
          <w:szCs w:val="24"/>
        </w:rPr>
        <w:t>. Sử dụng giấy phép:</w:t>
      </w:r>
    </w:p>
    <w:p w:rsidR="003675FB" w:rsidRPr="00705E6A" w:rsidRDefault="00B82B40" w:rsidP="003675FB">
      <w:pPr>
        <w:pStyle w:val="ListParagraph"/>
        <w:spacing w:before="120" w:after="120" w:line="24" w:lineRule="atLeast"/>
        <w:ind w:left="360"/>
        <w:contextualSpacing w:val="0"/>
        <w:jc w:val="both"/>
        <w:rPr>
          <w:rFonts w:ascii="Times New Roman" w:hAnsi="Times New Roman"/>
          <w:i/>
          <w:sz w:val="24"/>
          <w:szCs w:val="24"/>
        </w:rPr>
      </w:pPr>
      <w:r w:rsidRPr="00F46F7B">
        <w:rPr>
          <w:rFonts w:ascii="Times New Roman" w:hAnsi="Times New Roman"/>
          <w:sz w:val="24"/>
          <w:szCs w:val="24"/>
        </w:rPr>
        <w:t xml:space="preserve">Dự thảo Thông tư sửa đổi Điều 6 như sau: </w:t>
      </w:r>
      <w:r w:rsidRPr="00705E6A">
        <w:rPr>
          <w:rFonts w:ascii="Times New Roman" w:hAnsi="Times New Roman"/>
          <w:i/>
          <w:sz w:val="24"/>
          <w:szCs w:val="24"/>
        </w:rPr>
        <w:t>“</w:t>
      </w:r>
      <w:r w:rsidR="003675FB" w:rsidRPr="00705E6A">
        <w:rPr>
          <w:rFonts w:ascii="Times New Roman" w:hAnsi="Times New Roman"/>
          <w:i/>
          <w:sz w:val="24"/>
          <w:szCs w:val="24"/>
        </w:rPr>
        <w:t>Tổ chức được cấp Giấy phép chỉ được thực hiện cung ứng các dịch vụ trung gian thanh toán ghi trong Giấy phép theo đúng phạm vi, đối tượng, bản chất dịch vụ theo quy định của pháp luật”.</w:t>
      </w:r>
    </w:p>
    <w:p w:rsidR="00B82B40" w:rsidRPr="00497FD4" w:rsidRDefault="003675FB" w:rsidP="00B82B40">
      <w:pPr>
        <w:pStyle w:val="ListParagraph"/>
        <w:spacing w:before="120" w:after="120" w:line="24" w:lineRule="atLeast"/>
        <w:ind w:left="360"/>
        <w:contextualSpacing w:val="0"/>
        <w:jc w:val="both"/>
        <w:rPr>
          <w:rFonts w:ascii="Times New Roman" w:hAnsi="Times New Roman"/>
          <w:sz w:val="24"/>
          <w:szCs w:val="24"/>
        </w:rPr>
      </w:pPr>
      <w:r w:rsidRPr="00F46F7B">
        <w:rPr>
          <w:rFonts w:ascii="Times New Roman" w:hAnsi="Times New Roman"/>
          <w:sz w:val="24"/>
          <w:szCs w:val="24"/>
        </w:rPr>
        <w:t xml:space="preserve">Kính mong Ngân hàng nhà nước làm rõ thế nào là </w:t>
      </w:r>
      <w:r w:rsidRPr="00F46F7B">
        <w:rPr>
          <w:rFonts w:ascii="Times New Roman" w:hAnsi="Times New Roman"/>
          <w:i/>
          <w:sz w:val="24"/>
          <w:szCs w:val="24"/>
        </w:rPr>
        <w:t>bản chất dịch vụ</w:t>
      </w:r>
      <w:r w:rsidR="00497FD4">
        <w:rPr>
          <w:rFonts w:ascii="Times New Roman" w:hAnsi="Times New Roman"/>
          <w:i/>
          <w:sz w:val="24"/>
          <w:szCs w:val="24"/>
        </w:rPr>
        <w:t xml:space="preserve"> </w:t>
      </w:r>
      <w:r w:rsidR="00497FD4">
        <w:rPr>
          <w:rFonts w:ascii="Times New Roman" w:hAnsi="Times New Roman"/>
          <w:sz w:val="24"/>
          <w:szCs w:val="24"/>
        </w:rPr>
        <w:t>theo quy định nêu trên.</w:t>
      </w:r>
    </w:p>
    <w:p w:rsidR="00271443" w:rsidRPr="000906D7" w:rsidRDefault="00271443" w:rsidP="0033751C">
      <w:pPr>
        <w:pStyle w:val="ListParagraph"/>
        <w:numPr>
          <w:ilvl w:val="0"/>
          <w:numId w:val="17"/>
        </w:numPr>
        <w:spacing w:before="120" w:after="120" w:line="24" w:lineRule="atLeast"/>
        <w:contextualSpacing w:val="0"/>
        <w:jc w:val="both"/>
        <w:rPr>
          <w:rFonts w:ascii="Times New Roman" w:hAnsi="Times New Roman"/>
          <w:b/>
          <w:sz w:val="24"/>
          <w:szCs w:val="24"/>
        </w:rPr>
      </w:pPr>
      <w:r w:rsidRPr="000906D7">
        <w:rPr>
          <w:rFonts w:ascii="Times New Roman" w:hAnsi="Times New Roman"/>
          <w:b/>
          <w:sz w:val="24"/>
          <w:szCs w:val="24"/>
        </w:rPr>
        <w:t>Điều 8</w:t>
      </w:r>
      <w:r w:rsidR="00497FD4" w:rsidRPr="000906D7">
        <w:rPr>
          <w:rFonts w:ascii="Times New Roman" w:hAnsi="Times New Roman"/>
          <w:b/>
          <w:sz w:val="24"/>
          <w:szCs w:val="24"/>
        </w:rPr>
        <w:t xml:space="preserve"> </w:t>
      </w:r>
      <w:r w:rsidR="00497FD4" w:rsidRPr="000906D7">
        <w:rPr>
          <w:rFonts w:ascii="Times New Roman" w:hAnsi="Times New Roman" w:cs="Times New Roman"/>
          <w:b/>
          <w:sz w:val="24"/>
          <w:szCs w:val="24"/>
        </w:rPr>
        <w:t>Thông tư 39</w:t>
      </w:r>
      <w:r w:rsidRPr="000906D7">
        <w:rPr>
          <w:rFonts w:ascii="Times New Roman" w:hAnsi="Times New Roman"/>
          <w:b/>
          <w:sz w:val="24"/>
          <w:szCs w:val="24"/>
        </w:rPr>
        <w:t>. Đảm bảo khả năng thanh toán</w:t>
      </w:r>
      <w:r w:rsidR="00B82B40" w:rsidRPr="000906D7">
        <w:rPr>
          <w:rFonts w:ascii="Times New Roman" w:hAnsi="Times New Roman"/>
          <w:b/>
          <w:sz w:val="24"/>
          <w:szCs w:val="24"/>
        </w:rPr>
        <w:t>:</w:t>
      </w:r>
    </w:p>
    <w:p w:rsidR="00455ACF" w:rsidRDefault="00271443" w:rsidP="00455ACF">
      <w:pPr>
        <w:pStyle w:val="ListParagraph"/>
        <w:spacing w:before="120" w:after="120" w:line="24" w:lineRule="atLeast"/>
        <w:ind w:left="360"/>
        <w:contextualSpacing w:val="0"/>
        <w:jc w:val="both"/>
        <w:rPr>
          <w:rFonts w:ascii="Times New Roman" w:hAnsi="Times New Roman"/>
          <w:bCs/>
          <w:i/>
          <w:iCs/>
          <w:sz w:val="24"/>
          <w:szCs w:val="24"/>
        </w:rPr>
      </w:pPr>
      <w:r w:rsidRPr="00F46F7B">
        <w:rPr>
          <w:rFonts w:ascii="Times New Roman" w:hAnsi="Times New Roman"/>
          <w:sz w:val="24"/>
          <w:szCs w:val="24"/>
        </w:rPr>
        <w:t>Dự thảo thông tư s</w:t>
      </w:r>
      <w:r w:rsidR="00EE54AC" w:rsidRPr="00F46F7B">
        <w:rPr>
          <w:rFonts w:ascii="Times New Roman" w:hAnsi="Times New Roman"/>
          <w:sz w:val="24"/>
          <w:szCs w:val="24"/>
        </w:rPr>
        <w:t>ửa đổi, bổ sung Điề</w:t>
      </w:r>
      <w:r w:rsidRPr="00F46F7B">
        <w:rPr>
          <w:rFonts w:ascii="Times New Roman" w:hAnsi="Times New Roman"/>
          <w:sz w:val="24"/>
          <w:szCs w:val="24"/>
        </w:rPr>
        <w:t>u 8 như sau</w:t>
      </w:r>
      <w:r w:rsidR="00EE54AC" w:rsidRPr="00F46F7B">
        <w:rPr>
          <w:rFonts w:ascii="Times New Roman" w:hAnsi="Times New Roman"/>
          <w:sz w:val="24"/>
          <w:szCs w:val="24"/>
        </w:rPr>
        <w:t xml:space="preserve">: </w:t>
      </w:r>
      <w:r w:rsidR="00EE54AC" w:rsidRPr="00F46F7B">
        <w:rPr>
          <w:rFonts w:ascii="Times New Roman" w:hAnsi="Times New Roman"/>
          <w:bCs/>
          <w:i/>
          <w:iCs/>
          <w:sz w:val="24"/>
          <w:szCs w:val="24"/>
        </w:rPr>
        <w:t xml:space="preserve">“1. Tổ chức cung ứng dịch vụ hỗ trợ thu hộ, chi hộ phải </w:t>
      </w:r>
      <w:r w:rsidR="00EE54AC" w:rsidRPr="00F46F7B">
        <w:rPr>
          <w:rFonts w:ascii="Times New Roman" w:hAnsi="Times New Roman"/>
          <w:bCs/>
          <w:i/>
          <w:iCs/>
          <w:sz w:val="24"/>
          <w:szCs w:val="24"/>
          <w:u w:val="single"/>
        </w:rPr>
        <w:t>thỏa thuận</w:t>
      </w:r>
      <w:r w:rsidR="00EE54AC" w:rsidRPr="00F46F7B">
        <w:rPr>
          <w:rFonts w:ascii="Times New Roman" w:hAnsi="Times New Roman"/>
          <w:bCs/>
          <w:i/>
          <w:iCs/>
          <w:sz w:val="24"/>
          <w:szCs w:val="24"/>
        </w:rPr>
        <w:t xml:space="preserve"> với ngân hàng hợp tác về các biện pháp đảm bảo khả năng thanh toán cho việc cung ứng dịch vụ này, bao gồm việc mở TKĐBTT cho dịch vụ hỗ trợ thu hộ, chi hộ hoặc duy trì khoản tiền ký quỹ tại ngân hàng hoặc các biện pháp đảm bảo khác. Ngân hàng hợp tác là đơn vị chịu trách nhiệm cuối cùng đối với việc đảm bảo khả năng thanh toán cho các đơn vị chấp nhận thanh toán.” </w:t>
      </w:r>
    </w:p>
    <w:p w:rsidR="00B746DA" w:rsidRPr="00A373F0" w:rsidRDefault="00B908B6" w:rsidP="00A373F0">
      <w:pPr>
        <w:pStyle w:val="ListParagraph"/>
        <w:numPr>
          <w:ilvl w:val="1"/>
          <w:numId w:val="24"/>
        </w:numPr>
        <w:spacing w:before="120" w:after="120" w:line="24" w:lineRule="atLeast"/>
        <w:jc w:val="both"/>
        <w:rPr>
          <w:rFonts w:ascii="Times New Roman" w:hAnsi="Times New Roman"/>
          <w:sz w:val="24"/>
          <w:szCs w:val="24"/>
        </w:rPr>
      </w:pPr>
      <w:r w:rsidRPr="00A373F0">
        <w:rPr>
          <w:rFonts w:ascii="Times New Roman" w:hAnsi="Times New Roman"/>
          <w:sz w:val="24"/>
          <w:szCs w:val="24"/>
        </w:rPr>
        <w:lastRenderedPageBreak/>
        <w:t>Techcombank cho rằng,</w:t>
      </w:r>
      <w:r w:rsidR="00EE54AC" w:rsidRPr="00A373F0">
        <w:rPr>
          <w:rFonts w:ascii="Times New Roman" w:hAnsi="Times New Roman"/>
          <w:sz w:val="24"/>
          <w:szCs w:val="24"/>
        </w:rPr>
        <w:t xml:space="preserve"> </w:t>
      </w:r>
      <w:r w:rsidR="0094661D" w:rsidRPr="00A373F0">
        <w:rPr>
          <w:rFonts w:ascii="Times New Roman" w:hAnsi="Times New Roman"/>
          <w:sz w:val="24"/>
          <w:szCs w:val="24"/>
        </w:rPr>
        <w:t xml:space="preserve">tất cả các bên tham gia giao dịch thu hộ chi hộ (bao gồm cả tổ chức TGTT) đều phải có </w:t>
      </w:r>
      <w:r w:rsidR="00EE54AC" w:rsidRPr="00A373F0">
        <w:rPr>
          <w:rFonts w:ascii="Times New Roman" w:hAnsi="Times New Roman"/>
          <w:sz w:val="24"/>
          <w:szCs w:val="24"/>
        </w:rPr>
        <w:t xml:space="preserve"> trách nhiệm </w:t>
      </w:r>
      <w:r w:rsidR="0094661D" w:rsidRPr="00A373F0">
        <w:rPr>
          <w:rFonts w:ascii="Times New Roman" w:hAnsi="Times New Roman"/>
          <w:sz w:val="24"/>
          <w:szCs w:val="24"/>
        </w:rPr>
        <w:t>đối với từng dịch vụ mà mình cung cấp trong giao dịch. Do đó,</w:t>
      </w:r>
      <w:r w:rsidR="00EE54AC" w:rsidRPr="00A373F0">
        <w:rPr>
          <w:rFonts w:ascii="Times New Roman" w:hAnsi="Times New Roman"/>
          <w:sz w:val="24"/>
          <w:szCs w:val="24"/>
        </w:rPr>
        <w:t xml:space="preserve"> </w:t>
      </w:r>
      <w:r w:rsidR="00B746DA" w:rsidRPr="00A373F0">
        <w:rPr>
          <w:rFonts w:ascii="Times New Roman" w:hAnsi="Times New Roman"/>
          <w:sz w:val="24"/>
          <w:szCs w:val="24"/>
        </w:rPr>
        <w:t>quy định nêu trên chỉ yêu cầu</w:t>
      </w:r>
      <w:r w:rsidR="00EE54AC" w:rsidRPr="00A373F0">
        <w:rPr>
          <w:rFonts w:ascii="Times New Roman" w:hAnsi="Times New Roman"/>
          <w:sz w:val="24"/>
          <w:szCs w:val="24"/>
        </w:rPr>
        <w:t xml:space="preserve"> Ngân hàng </w:t>
      </w:r>
      <w:r w:rsidR="00B746DA" w:rsidRPr="00A373F0">
        <w:rPr>
          <w:rFonts w:ascii="Times New Roman" w:hAnsi="Times New Roman"/>
          <w:sz w:val="24"/>
          <w:szCs w:val="24"/>
        </w:rPr>
        <w:t>(với vai trò</w:t>
      </w:r>
      <w:r w:rsidR="00EE54AC" w:rsidRPr="00A373F0">
        <w:rPr>
          <w:rFonts w:ascii="Times New Roman" w:hAnsi="Times New Roman"/>
          <w:sz w:val="24"/>
          <w:szCs w:val="24"/>
        </w:rPr>
        <w:t xml:space="preserve"> là 1 bên cung cấp dịch vụ về tài khoản &amp; thanh toán</w:t>
      </w:r>
      <w:r w:rsidR="005C363B" w:rsidRPr="00A373F0">
        <w:rPr>
          <w:rFonts w:ascii="Times New Roman" w:hAnsi="Times New Roman"/>
          <w:sz w:val="24"/>
          <w:szCs w:val="24"/>
        </w:rPr>
        <w:t xml:space="preserve">) là Đơn vị chịu trách nhiệm cuối cùng đối với Đơn vị chấp nhận thanh toán </w:t>
      </w:r>
      <w:r w:rsidR="00B746DA" w:rsidRPr="00A373F0">
        <w:rPr>
          <w:rFonts w:ascii="Times New Roman" w:hAnsi="Times New Roman"/>
          <w:sz w:val="24"/>
          <w:szCs w:val="24"/>
        </w:rPr>
        <w:t>khi tham gia giao dịch thu hộ, chi hộ</w:t>
      </w:r>
      <w:r w:rsidR="00EE54AC" w:rsidRPr="00A373F0">
        <w:rPr>
          <w:rFonts w:ascii="Times New Roman" w:hAnsi="Times New Roman"/>
          <w:sz w:val="24"/>
          <w:szCs w:val="24"/>
        </w:rPr>
        <w:t xml:space="preserve"> là đang chưa hợp lý.</w:t>
      </w:r>
      <w:r w:rsidR="005C363B" w:rsidRPr="00A373F0">
        <w:rPr>
          <w:rFonts w:ascii="Times New Roman" w:hAnsi="Times New Roman"/>
          <w:sz w:val="24"/>
          <w:szCs w:val="24"/>
        </w:rPr>
        <w:t xml:space="preserve"> Vì vậy, Techcombank kiến nghị Ngân hàng nhà nước bổ sung quy định phân định rõ trách nhiệm của các bên: </w:t>
      </w:r>
      <w:r w:rsidR="00705E6A" w:rsidRPr="00A373F0">
        <w:rPr>
          <w:rFonts w:ascii="Times New Roman" w:hAnsi="Times New Roman"/>
          <w:sz w:val="24"/>
          <w:szCs w:val="24"/>
        </w:rPr>
        <w:t>n</w:t>
      </w:r>
      <w:r w:rsidR="001F48F2" w:rsidRPr="00A373F0">
        <w:rPr>
          <w:rFonts w:ascii="Times New Roman" w:hAnsi="Times New Roman"/>
          <w:sz w:val="24"/>
          <w:szCs w:val="24"/>
        </w:rPr>
        <w:t xml:space="preserve">gân hàng, </w:t>
      </w:r>
      <w:r w:rsidR="00705E6A" w:rsidRPr="00A373F0">
        <w:rPr>
          <w:rFonts w:ascii="Times New Roman" w:hAnsi="Times New Roman"/>
          <w:sz w:val="24"/>
          <w:szCs w:val="24"/>
        </w:rPr>
        <w:t>t</w:t>
      </w:r>
      <w:r w:rsidR="001F48F2" w:rsidRPr="00A373F0">
        <w:rPr>
          <w:rFonts w:ascii="Times New Roman" w:hAnsi="Times New Roman"/>
          <w:sz w:val="24"/>
          <w:szCs w:val="24"/>
        </w:rPr>
        <w:t xml:space="preserve">ổ chức TGTT, và </w:t>
      </w:r>
      <w:r w:rsidR="00705E6A" w:rsidRPr="00A373F0">
        <w:rPr>
          <w:rFonts w:ascii="Times New Roman" w:hAnsi="Times New Roman"/>
          <w:sz w:val="24"/>
          <w:szCs w:val="24"/>
        </w:rPr>
        <w:t>đ</w:t>
      </w:r>
      <w:r w:rsidR="001F48F2" w:rsidRPr="00A373F0">
        <w:rPr>
          <w:rFonts w:ascii="Times New Roman" w:hAnsi="Times New Roman"/>
          <w:sz w:val="24"/>
          <w:szCs w:val="24"/>
        </w:rPr>
        <w:t xml:space="preserve">ơn vị chấp nhận thanh toán trong giao dịch thu hộ, chị hộ. Đồng thời, bỏ quy định yêu cầu Ngân hàng là </w:t>
      </w:r>
      <w:r w:rsidR="00705E6A" w:rsidRPr="00A373F0">
        <w:rPr>
          <w:rFonts w:ascii="Times New Roman" w:hAnsi="Times New Roman"/>
          <w:sz w:val="24"/>
          <w:szCs w:val="24"/>
        </w:rPr>
        <w:t>đ</w:t>
      </w:r>
      <w:r w:rsidR="001F48F2" w:rsidRPr="00A373F0">
        <w:rPr>
          <w:rFonts w:ascii="Times New Roman" w:hAnsi="Times New Roman"/>
          <w:sz w:val="24"/>
          <w:szCs w:val="24"/>
        </w:rPr>
        <w:t xml:space="preserve">ơn vị chịu trách nhiệm cuối cùng với </w:t>
      </w:r>
      <w:r w:rsidR="00705E6A" w:rsidRPr="00A373F0">
        <w:rPr>
          <w:rFonts w:ascii="Times New Roman" w:hAnsi="Times New Roman"/>
          <w:sz w:val="24"/>
          <w:szCs w:val="24"/>
        </w:rPr>
        <w:t>đ</w:t>
      </w:r>
      <w:r w:rsidR="001F48F2" w:rsidRPr="00A373F0">
        <w:rPr>
          <w:rFonts w:ascii="Times New Roman" w:hAnsi="Times New Roman"/>
          <w:sz w:val="24"/>
          <w:szCs w:val="24"/>
        </w:rPr>
        <w:t xml:space="preserve">ơn vị chấp </w:t>
      </w:r>
      <w:r w:rsidR="007B43E8" w:rsidRPr="00A373F0">
        <w:rPr>
          <w:rFonts w:ascii="Times New Roman" w:hAnsi="Times New Roman"/>
          <w:sz w:val="24"/>
          <w:szCs w:val="24"/>
        </w:rPr>
        <w:t>nhận thanh toán</w:t>
      </w:r>
    </w:p>
    <w:p w:rsidR="00EE54AC" w:rsidRDefault="00B908B6" w:rsidP="00A373F0">
      <w:pPr>
        <w:pStyle w:val="ListParagraph"/>
        <w:numPr>
          <w:ilvl w:val="1"/>
          <w:numId w:val="24"/>
        </w:numPr>
        <w:spacing w:before="120" w:after="120" w:line="24" w:lineRule="atLeast"/>
        <w:jc w:val="both"/>
        <w:rPr>
          <w:rFonts w:ascii="Times New Roman" w:hAnsi="Times New Roman"/>
          <w:sz w:val="24"/>
          <w:szCs w:val="24"/>
        </w:rPr>
      </w:pPr>
      <w:r w:rsidRPr="00F46F7B">
        <w:rPr>
          <w:rFonts w:ascii="Times New Roman" w:hAnsi="Times New Roman"/>
          <w:sz w:val="24"/>
          <w:szCs w:val="24"/>
        </w:rPr>
        <w:t>Dự thảo</w:t>
      </w:r>
      <w:r w:rsidR="00EE54AC" w:rsidRPr="00F46F7B">
        <w:rPr>
          <w:rFonts w:ascii="Times New Roman" w:hAnsi="Times New Roman"/>
          <w:sz w:val="24"/>
          <w:szCs w:val="24"/>
        </w:rPr>
        <w:t xml:space="preserve"> thông tư đang </w:t>
      </w:r>
      <w:r w:rsidRPr="00F46F7B">
        <w:rPr>
          <w:rFonts w:ascii="Times New Roman" w:hAnsi="Times New Roman"/>
          <w:sz w:val="24"/>
          <w:szCs w:val="24"/>
        </w:rPr>
        <w:t xml:space="preserve">quy định </w:t>
      </w:r>
      <w:r w:rsidR="00EE54AC" w:rsidRPr="00F46F7B">
        <w:rPr>
          <w:rFonts w:ascii="Times New Roman" w:hAnsi="Times New Roman"/>
          <w:sz w:val="24"/>
          <w:szCs w:val="24"/>
        </w:rPr>
        <w:t xml:space="preserve">cho phép </w:t>
      </w:r>
      <w:r w:rsidR="00705E6A">
        <w:rPr>
          <w:rFonts w:ascii="Times New Roman" w:hAnsi="Times New Roman"/>
          <w:sz w:val="24"/>
          <w:szCs w:val="24"/>
        </w:rPr>
        <w:t>t</w:t>
      </w:r>
      <w:r w:rsidR="00EE54AC" w:rsidRPr="00F46F7B">
        <w:rPr>
          <w:rFonts w:ascii="Times New Roman" w:hAnsi="Times New Roman"/>
          <w:sz w:val="24"/>
          <w:szCs w:val="24"/>
        </w:rPr>
        <w:t xml:space="preserve">ổ chức TGTT được thỏa thuận với </w:t>
      </w:r>
      <w:r w:rsidR="007C45C0">
        <w:rPr>
          <w:rFonts w:ascii="Times New Roman" w:hAnsi="Times New Roman"/>
          <w:sz w:val="24"/>
          <w:szCs w:val="24"/>
        </w:rPr>
        <w:t>n</w:t>
      </w:r>
      <w:r w:rsidR="00EE54AC" w:rsidRPr="00F46F7B">
        <w:rPr>
          <w:rFonts w:ascii="Times New Roman" w:hAnsi="Times New Roman"/>
          <w:sz w:val="24"/>
          <w:szCs w:val="24"/>
        </w:rPr>
        <w:t xml:space="preserve">gân hàng về </w:t>
      </w:r>
      <w:r w:rsidR="00251C3C" w:rsidRPr="00F46F7B">
        <w:rPr>
          <w:rFonts w:ascii="Times New Roman" w:hAnsi="Times New Roman"/>
          <w:sz w:val="24"/>
          <w:szCs w:val="24"/>
        </w:rPr>
        <w:t>biện pháp bảo đảm khả năng thanh toán. Quy định này</w:t>
      </w:r>
      <w:r w:rsidR="00EE54AC" w:rsidRPr="00F46F7B">
        <w:rPr>
          <w:rFonts w:ascii="Times New Roman" w:hAnsi="Times New Roman"/>
          <w:sz w:val="24"/>
          <w:szCs w:val="24"/>
        </w:rPr>
        <w:t xml:space="preserve"> đang chưa thể hiện được trách nhiệm bắt buộc của tổ chức TGTT</w:t>
      </w:r>
      <w:r w:rsidR="00251C3C" w:rsidRPr="00F46F7B">
        <w:rPr>
          <w:rFonts w:ascii="Times New Roman" w:hAnsi="Times New Roman"/>
          <w:sz w:val="24"/>
          <w:szCs w:val="24"/>
        </w:rPr>
        <w:t xml:space="preserve"> đối với giao dịch thu hộ, chi hộ mà tổ chức TGTT đang là một bên tham gia cung cấp dịch vụ</w:t>
      </w:r>
      <w:r w:rsidR="00EE54AC" w:rsidRPr="00F46F7B">
        <w:rPr>
          <w:rFonts w:ascii="Times New Roman" w:hAnsi="Times New Roman"/>
          <w:sz w:val="24"/>
          <w:szCs w:val="24"/>
        </w:rPr>
        <w:t>. Vì vậy</w:t>
      </w:r>
      <w:r w:rsidR="00251C3C" w:rsidRPr="00F46F7B">
        <w:rPr>
          <w:rFonts w:ascii="Times New Roman" w:hAnsi="Times New Roman"/>
          <w:sz w:val="24"/>
          <w:szCs w:val="24"/>
        </w:rPr>
        <w:t>,</w:t>
      </w:r>
      <w:r w:rsidR="00EE54AC" w:rsidRPr="00F46F7B">
        <w:rPr>
          <w:rFonts w:ascii="Times New Roman" w:hAnsi="Times New Roman"/>
          <w:sz w:val="24"/>
          <w:szCs w:val="24"/>
        </w:rPr>
        <w:t xml:space="preserve"> </w:t>
      </w:r>
      <w:r w:rsidR="00251C3C" w:rsidRPr="00F46F7B">
        <w:rPr>
          <w:rFonts w:ascii="Times New Roman" w:hAnsi="Times New Roman"/>
          <w:sz w:val="24"/>
          <w:szCs w:val="24"/>
        </w:rPr>
        <w:t>Techcombank kiến nghị Ngân hàng nhà nước</w:t>
      </w:r>
      <w:r w:rsidR="00EE54AC" w:rsidRPr="00F46F7B">
        <w:rPr>
          <w:rFonts w:ascii="Times New Roman" w:hAnsi="Times New Roman"/>
          <w:sz w:val="24"/>
          <w:szCs w:val="24"/>
        </w:rPr>
        <w:t xml:space="preserve"> </w:t>
      </w:r>
      <w:r w:rsidR="00251C3C" w:rsidRPr="00F46F7B">
        <w:rPr>
          <w:rFonts w:ascii="Times New Roman" w:hAnsi="Times New Roman"/>
          <w:sz w:val="24"/>
          <w:szCs w:val="24"/>
        </w:rPr>
        <w:t>xem xét điều chỉnh quy định</w:t>
      </w:r>
      <w:r w:rsidR="00EE54AC" w:rsidRPr="00F46F7B">
        <w:rPr>
          <w:rFonts w:ascii="Times New Roman" w:hAnsi="Times New Roman"/>
          <w:sz w:val="24"/>
          <w:szCs w:val="24"/>
        </w:rPr>
        <w:t xml:space="preserve"> theo hướng </w:t>
      </w:r>
      <w:r w:rsidR="00E44685" w:rsidRPr="00F46F7B">
        <w:rPr>
          <w:rFonts w:ascii="Times New Roman" w:hAnsi="Times New Roman"/>
          <w:sz w:val="24"/>
          <w:szCs w:val="24"/>
        </w:rPr>
        <w:t>yêu cầu</w:t>
      </w:r>
      <w:r w:rsidR="00EE54AC" w:rsidRPr="00F46F7B">
        <w:rPr>
          <w:rFonts w:ascii="Times New Roman" w:hAnsi="Times New Roman"/>
          <w:sz w:val="24"/>
          <w:szCs w:val="24"/>
        </w:rPr>
        <w:t xml:space="preserve"> tổ chức TGTT phải áp dụng các biện pháp bảo đảm khả năng thanh toán như ký quỹ hoặc các biện pháp bảo đảm khác</w:t>
      </w:r>
      <w:r w:rsidR="00E44685" w:rsidRPr="00F46F7B">
        <w:rPr>
          <w:rFonts w:ascii="Times New Roman" w:hAnsi="Times New Roman"/>
          <w:sz w:val="24"/>
          <w:szCs w:val="24"/>
        </w:rPr>
        <w:t xml:space="preserve"> như một biện pháp bắt buộc, đảm bảo tổ chức TGTT sẽ đóng vai trò là một bên được phân định trách nhiệm đảm bảo khả năng thanh toán cho </w:t>
      </w:r>
      <w:r w:rsidR="00705E6A">
        <w:rPr>
          <w:rFonts w:ascii="Times New Roman" w:hAnsi="Times New Roman"/>
          <w:sz w:val="24"/>
          <w:szCs w:val="24"/>
        </w:rPr>
        <w:t>đ</w:t>
      </w:r>
      <w:r w:rsidR="00E44685" w:rsidRPr="00F46F7B">
        <w:rPr>
          <w:rFonts w:ascii="Times New Roman" w:hAnsi="Times New Roman"/>
          <w:sz w:val="24"/>
          <w:szCs w:val="24"/>
        </w:rPr>
        <w:t>ơn vị chấp nhận thanh toán</w:t>
      </w:r>
      <w:r w:rsidR="00123807" w:rsidRPr="00F46F7B">
        <w:rPr>
          <w:rFonts w:ascii="Times New Roman" w:hAnsi="Times New Roman"/>
          <w:sz w:val="24"/>
          <w:szCs w:val="24"/>
        </w:rPr>
        <w:t>.</w:t>
      </w:r>
    </w:p>
    <w:p w:rsidR="00C07472" w:rsidRPr="00383538" w:rsidRDefault="00A373F0" w:rsidP="00A373F0">
      <w:pPr>
        <w:pStyle w:val="ListParagraph"/>
        <w:numPr>
          <w:ilvl w:val="1"/>
          <w:numId w:val="24"/>
        </w:numPr>
        <w:spacing w:before="120" w:after="120" w:line="24" w:lineRule="atLeast"/>
        <w:jc w:val="both"/>
        <w:rPr>
          <w:rFonts w:ascii="Times New Roman" w:hAnsi="Times New Roman"/>
          <w:sz w:val="24"/>
          <w:szCs w:val="24"/>
        </w:rPr>
      </w:pPr>
      <w:r>
        <w:rPr>
          <w:rFonts w:ascii="Times New Roman" w:hAnsi="Times New Roman"/>
          <w:sz w:val="24"/>
          <w:szCs w:val="24"/>
        </w:rPr>
        <w:t>Q</w:t>
      </w:r>
      <w:r w:rsidR="000605DA">
        <w:rPr>
          <w:rFonts w:ascii="Times New Roman" w:hAnsi="Times New Roman"/>
          <w:sz w:val="24"/>
          <w:szCs w:val="24"/>
        </w:rPr>
        <w:t xml:space="preserve">uy định tại Dự thảo yêu cầu: </w:t>
      </w:r>
      <w:r w:rsidR="007856C2" w:rsidRPr="00A373F0">
        <w:rPr>
          <w:rFonts w:ascii="Times New Roman" w:hAnsi="Times New Roman"/>
          <w:sz w:val="24"/>
          <w:szCs w:val="24"/>
        </w:rPr>
        <w:t>…Tài khoản đảm bảo thanh toán (</w:t>
      </w:r>
      <w:r w:rsidR="000605DA" w:rsidRPr="00A373F0">
        <w:rPr>
          <w:rFonts w:ascii="Times New Roman" w:hAnsi="Times New Roman"/>
          <w:sz w:val="24"/>
          <w:szCs w:val="24"/>
        </w:rPr>
        <w:t>TKĐBTT</w:t>
      </w:r>
      <w:r w:rsidR="007856C2" w:rsidRPr="00A373F0">
        <w:rPr>
          <w:rFonts w:ascii="Times New Roman" w:hAnsi="Times New Roman"/>
          <w:sz w:val="24"/>
          <w:szCs w:val="24"/>
        </w:rPr>
        <w:t>)</w:t>
      </w:r>
      <w:r w:rsidR="000605DA" w:rsidRPr="00A373F0">
        <w:rPr>
          <w:rFonts w:ascii="Times New Roman" w:hAnsi="Times New Roman"/>
          <w:sz w:val="24"/>
          <w:szCs w:val="24"/>
        </w:rPr>
        <w:t xml:space="preserve"> cho dịch vụ Ví điện tử phải tách bạch với TKĐBTT cho việc cung ứng dịch vụ hỗ trợ thu hộ, chi hộ (nếu có) và tách bạch với các tài khoản thanh toán khác tạ</w:t>
      </w:r>
      <w:r w:rsidR="007856C2" w:rsidRPr="00A373F0">
        <w:rPr>
          <w:rFonts w:ascii="Times New Roman" w:hAnsi="Times New Roman"/>
          <w:sz w:val="24"/>
          <w:szCs w:val="24"/>
        </w:rPr>
        <w:t>i ngân hàng</w:t>
      </w:r>
      <w:r w:rsidR="00610D64" w:rsidRPr="00A373F0">
        <w:rPr>
          <w:rFonts w:ascii="Times New Roman" w:hAnsi="Times New Roman"/>
          <w:sz w:val="24"/>
          <w:szCs w:val="24"/>
        </w:rPr>
        <w:t xml:space="preserve">. </w:t>
      </w:r>
      <w:r w:rsidR="00610D64" w:rsidRPr="00610D64">
        <w:rPr>
          <w:rFonts w:ascii="Times New Roman" w:hAnsi="Times New Roman"/>
          <w:sz w:val="24"/>
          <w:szCs w:val="24"/>
        </w:rPr>
        <w:t>Thêm nữa</w:t>
      </w:r>
      <w:r w:rsidR="00610D64" w:rsidRPr="00A373F0">
        <w:rPr>
          <w:rFonts w:ascii="Times New Roman" w:hAnsi="Times New Roman"/>
          <w:sz w:val="24"/>
          <w:szCs w:val="24"/>
        </w:rPr>
        <w:t xml:space="preserve">, </w:t>
      </w:r>
      <w:r w:rsidR="00610D64" w:rsidRPr="00610D64">
        <w:rPr>
          <w:rFonts w:ascii="Times New Roman" w:hAnsi="Times New Roman"/>
          <w:sz w:val="24"/>
          <w:szCs w:val="24"/>
        </w:rPr>
        <w:t xml:space="preserve">Điều khoản chuyển tiếp của Dự thảo thông tư chỉ yêu cầu </w:t>
      </w:r>
      <w:r w:rsidR="00610D64" w:rsidRPr="00A373F0">
        <w:rPr>
          <w:rFonts w:ascii="Times New Roman" w:hAnsi="Times New Roman"/>
          <w:sz w:val="24"/>
          <w:szCs w:val="24"/>
        </w:rPr>
        <w:t>các tổ chức dịch vụ ví điện tử phải rà soát hồ sơ khách hàng mở Ví trước thời điểm Thông tư có hiệu lực…trong vòng 6 tháng kể từ này có hiệu lực thi hành</w:t>
      </w:r>
      <w:r w:rsidR="00712A6F">
        <w:rPr>
          <w:rFonts w:ascii="Times New Roman" w:hAnsi="Times New Roman"/>
          <w:sz w:val="24"/>
          <w:szCs w:val="24"/>
        </w:rPr>
        <w:t xml:space="preserve">, </w:t>
      </w:r>
      <w:r w:rsidR="00610D64" w:rsidRPr="007856C2">
        <w:rPr>
          <w:rFonts w:ascii="Times New Roman" w:hAnsi="Times New Roman"/>
          <w:sz w:val="24"/>
          <w:szCs w:val="24"/>
        </w:rPr>
        <w:t xml:space="preserve">mà </w:t>
      </w:r>
      <w:r w:rsidR="00712A6F">
        <w:rPr>
          <w:rFonts w:ascii="Times New Roman" w:hAnsi="Times New Roman"/>
          <w:sz w:val="24"/>
          <w:szCs w:val="24"/>
        </w:rPr>
        <w:t>không quy đị</w:t>
      </w:r>
      <w:r w:rsidR="001375BB">
        <w:rPr>
          <w:rFonts w:ascii="Times New Roman" w:hAnsi="Times New Roman"/>
          <w:sz w:val="24"/>
          <w:szCs w:val="24"/>
        </w:rPr>
        <w:t xml:space="preserve">nh trách nhiệm của </w:t>
      </w:r>
      <w:r w:rsidR="00610D64" w:rsidRPr="007856C2">
        <w:rPr>
          <w:rFonts w:ascii="Times New Roman" w:hAnsi="Times New Roman"/>
          <w:sz w:val="24"/>
          <w:szCs w:val="24"/>
        </w:rPr>
        <w:t>Ngân hàng hợp tác với các tổ chức TGTT</w:t>
      </w:r>
      <w:r w:rsidR="001375BB">
        <w:rPr>
          <w:rFonts w:ascii="Times New Roman" w:hAnsi="Times New Roman"/>
          <w:sz w:val="24"/>
          <w:szCs w:val="24"/>
        </w:rPr>
        <w:t xml:space="preserve"> . Do đó, kính mong Ngân hàng nhà nước làm rõ với</w:t>
      </w:r>
      <w:r w:rsidR="007856C2" w:rsidRPr="001375BB">
        <w:rPr>
          <w:rFonts w:ascii="Times New Roman" w:hAnsi="Times New Roman"/>
          <w:sz w:val="24"/>
          <w:szCs w:val="24"/>
        </w:rPr>
        <w:t xml:space="preserve"> các trường hợp Tổ chức TGTT đã sử dụng </w:t>
      </w:r>
      <w:r w:rsidR="004A4077" w:rsidRPr="001375BB">
        <w:rPr>
          <w:rFonts w:ascii="Times New Roman" w:hAnsi="Times New Roman"/>
          <w:sz w:val="24"/>
          <w:szCs w:val="24"/>
        </w:rPr>
        <w:t>tài khoản thanh toán</w:t>
      </w:r>
      <w:r w:rsidR="007856C2" w:rsidRPr="001375BB">
        <w:rPr>
          <w:rFonts w:ascii="Times New Roman" w:hAnsi="Times New Roman"/>
          <w:sz w:val="24"/>
          <w:szCs w:val="24"/>
        </w:rPr>
        <w:t xml:space="preserve"> chung các mục đích nêu trên trước thời điểm </w:t>
      </w:r>
      <w:r w:rsidR="004A4077" w:rsidRPr="001375BB">
        <w:rPr>
          <w:rFonts w:ascii="Times New Roman" w:hAnsi="Times New Roman"/>
          <w:sz w:val="24"/>
          <w:szCs w:val="24"/>
        </w:rPr>
        <w:t>quy định</w:t>
      </w:r>
      <w:r w:rsidR="007856C2" w:rsidRPr="001375BB">
        <w:rPr>
          <w:rFonts w:ascii="Times New Roman" w:hAnsi="Times New Roman"/>
          <w:sz w:val="24"/>
          <w:szCs w:val="24"/>
        </w:rPr>
        <w:t xml:space="preserve"> này có hiệu lực thi hành thì có </w:t>
      </w:r>
      <w:r w:rsidR="00331CD6" w:rsidRPr="001375BB">
        <w:rPr>
          <w:rFonts w:ascii="Times New Roman" w:hAnsi="Times New Roman"/>
          <w:sz w:val="24"/>
          <w:szCs w:val="24"/>
        </w:rPr>
        <w:t>chịu sự điều chỉnh của quy định nêu trên hay không</w:t>
      </w:r>
      <w:r w:rsidR="007856C2" w:rsidRPr="001375BB">
        <w:rPr>
          <w:rFonts w:ascii="Times New Roman" w:hAnsi="Times New Roman"/>
          <w:sz w:val="24"/>
          <w:szCs w:val="24"/>
        </w:rPr>
        <w:t xml:space="preserve">? các </w:t>
      </w:r>
      <w:r w:rsidR="004A4077" w:rsidRPr="001375BB">
        <w:rPr>
          <w:rFonts w:ascii="Times New Roman" w:hAnsi="Times New Roman"/>
          <w:sz w:val="24"/>
          <w:szCs w:val="24"/>
        </w:rPr>
        <w:t>n</w:t>
      </w:r>
      <w:r w:rsidR="007856C2" w:rsidRPr="001375BB">
        <w:rPr>
          <w:rFonts w:ascii="Times New Roman" w:hAnsi="Times New Roman"/>
          <w:sz w:val="24"/>
          <w:szCs w:val="24"/>
        </w:rPr>
        <w:t xml:space="preserve">gân hàng có cần </w:t>
      </w:r>
      <w:r w:rsidR="005A5E89">
        <w:rPr>
          <w:rFonts w:ascii="Times New Roman" w:hAnsi="Times New Roman"/>
          <w:sz w:val="24"/>
          <w:szCs w:val="24"/>
        </w:rPr>
        <w:t xml:space="preserve">cài đặt lại tổng số dư </w:t>
      </w:r>
      <w:r w:rsidR="007856C2" w:rsidRPr="001375BB">
        <w:rPr>
          <w:rFonts w:ascii="Times New Roman" w:hAnsi="Times New Roman"/>
          <w:sz w:val="24"/>
          <w:szCs w:val="24"/>
        </w:rPr>
        <w:t xml:space="preserve">trên TKĐBTT </w:t>
      </w:r>
      <w:r w:rsidR="001C0F3D">
        <w:rPr>
          <w:rFonts w:ascii="Times New Roman" w:hAnsi="Times New Roman"/>
          <w:sz w:val="24"/>
          <w:szCs w:val="24"/>
        </w:rPr>
        <w:t xml:space="preserve">theo đúng quy định tại Dự thảo thông tư </w:t>
      </w:r>
      <w:r w:rsidR="007856C2" w:rsidRPr="001375BB">
        <w:rPr>
          <w:rFonts w:ascii="Times New Roman" w:hAnsi="Times New Roman"/>
          <w:sz w:val="24"/>
          <w:szCs w:val="24"/>
        </w:rPr>
        <w:t xml:space="preserve">cho các trường hợp trước ngày </w:t>
      </w:r>
      <w:r w:rsidR="001C0F3D">
        <w:rPr>
          <w:rFonts w:ascii="Times New Roman" w:hAnsi="Times New Roman"/>
          <w:sz w:val="24"/>
          <w:szCs w:val="24"/>
        </w:rPr>
        <w:t>quy định</w:t>
      </w:r>
      <w:r w:rsidR="007856C2" w:rsidRPr="001375BB">
        <w:rPr>
          <w:rFonts w:ascii="Times New Roman" w:hAnsi="Times New Roman"/>
          <w:sz w:val="24"/>
          <w:szCs w:val="24"/>
        </w:rPr>
        <w:t xml:space="preserve"> có hiệu lực hay không? </w:t>
      </w:r>
    </w:p>
    <w:p w:rsidR="00123807" w:rsidRPr="000906D7" w:rsidRDefault="00123807" w:rsidP="00123807">
      <w:pPr>
        <w:pStyle w:val="ListParagraph"/>
        <w:numPr>
          <w:ilvl w:val="0"/>
          <w:numId w:val="17"/>
        </w:numPr>
        <w:spacing w:before="120" w:after="120" w:line="24" w:lineRule="atLeast"/>
        <w:contextualSpacing w:val="0"/>
        <w:jc w:val="both"/>
        <w:rPr>
          <w:rFonts w:ascii="Times New Roman" w:hAnsi="Times New Roman" w:cs="Times New Roman"/>
          <w:b/>
          <w:sz w:val="24"/>
          <w:szCs w:val="24"/>
        </w:rPr>
      </w:pPr>
      <w:bookmarkStart w:id="0" w:name="dieu_9"/>
      <w:r w:rsidRPr="000906D7">
        <w:rPr>
          <w:rFonts w:ascii="Times New Roman" w:hAnsi="Times New Roman" w:cs="Times New Roman"/>
          <w:b/>
          <w:bCs/>
          <w:color w:val="000000"/>
          <w:sz w:val="24"/>
          <w:szCs w:val="24"/>
          <w:shd w:val="clear" w:color="auto" w:fill="FFFFFF"/>
        </w:rPr>
        <w:t>Điều 9</w:t>
      </w:r>
      <w:r w:rsidR="00497FD4" w:rsidRPr="000906D7">
        <w:rPr>
          <w:rFonts w:ascii="Times New Roman" w:hAnsi="Times New Roman" w:cs="Times New Roman"/>
          <w:b/>
          <w:bCs/>
          <w:color w:val="000000"/>
          <w:sz w:val="24"/>
          <w:szCs w:val="24"/>
          <w:shd w:val="clear" w:color="auto" w:fill="FFFFFF"/>
        </w:rPr>
        <w:t xml:space="preserve"> </w:t>
      </w:r>
      <w:r w:rsidR="00497FD4" w:rsidRPr="000906D7">
        <w:rPr>
          <w:rFonts w:ascii="Times New Roman" w:hAnsi="Times New Roman" w:cs="Times New Roman"/>
          <w:b/>
          <w:sz w:val="24"/>
          <w:szCs w:val="24"/>
        </w:rPr>
        <w:t>Thông tư 39</w:t>
      </w:r>
      <w:r w:rsidRPr="000906D7">
        <w:rPr>
          <w:rFonts w:ascii="Times New Roman" w:hAnsi="Times New Roman" w:cs="Times New Roman"/>
          <w:b/>
          <w:bCs/>
          <w:color w:val="000000"/>
          <w:sz w:val="24"/>
          <w:szCs w:val="24"/>
          <w:shd w:val="clear" w:color="auto" w:fill="FFFFFF"/>
        </w:rPr>
        <w:t>. Hoạt động cung ứng Ví điện tử</w:t>
      </w:r>
      <w:bookmarkEnd w:id="0"/>
    </w:p>
    <w:p w:rsidR="0056285B" w:rsidRPr="00455ACF" w:rsidRDefault="00455ACF" w:rsidP="00455ACF">
      <w:pPr>
        <w:pStyle w:val="ListParagraph"/>
        <w:numPr>
          <w:ilvl w:val="1"/>
          <w:numId w:val="22"/>
        </w:numPr>
        <w:spacing w:before="120" w:after="120" w:line="24" w:lineRule="atLeast"/>
        <w:jc w:val="both"/>
        <w:rPr>
          <w:rFonts w:ascii="Times New Roman" w:hAnsi="Times New Roman" w:cs="Times New Roman"/>
          <w:sz w:val="24"/>
          <w:szCs w:val="24"/>
        </w:rPr>
      </w:pPr>
      <w:r w:rsidRPr="00455ACF">
        <w:rPr>
          <w:rFonts w:ascii="Times New Roman" w:hAnsi="Times New Roman"/>
          <w:sz w:val="24"/>
          <w:szCs w:val="24"/>
        </w:rPr>
        <w:t>T</w:t>
      </w:r>
      <w:r w:rsidR="00B33A46" w:rsidRPr="00455ACF">
        <w:rPr>
          <w:rFonts w:ascii="Times New Roman" w:hAnsi="Times New Roman"/>
          <w:sz w:val="24"/>
          <w:szCs w:val="24"/>
        </w:rPr>
        <w:t xml:space="preserve">ừ khoản 1 đến khoản 4 Dự thảo thông tư đang quy định yêu cầu Tổ chức cung ứng dịch vụ Ví điện tử phải </w:t>
      </w:r>
      <w:r w:rsidR="00964DBA" w:rsidRPr="00455ACF">
        <w:rPr>
          <w:rFonts w:ascii="Times New Roman" w:hAnsi="Times New Roman"/>
          <w:sz w:val="24"/>
          <w:szCs w:val="24"/>
        </w:rPr>
        <w:t>thực hiện các thủ tục định danh khách hàng mở Ví thông qua việc yêu cầu khách hàng xuất trìn hcác tài liệu định danh/nhận biết khách hàng theo đúng quy định. Tuy nhiên, trong trường hợp</w:t>
      </w:r>
      <w:r w:rsidR="003D6A49" w:rsidRPr="00455ACF">
        <w:rPr>
          <w:rFonts w:ascii="Times New Roman" w:hAnsi="Times New Roman"/>
          <w:sz w:val="24"/>
          <w:szCs w:val="24"/>
        </w:rPr>
        <w:t xml:space="preserve"> Tổ chức cung ứng dịch vụ Ví và tổ chức mở tài khoản cho khách hàng là 2 tổ chứ</w:t>
      </w:r>
      <w:r w:rsidR="00A7352C" w:rsidRPr="00455ACF">
        <w:rPr>
          <w:rFonts w:ascii="Times New Roman" w:hAnsi="Times New Roman"/>
          <w:sz w:val="24"/>
          <w:szCs w:val="24"/>
        </w:rPr>
        <w:t xml:space="preserve">c khác nhau sẽ phát sinh yêu cầu khách hàng phải thực hiện thủ tục cung cấp định danh nhiều lần trước khi hoàn tất việc mở Ví. Điều này sẽ dẫn tới những thủ tục chồng chéo, gây phiền hà cho khách hàng. Do đó, </w:t>
      </w:r>
      <w:r w:rsidR="001F7D0C" w:rsidRPr="00455ACF">
        <w:rPr>
          <w:rFonts w:ascii="Times New Roman" w:hAnsi="Times New Roman"/>
          <w:sz w:val="24"/>
          <w:szCs w:val="24"/>
        </w:rPr>
        <w:t>Techcombank đề xuất việc mở ví, và nhận diện khách hàng mở ví có thể được rút gọn theo hướng: Ví điện tử khi mở phải có xác thực KYC bởi k</w:t>
      </w:r>
      <w:r w:rsidR="00383538" w:rsidRPr="00455ACF">
        <w:rPr>
          <w:rFonts w:ascii="Times New Roman" w:hAnsi="Times New Roman"/>
          <w:sz w:val="24"/>
          <w:szCs w:val="24"/>
        </w:rPr>
        <w:t xml:space="preserve">hách </w:t>
      </w:r>
      <w:r w:rsidR="001F7D0C" w:rsidRPr="00455ACF">
        <w:rPr>
          <w:rFonts w:ascii="Times New Roman" w:hAnsi="Times New Roman"/>
          <w:sz w:val="24"/>
          <w:szCs w:val="24"/>
        </w:rPr>
        <w:t xml:space="preserve">hàng mở ví thông qua </w:t>
      </w:r>
      <w:r w:rsidR="00383538" w:rsidRPr="00455ACF">
        <w:rPr>
          <w:rFonts w:ascii="Times New Roman" w:hAnsi="Times New Roman"/>
          <w:sz w:val="24"/>
          <w:szCs w:val="24"/>
        </w:rPr>
        <w:t>thông tin định danh</w:t>
      </w:r>
      <w:r w:rsidR="001F7D0C" w:rsidRPr="00455ACF">
        <w:rPr>
          <w:rFonts w:ascii="Times New Roman" w:hAnsi="Times New Roman"/>
          <w:sz w:val="24"/>
          <w:szCs w:val="24"/>
        </w:rPr>
        <w:t xml:space="preserve"> khách hàng</w:t>
      </w:r>
      <w:r w:rsidR="00383538" w:rsidRPr="00455ACF">
        <w:rPr>
          <w:rFonts w:ascii="Times New Roman" w:hAnsi="Times New Roman"/>
          <w:sz w:val="24"/>
          <w:szCs w:val="24"/>
        </w:rPr>
        <w:t xml:space="preserve"> (có thể là mật khẩu, hoặc các hình thức xác thực tương tự khác)</w:t>
      </w:r>
      <w:r w:rsidR="001F7D0C" w:rsidRPr="00455ACF">
        <w:rPr>
          <w:rFonts w:ascii="Times New Roman" w:hAnsi="Times New Roman"/>
          <w:sz w:val="24"/>
          <w:szCs w:val="24"/>
        </w:rPr>
        <w:t xml:space="preserve"> được ngân hàng mở tài khoản cấp cho việc sử dụng thẻ</w:t>
      </w:r>
      <w:r w:rsidR="00EA0924" w:rsidRPr="00455ACF">
        <w:rPr>
          <w:rFonts w:ascii="Times New Roman" w:hAnsi="Times New Roman"/>
          <w:sz w:val="24"/>
          <w:szCs w:val="24"/>
        </w:rPr>
        <w:t xml:space="preserve"> và Ebanking. Đông thời,</w:t>
      </w:r>
      <w:r w:rsidR="002C156B" w:rsidRPr="00455ACF">
        <w:rPr>
          <w:rFonts w:ascii="Times New Roman" w:hAnsi="Times New Roman"/>
          <w:sz w:val="24"/>
          <w:szCs w:val="24"/>
        </w:rPr>
        <w:t xml:space="preserve"> hồ sơ mở ví của khách hàng sẽ được ngân hàng mở tài khoản hỗ trợ chuyển giao </w:t>
      </w:r>
      <w:r w:rsidR="00EA0924" w:rsidRPr="00455ACF">
        <w:rPr>
          <w:rFonts w:ascii="Times New Roman" w:hAnsi="Times New Roman"/>
          <w:sz w:val="24"/>
          <w:szCs w:val="24"/>
        </w:rPr>
        <w:t xml:space="preserve">cho tổ chức TGTT </w:t>
      </w:r>
      <w:r w:rsidR="002C156B" w:rsidRPr="00455ACF">
        <w:rPr>
          <w:rFonts w:ascii="Times New Roman" w:hAnsi="Times New Roman"/>
          <w:sz w:val="24"/>
          <w:szCs w:val="24"/>
        </w:rPr>
        <w:t xml:space="preserve">trên cơ sở thỏa thuận </w:t>
      </w:r>
      <w:r w:rsidR="00EA0924" w:rsidRPr="00455ACF">
        <w:rPr>
          <w:rFonts w:ascii="Times New Roman" w:hAnsi="Times New Roman"/>
          <w:sz w:val="24"/>
          <w:szCs w:val="24"/>
        </w:rPr>
        <w:t>giữa khách hàng mở ví, tổ chức TGTT, và ngân hàng hỗ trợ.</w:t>
      </w:r>
    </w:p>
    <w:p w:rsidR="00C10A10" w:rsidRPr="0056285B" w:rsidRDefault="00C10A10" w:rsidP="00455ACF">
      <w:pPr>
        <w:pStyle w:val="ListParagraph"/>
        <w:numPr>
          <w:ilvl w:val="1"/>
          <w:numId w:val="22"/>
        </w:numPr>
        <w:spacing w:before="120" w:after="120" w:line="24" w:lineRule="atLeast"/>
        <w:jc w:val="both"/>
        <w:rPr>
          <w:rFonts w:ascii="Times New Roman" w:hAnsi="Times New Roman" w:cs="Times New Roman"/>
          <w:bCs/>
          <w:color w:val="000000"/>
          <w:sz w:val="24"/>
          <w:szCs w:val="24"/>
          <w:shd w:val="clear" w:color="auto" w:fill="FFFFFF"/>
        </w:rPr>
      </w:pPr>
      <w:r w:rsidRPr="0056285B">
        <w:rPr>
          <w:rFonts w:ascii="Times New Roman" w:hAnsi="Times New Roman" w:cs="Times New Roman"/>
          <w:bCs/>
          <w:color w:val="000000"/>
          <w:sz w:val="24"/>
          <w:szCs w:val="24"/>
          <w:shd w:val="clear" w:color="auto" w:fill="FFFFFF"/>
        </w:rPr>
        <w:t>Điểm b, d</w:t>
      </w:r>
      <w:r w:rsidR="00115131" w:rsidRPr="0056285B">
        <w:rPr>
          <w:rFonts w:ascii="Times New Roman" w:hAnsi="Times New Roman" w:cs="Times New Roman"/>
          <w:bCs/>
          <w:color w:val="000000"/>
          <w:sz w:val="24"/>
          <w:szCs w:val="24"/>
          <w:shd w:val="clear" w:color="auto" w:fill="FFFFFF"/>
        </w:rPr>
        <w:t>, e</w:t>
      </w:r>
      <w:r w:rsidRPr="0056285B">
        <w:rPr>
          <w:rFonts w:ascii="Times New Roman" w:hAnsi="Times New Roman" w:cs="Times New Roman"/>
          <w:bCs/>
          <w:color w:val="000000"/>
          <w:sz w:val="24"/>
          <w:szCs w:val="24"/>
          <w:shd w:val="clear" w:color="auto" w:fill="FFFFFF"/>
        </w:rPr>
        <w:t xml:space="preserve"> Khoản 5 Điều 9 Dự thảo thông tư đang quy định: </w:t>
      </w:r>
      <w:r w:rsidR="00115131" w:rsidRPr="0056285B">
        <w:rPr>
          <w:rFonts w:ascii="Times New Roman" w:hAnsi="Times New Roman" w:cs="Times New Roman"/>
          <w:bCs/>
          <w:color w:val="000000"/>
          <w:sz w:val="24"/>
          <w:szCs w:val="24"/>
          <w:shd w:val="clear" w:color="auto" w:fill="FFFFFF"/>
        </w:rPr>
        <w:t>“</w:t>
      </w:r>
    </w:p>
    <w:p w:rsidR="00142744" w:rsidRPr="00F46F7B" w:rsidRDefault="00142744" w:rsidP="00F25183">
      <w:pPr>
        <w:spacing w:before="60" w:after="60" w:line="264" w:lineRule="auto"/>
        <w:ind w:left="360" w:firstLine="720"/>
        <w:jc w:val="both"/>
        <w:rPr>
          <w:rFonts w:ascii="Times New Roman" w:hAnsi="Times New Roman"/>
          <w:i/>
          <w:color w:val="000000"/>
          <w:sz w:val="24"/>
          <w:szCs w:val="24"/>
          <w:lang w:val="sv-SE"/>
        </w:rPr>
      </w:pPr>
      <w:r w:rsidRPr="00F46F7B">
        <w:rPr>
          <w:rFonts w:ascii="Times New Roman" w:hAnsi="Times New Roman"/>
          <w:i/>
          <w:color w:val="000000"/>
          <w:sz w:val="24"/>
          <w:szCs w:val="24"/>
          <w:lang w:val="sv-SE"/>
        </w:rPr>
        <w:t xml:space="preserve">b) Khách hàng được </w:t>
      </w:r>
      <w:r w:rsidRPr="00F46F7B">
        <w:rPr>
          <w:rFonts w:ascii="Times New Roman" w:hAnsi="Times New Roman"/>
          <w:i/>
          <w:color w:val="000000"/>
          <w:sz w:val="24"/>
          <w:szCs w:val="24"/>
          <w:shd w:val="solid" w:color="FFFFFF" w:fill="auto"/>
          <w:lang w:val="sv-SE"/>
        </w:rPr>
        <w:t>sử dụng</w:t>
      </w:r>
      <w:r w:rsidRPr="00F46F7B">
        <w:rPr>
          <w:rFonts w:ascii="Times New Roman" w:hAnsi="Times New Roman"/>
          <w:i/>
          <w:color w:val="000000"/>
          <w:sz w:val="24"/>
          <w:szCs w:val="24"/>
          <w:lang w:val="sv-SE"/>
        </w:rPr>
        <w:t xml:space="preserve"> Ví điện tử để chuyển tiền cho Ví điện tử khác do cùng tổ chức cung ứng dịch vụ Ví điện tử mở; thanh toán cho các hàng hóa, dịch vụ hợp pháp; rút tiền </w:t>
      </w:r>
      <w:r w:rsidRPr="00F46F7B">
        <w:rPr>
          <w:rFonts w:ascii="Times New Roman" w:hAnsi="Times New Roman"/>
          <w:i/>
          <w:color w:val="000000"/>
          <w:sz w:val="24"/>
          <w:szCs w:val="24"/>
          <w:lang w:val="sv-SE"/>
        </w:rPr>
        <w:lastRenderedPageBreak/>
        <w:t>ra khỏi Ví điện tử về tài khoản thanh toán hoặc thẻ ghi nợ của khách hàng đã liên kết với Ví điện tử;</w:t>
      </w:r>
    </w:p>
    <w:p w:rsidR="00142744" w:rsidRPr="00F46F7B" w:rsidRDefault="00142744" w:rsidP="00F25183">
      <w:pPr>
        <w:spacing w:before="60" w:after="60" w:line="264" w:lineRule="auto"/>
        <w:ind w:left="360" w:firstLine="720"/>
        <w:jc w:val="both"/>
        <w:rPr>
          <w:rFonts w:ascii="Times New Roman" w:hAnsi="Times New Roman"/>
          <w:i/>
          <w:color w:val="000000"/>
          <w:sz w:val="24"/>
          <w:szCs w:val="24"/>
          <w:lang w:val="sv-SE"/>
        </w:rPr>
      </w:pPr>
      <w:r w:rsidRPr="00F46F7B">
        <w:rPr>
          <w:rFonts w:ascii="Times New Roman" w:hAnsi="Times New Roman"/>
          <w:i/>
          <w:color w:val="000000"/>
          <w:sz w:val="24"/>
          <w:szCs w:val="24"/>
          <w:lang w:val="sv-SE"/>
        </w:rPr>
        <w:t>d) Tổng hạn mức giao dịch của một Ví điện tử của cá nhân (bao gồm giao dịch chuyển tiền từ Ví điện tử sang Ví điện tử khác và giao dịch thanh toán cho các hàng hóa, dịch vụ hợp pháp) tối đa là 20 (hai mươi) triệu đồng Việt Nam trong một ngày và 100 (một trăm) triệu đồng Việt Nam trong một tháng;</w:t>
      </w:r>
    </w:p>
    <w:p w:rsidR="00142744" w:rsidRPr="00F46F7B" w:rsidRDefault="00142744" w:rsidP="00F25183">
      <w:pPr>
        <w:spacing w:before="60" w:after="60" w:line="264" w:lineRule="auto"/>
        <w:ind w:left="360" w:firstLine="720"/>
        <w:jc w:val="both"/>
        <w:rPr>
          <w:rFonts w:ascii="Times New Roman" w:hAnsi="Times New Roman"/>
          <w:i/>
          <w:color w:val="000000"/>
          <w:sz w:val="24"/>
          <w:szCs w:val="24"/>
          <w:lang w:val="sv-SE"/>
        </w:rPr>
      </w:pPr>
      <w:r w:rsidRPr="00F46F7B">
        <w:rPr>
          <w:rFonts w:ascii="Times New Roman" w:hAnsi="Times New Roman"/>
          <w:i/>
          <w:color w:val="000000"/>
          <w:sz w:val="24"/>
          <w:szCs w:val="24"/>
          <w:lang w:val="sv-SE"/>
        </w:rPr>
        <w:t>e) Tổng hạn mức giao dịch của một Ví điện tử của tổ chức (bao gồm giao dịch chuyển tiền từ Ví điện tử sang Ví điện tử khác và giao dịch thanh toán cho các hàng hóa, dịch vụ hợp pháp) tối đa là 100 (một trăm) triệu đồng Việt Nam trong một ngày và 500 (năm trăm) triệu đồng Việt Nam trong một tháng;</w:t>
      </w:r>
      <w:r w:rsidR="00115131" w:rsidRPr="00F46F7B">
        <w:rPr>
          <w:rFonts w:ascii="Times New Roman" w:hAnsi="Times New Roman"/>
          <w:i/>
          <w:color w:val="000000"/>
          <w:sz w:val="24"/>
          <w:szCs w:val="24"/>
          <w:lang w:val="sv-SE"/>
        </w:rPr>
        <w:t>”</w:t>
      </w:r>
    </w:p>
    <w:p w:rsidR="00C10A10" w:rsidRDefault="00115131" w:rsidP="00F25183">
      <w:pPr>
        <w:spacing w:before="60" w:after="60" w:line="264" w:lineRule="auto"/>
        <w:ind w:left="360"/>
        <w:jc w:val="both"/>
        <w:rPr>
          <w:rFonts w:ascii="Times New Roman" w:hAnsi="Times New Roman"/>
          <w:color w:val="000000"/>
          <w:sz w:val="24"/>
          <w:szCs w:val="24"/>
          <w:lang w:val="sv-SE"/>
        </w:rPr>
      </w:pPr>
      <w:r w:rsidRPr="00F46F7B">
        <w:rPr>
          <w:rFonts w:ascii="Times New Roman" w:hAnsi="Times New Roman"/>
          <w:color w:val="000000"/>
          <w:sz w:val="24"/>
          <w:szCs w:val="24"/>
          <w:lang w:val="sv-SE"/>
        </w:rPr>
        <w:t xml:space="preserve">Đề nghị Ngân hàng nhà nước làm rõ: Khách hàng có thể sử dụng Ví điện tử để rút tiền trực tiếp (không qua tài khoản thanh toán) qua Máy giao dịch tự động của </w:t>
      </w:r>
      <w:r w:rsidR="00F46F7B">
        <w:rPr>
          <w:rFonts w:ascii="Times New Roman" w:hAnsi="Times New Roman"/>
          <w:color w:val="000000"/>
          <w:sz w:val="24"/>
          <w:szCs w:val="24"/>
          <w:lang w:val="sv-SE"/>
        </w:rPr>
        <w:t>n</w:t>
      </w:r>
      <w:r w:rsidRPr="00F46F7B">
        <w:rPr>
          <w:rFonts w:ascii="Times New Roman" w:hAnsi="Times New Roman"/>
          <w:color w:val="000000"/>
          <w:sz w:val="24"/>
          <w:szCs w:val="24"/>
          <w:lang w:val="sv-SE"/>
        </w:rPr>
        <w:t xml:space="preserve">gân hàng, hoặc tại quầy của ngân hàng được không?đồng thời kính đề nghị Ngân hàng nhà nước làm rõ </w:t>
      </w:r>
      <w:r w:rsidR="001140CE" w:rsidRPr="00F46F7B">
        <w:rPr>
          <w:rFonts w:ascii="Times New Roman" w:hAnsi="Times New Roman"/>
          <w:color w:val="000000"/>
          <w:sz w:val="24"/>
          <w:szCs w:val="24"/>
          <w:lang w:val="sv-SE"/>
        </w:rPr>
        <w:t>giao dịch chuyển tiền từ Ví điện tử vào tài khoản thanh toán hoặc thẻ ghi nợ của khách hàng có phải áp dụng quy định về tổng hạn mức giao dịch trong ngày hoặc trong tháng hay không</w:t>
      </w:r>
    </w:p>
    <w:p w:rsidR="0056285B" w:rsidRPr="000906D7" w:rsidRDefault="0056285B" w:rsidP="0056285B">
      <w:pPr>
        <w:pStyle w:val="ListParagraph"/>
        <w:numPr>
          <w:ilvl w:val="0"/>
          <w:numId w:val="17"/>
        </w:numPr>
        <w:spacing w:before="120" w:after="120" w:line="24" w:lineRule="atLeast"/>
        <w:contextualSpacing w:val="0"/>
        <w:jc w:val="both"/>
        <w:rPr>
          <w:rFonts w:ascii="Times New Roman" w:hAnsi="Times New Roman" w:cs="Times New Roman"/>
          <w:b/>
          <w:bCs/>
          <w:color w:val="000000"/>
          <w:sz w:val="24"/>
          <w:szCs w:val="24"/>
          <w:shd w:val="clear" w:color="auto" w:fill="FFFFFF"/>
        </w:rPr>
      </w:pPr>
      <w:r w:rsidRPr="000906D7">
        <w:rPr>
          <w:rFonts w:ascii="Times New Roman" w:hAnsi="Times New Roman" w:cs="Times New Roman"/>
          <w:b/>
          <w:bCs/>
          <w:color w:val="000000"/>
          <w:sz w:val="24"/>
          <w:szCs w:val="24"/>
          <w:shd w:val="clear" w:color="auto" w:fill="FFFFFF"/>
        </w:rPr>
        <w:t>Điều 16. Báo cáo, cung cấp thông tin</w:t>
      </w:r>
    </w:p>
    <w:p w:rsidR="0056285B" w:rsidRPr="00437257" w:rsidRDefault="0056285B" w:rsidP="0056285B">
      <w:pPr>
        <w:pStyle w:val="ListParagraph"/>
        <w:spacing w:before="120" w:after="120" w:line="24" w:lineRule="atLeast"/>
        <w:ind w:left="360"/>
        <w:contextualSpacing w:val="0"/>
        <w:jc w:val="both"/>
        <w:rPr>
          <w:rFonts w:ascii="Times New Roman" w:hAnsi="Times New Roman"/>
          <w:i/>
          <w:sz w:val="24"/>
          <w:szCs w:val="24"/>
        </w:rPr>
      </w:pPr>
      <w:r w:rsidRPr="00436E20">
        <w:rPr>
          <w:rFonts w:ascii="Times New Roman" w:hAnsi="Times New Roman"/>
          <w:sz w:val="24"/>
          <w:szCs w:val="24"/>
        </w:rPr>
        <w:t xml:space="preserve">Khoản 1 Điều 16 Dự thảo thông tư quy định: </w:t>
      </w:r>
      <w:r w:rsidRPr="00437257">
        <w:rPr>
          <w:rFonts w:ascii="Times New Roman" w:hAnsi="Times New Roman"/>
          <w:i/>
          <w:sz w:val="24"/>
          <w:szCs w:val="24"/>
        </w:rPr>
        <w:t>“Tổ chức cung ứng dịch vụ trung gian thanh toán gửi Báo cáo về hoạt động cung ứng dịch vụ trung gian thanh toán bằng văn bản (giấy) trực tiếp hoặc qua dịch vụ bưu chính về Ngân hàng Nhà nước (Vụ Thanh toán) định kỳ hàng quý, năm...”</w:t>
      </w:r>
    </w:p>
    <w:p w:rsidR="0056285B" w:rsidRPr="0056285B" w:rsidRDefault="0056285B" w:rsidP="0056285B">
      <w:pPr>
        <w:pStyle w:val="ListParagraph"/>
        <w:spacing w:before="120" w:after="120" w:line="24" w:lineRule="atLeast"/>
        <w:ind w:left="360"/>
        <w:contextualSpacing w:val="0"/>
        <w:jc w:val="both"/>
        <w:rPr>
          <w:rFonts w:ascii="Times New Roman" w:hAnsi="Times New Roman"/>
          <w:sz w:val="24"/>
          <w:szCs w:val="24"/>
        </w:rPr>
      </w:pPr>
      <w:r w:rsidRPr="00436E20">
        <w:rPr>
          <w:rFonts w:ascii="Times New Roman" w:hAnsi="Times New Roman"/>
          <w:sz w:val="24"/>
          <w:szCs w:val="24"/>
        </w:rPr>
        <w:t>Xét thấy, việc gửi báo cáo văn bản bằng giấy vừa tạo workload, tăng chi phí, phát sinh vấn đề lưu trữ cho Tổ chức báo cáo và Ngân hàng nhà nước, nên Techcombank kiến nghị Ngân hàng nhà nước xem xét cho phép việc báo cáo thực hiện thông qua việc gửi bản scan đã có xác nhận, đóng dấu... của tổ chức báo cáo đến đầu mối tiếp nhận báo cáo của Ngân hàng nhà nước.</w:t>
      </w:r>
    </w:p>
    <w:p w:rsidR="00EA22AD" w:rsidRPr="000906D7" w:rsidRDefault="00EA22AD" w:rsidP="00C912CD">
      <w:pPr>
        <w:pStyle w:val="ListParagraph"/>
        <w:numPr>
          <w:ilvl w:val="0"/>
          <w:numId w:val="17"/>
        </w:numPr>
        <w:spacing w:before="120" w:after="120" w:line="24" w:lineRule="atLeast"/>
        <w:contextualSpacing w:val="0"/>
        <w:jc w:val="both"/>
        <w:rPr>
          <w:rFonts w:ascii="Times New Roman" w:hAnsi="Times New Roman" w:cs="Times New Roman"/>
          <w:b/>
          <w:bCs/>
          <w:color w:val="000000"/>
          <w:sz w:val="24"/>
          <w:szCs w:val="24"/>
          <w:shd w:val="clear" w:color="auto" w:fill="FFFFFF"/>
        </w:rPr>
      </w:pPr>
      <w:r w:rsidRPr="000906D7">
        <w:rPr>
          <w:rFonts w:ascii="Times New Roman" w:hAnsi="Times New Roman" w:cs="Times New Roman"/>
          <w:b/>
          <w:bCs/>
          <w:color w:val="000000"/>
          <w:sz w:val="24"/>
          <w:szCs w:val="24"/>
          <w:shd w:val="clear" w:color="auto" w:fill="FFFFFF"/>
        </w:rPr>
        <w:t>Một số nội dung góp ý khác:</w:t>
      </w:r>
    </w:p>
    <w:p w:rsidR="00455ACF" w:rsidRPr="00455ACF" w:rsidRDefault="00455ACF" w:rsidP="00455ACF">
      <w:pPr>
        <w:pStyle w:val="ListParagraph"/>
        <w:numPr>
          <w:ilvl w:val="0"/>
          <w:numId w:val="22"/>
        </w:numPr>
        <w:spacing w:before="120" w:after="120" w:line="24" w:lineRule="atLeast"/>
        <w:jc w:val="both"/>
        <w:rPr>
          <w:rFonts w:ascii="Times New Roman" w:hAnsi="Times New Roman"/>
          <w:vanish/>
          <w:sz w:val="24"/>
          <w:szCs w:val="24"/>
        </w:rPr>
      </w:pPr>
    </w:p>
    <w:p w:rsidR="00455ACF" w:rsidRPr="00455ACF" w:rsidRDefault="00455ACF" w:rsidP="00455ACF">
      <w:pPr>
        <w:pStyle w:val="ListParagraph"/>
        <w:numPr>
          <w:ilvl w:val="0"/>
          <w:numId w:val="22"/>
        </w:numPr>
        <w:spacing w:before="120" w:after="120" w:line="24" w:lineRule="atLeast"/>
        <w:jc w:val="both"/>
        <w:rPr>
          <w:rFonts w:ascii="Times New Roman" w:hAnsi="Times New Roman"/>
          <w:vanish/>
          <w:sz w:val="24"/>
          <w:szCs w:val="24"/>
        </w:rPr>
      </w:pPr>
    </w:p>
    <w:p w:rsidR="00C912CD" w:rsidRPr="00455ACF" w:rsidRDefault="00EA22AD" w:rsidP="00455ACF">
      <w:pPr>
        <w:pStyle w:val="ListParagraph"/>
        <w:numPr>
          <w:ilvl w:val="1"/>
          <w:numId w:val="22"/>
        </w:numPr>
        <w:spacing w:before="120" w:after="120" w:line="24" w:lineRule="atLeast"/>
        <w:jc w:val="both"/>
        <w:rPr>
          <w:rFonts w:ascii="Times New Roman" w:hAnsi="Times New Roman"/>
          <w:sz w:val="24"/>
          <w:szCs w:val="24"/>
        </w:rPr>
      </w:pPr>
      <w:r w:rsidRPr="00455ACF">
        <w:rPr>
          <w:rFonts w:ascii="Times New Roman" w:hAnsi="Times New Roman"/>
          <w:sz w:val="24"/>
          <w:szCs w:val="24"/>
        </w:rPr>
        <w:t>Dự thảo thông tư (Điều 1 Dự thảo)</w:t>
      </w:r>
      <w:r w:rsidR="00EE54AC" w:rsidRPr="00455ACF">
        <w:rPr>
          <w:rFonts w:ascii="Times New Roman" w:hAnsi="Times New Roman"/>
          <w:sz w:val="24"/>
          <w:szCs w:val="24"/>
        </w:rPr>
        <w:t xml:space="preserve"> đang loại trừ phạm vi áp dụng cho trường hợp </w:t>
      </w:r>
      <w:r w:rsidR="00F46F7B" w:rsidRPr="00455ACF">
        <w:rPr>
          <w:rFonts w:ascii="Times New Roman" w:hAnsi="Times New Roman"/>
          <w:sz w:val="24"/>
          <w:szCs w:val="24"/>
        </w:rPr>
        <w:t>n</w:t>
      </w:r>
      <w:r w:rsidR="00EE54AC" w:rsidRPr="00455ACF">
        <w:rPr>
          <w:rFonts w:ascii="Times New Roman" w:hAnsi="Times New Roman"/>
          <w:sz w:val="24"/>
          <w:szCs w:val="24"/>
        </w:rPr>
        <w:t xml:space="preserve">gân hàng cung cấp dịch vụ Ví điện tử. </w:t>
      </w:r>
      <w:r w:rsidR="0092672C">
        <w:rPr>
          <w:rFonts w:ascii="Times New Roman" w:hAnsi="Times New Roman"/>
          <w:sz w:val="24"/>
          <w:szCs w:val="24"/>
        </w:rPr>
        <w:t xml:space="preserve">Xuất phát từ yêu cầu cấp thiết của một lượng lớn khách hàng có nhu cầu sử dụng dịch vụ Ví điện tử do ngân hàng trực tiếp cung cấp, và thực tế một số ngân hàng (trong đó có Techcombank) cũng đã được cấp giấy phép cung cấp dịch vụ Ví điện t ử, </w:t>
      </w:r>
      <w:r w:rsidR="0049072C">
        <w:rPr>
          <w:rFonts w:ascii="Times New Roman" w:hAnsi="Times New Roman"/>
          <w:sz w:val="24"/>
          <w:szCs w:val="24"/>
        </w:rPr>
        <w:t>Techcombank k</w:t>
      </w:r>
      <w:r w:rsidR="00EE54AC" w:rsidRPr="00455ACF">
        <w:rPr>
          <w:rFonts w:ascii="Times New Roman" w:hAnsi="Times New Roman"/>
          <w:sz w:val="24"/>
          <w:szCs w:val="24"/>
        </w:rPr>
        <w:t xml:space="preserve">iến nghị </w:t>
      </w:r>
      <w:r w:rsidR="0049072C">
        <w:rPr>
          <w:rFonts w:ascii="Times New Roman" w:hAnsi="Times New Roman"/>
          <w:sz w:val="24"/>
          <w:szCs w:val="24"/>
        </w:rPr>
        <w:t>Ngân hàng nhà nước xem xét điều chỉnh lại quy định về phạm vi áp dụng của Dự thảo thông tư cho cả bên cung cấp dịch vụ là ngân hàng, hoặ</w:t>
      </w:r>
      <w:r w:rsidR="003B730B">
        <w:rPr>
          <w:rFonts w:ascii="Times New Roman" w:hAnsi="Times New Roman"/>
          <w:sz w:val="24"/>
          <w:szCs w:val="24"/>
        </w:rPr>
        <w:t>c</w:t>
      </w:r>
      <w:r w:rsidR="00EE54AC" w:rsidRPr="00455ACF">
        <w:rPr>
          <w:rFonts w:ascii="Times New Roman" w:hAnsi="Times New Roman"/>
          <w:sz w:val="24"/>
          <w:szCs w:val="24"/>
        </w:rPr>
        <w:t xml:space="preserve"> cần sớm </w:t>
      </w:r>
      <w:r w:rsidR="003B730B">
        <w:rPr>
          <w:rFonts w:ascii="Times New Roman" w:hAnsi="Times New Roman"/>
          <w:sz w:val="24"/>
          <w:szCs w:val="24"/>
        </w:rPr>
        <w:t>ban hành</w:t>
      </w:r>
      <w:r w:rsidR="00EE54AC" w:rsidRPr="00455ACF">
        <w:rPr>
          <w:rFonts w:ascii="Times New Roman" w:hAnsi="Times New Roman"/>
          <w:sz w:val="24"/>
          <w:szCs w:val="24"/>
        </w:rPr>
        <w:t xml:space="preserve"> </w:t>
      </w:r>
      <w:r w:rsidR="003B730B">
        <w:rPr>
          <w:rFonts w:ascii="Times New Roman" w:hAnsi="Times New Roman"/>
          <w:sz w:val="24"/>
          <w:szCs w:val="24"/>
        </w:rPr>
        <w:t xml:space="preserve">quy định pháp luật </w:t>
      </w:r>
      <w:r w:rsidR="00EE54AC" w:rsidRPr="00455ACF">
        <w:rPr>
          <w:rFonts w:ascii="Times New Roman" w:hAnsi="Times New Roman"/>
          <w:sz w:val="24"/>
          <w:szCs w:val="24"/>
        </w:rPr>
        <w:t xml:space="preserve">hướng dẫn cụ thể </w:t>
      </w:r>
      <w:r w:rsidR="003B730B">
        <w:rPr>
          <w:rFonts w:ascii="Times New Roman" w:hAnsi="Times New Roman"/>
          <w:sz w:val="24"/>
          <w:szCs w:val="24"/>
        </w:rPr>
        <w:t xml:space="preserve">cho dịch vụ Ví điện tử mà ngân hàng cung cấp </w:t>
      </w:r>
      <w:r w:rsidR="00EE54AC" w:rsidRPr="00455ACF">
        <w:rPr>
          <w:rFonts w:ascii="Times New Roman" w:hAnsi="Times New Roman"/>
          <w:sz w:val="24"/>
          <w:szCs w:val="24"/>
        </w:rPr>
        <w:t xml:space="preserve">nhằm tạo cơ sở pháp lý để </w:t>
      </w:r>
      <w:r w:rsidR="00F46F7B" w:rsidRPr="00455ACF">
        <w:rPr>
          <w:rFonts w:ascii="Times New Roman" w:hAnsi="Times New Roman"/>
          <w:sz w:val="24"/>
          <w:szCs w:val="24"/>
        </w:rPr>
        <w:t>n</w:t>
      </w:r>
      <w:r w:rsidR="00EE54AC" w:rsidRPr="00455ACF">
        <w:rPr>
          <w:rFonts w:ascii="Times New Roman" w:hAnsi="Times New Roman"/>
          <w:sz w:val="24"/>
          <w:szCs w:val="24"/>
        </w:rPr>
        <w:t xml:space="preserve">gân hàng có thể mở rộng hoạt động kinh doanh đối với dịch vụ này. </w:t>
      </w:r>
    </w:p>
    <w:p w:rsidR="00EA22AD" w:rsidRPr="00455ACF" w:rsidRDefault="006D317B" w:rsidP="00455ACF">
      <w:pPr>
        <w:pStyle w:val="ListParagraph"/>
        <w:numPr>
          <w:ilvl w:val="1"/>
          <w:numId w:val="22"/>
        </w:numPr>
        <w:spacing w:before="120" w:after="120" w:line="24" w:lineRule="atLeast"/>
        <w:jc w:val="both"/>
        <w:rPr>
          <w:rFonts w:ascii="Times New Roman" w:hAnsi="Times New Roman"/>
          <w:sz w:val="24"/>
          <w:szCs w:val="24"/>
        </w:rPr>
      </w:pPr>
      <w:r w:rsidRPr="00455ACF">
        <w:rPr>
          <w:rFonts w:ascii="Times New Roman" w:hAnsi="Times New Roman"/>
          <w:sz w:val="24"/>
          <w:szCs w:val="24"/>
        </w:rPr>
        <w:t>Hiện nay, đang có một số khách hàng phát sinh nhu cầu thực hiện giao dịch thanh toán</w:t>
      </w:r>
      <w:r w:rsidR="009C5B51" w:rsidRPr="00455ACF">
        <w:rPr>
          <w:rFonts w:ascii="Times New Roman" w:hAnsi="Times New Roman"/>
          <w:sz w:val="24"/>
          <w:szCs w:val="24"/>
        </w:rPr>
        <w:t xml:space="preserve"> chuyển tiền</w:t>
      </w:r>
      <w:r w:rsidRPr="00455ACF">
        <w:rPr>
          <w:rFonts w:ascii="Times New Roman" w:hAnsi="Times New Roman"/>
          <w:sz w:val="24"/>
          <w:szCs w:val="24"/>
        </w:rPr>
        <w:t xml:space="preserve"> ngoại tệ theo lô </w:t>
      </w:r>
      <w:r w:rsidR="00E17BD5" w:rsidRPr="00455ACF">
        <w:rPr>
          <w:rFonts w:ascii="Times New Roman" w:hAnsi="Times New Roman"/>
          <w:sz w:val="24"/>
          <w:szCs w:val="24"/>
        </w:rPr>
        <w:t xml:space="preserve">từ nước ngoài </w:t>
      </w:r>
      <w:r w:rsidRPr="00455ACF">
        <w:rPr>
          <w:rFonts w:ascii="Times New Roman" w:hAnsi="Times New Roman"/>
          <w:sz w:val="24"/>
          <w:szCs w:val="24"/>
        </w:rPr>
        <w:t>qua</w:t>
      </w:r>
      <w:r w:rsidR="00E17BD5" w:rsidRPr="00455ACF">
        <w:rPr>
          <w:rFonts w:ascii="Times New Roman" w:hAnsi="Times New Roman"/>
          <w:sz w:val="24"/>
          <w:szCs w:val="24"/>
        </w:rPr>
        <w:t xml:space="preserve"> tài khoản trung gian thanh toán của ngân hàng để thực hiện đồng thời giao dịch mua bán ngoại tệ và chuyển </w:t>
      </w:r>
      <w:r w:rsidR="008F7C49" w:rsidRPr="00455ACF">
        <w:rPr>
          <w:rFonts w:ascii="Times New Roman" w:hAnsi="Times New Roman"/>
          <w:sz w:val="24"/>
          <w:szCs w:val="24"/>
        </w:rPr>
        <w:t xml:space="preserve">tiền vào tài khoản thanh toán của người thụ hưởng tại chính ngân hàng nhận khoản tiền theo lô hoặc tại ngân hàng khác. Tuy nhiên, </w:t>
      </w:r>
      <w:r w:rsidR="00D44C7B" w:rsidRPr="00455ACF">
        <w:rPr>
          <w:rFonts w:ascii="Times New Roman" w:hAnsi="Times New Roman"/>
          <w:sz w:val="24"/>
          <w:szCs w:val="24"/>
        </w:rPr>
        <w:t xml:space="preserve">Techcombank nhận thấy đến thời điểm hiện tại chưa có quy định pháp luật nào điều chỉnh hoặc có cơ chế hướng dẫn rõ ràng đối với việc cung cấp dịch vụ theo yêu cầu này của khách hàng. Do đó, kính mong Ngân hàng nhà nước bổ sung quy định hướng dẫn, để tạo hành lang pháp lý cho các tổ chức cung ứng dịch vụ thanh toán nói chung, và các ngân hàng nói riêng </w:t>
      </w:r>
      <w:r w:rsidR="00862031" w:rsidRPr="00455ACF">
        <w:rPr>
          <w:rFonts w:ascii="Times New Roman" w:hAnsi="Times New Roman"/>
          <w:sz w:val="24"/>
          <w:szCs w:val="24"/>
        </w:rPr>
        <w:t>có cơ chế thực hiện thống nhất</w:t>
      </w:r>
      <w:r w:rsidR="009C5B51" w:rsidRPr="00455ACF">
        <w:rPr>
          <w:rFonts w:ascii="Times New Roman" w:hAnsi="Times New Roman"/>
          <w:sz w:val="24"/>
          <w:szCs w:val="24"/>
        </w:rPr>
        <w:t xml:space="preserve"> khi đáp ứng yêu cầu cung cấp dịch vụ của khách hàng.</w:t>
      </w:r>
    </w:p>
    <w:p w:rsidR="00C01B7D" w:rsidRPr="00455ACF" w:rsidRDefault="0074094A" w:rsidP="00455ACF">
      <w:pPr>
        <w:pStyle w:val="ListParagraph"/>
        <w:numPr>
          <w:ilvl w:val="1"/>
          <w:numId w:val="22"/>
        </w:numPr>
        <w:spacing w:before="120" w:after="120" w:line="24" w:lineRule="atLeast"/>
        <w:jc w:val="both"/>
        <w:rPr>
          <w:rFonts w:ascii="Times New Roman" w:hAnsi="Times New Roman"/>
          <w:sz w:val="24"/>
          <w:szCs w:val="24"/>
        </w:rPr>
      </w:pPr>
      <w:r w:rsidRPr="00455ACF">
        <w:rPr>
          <w:rFonts w:ascii="Times New Roman" w:hAnsi="Times New Roman"/>
          <w:sz w:val="24"/>
          <w:szCs w:val="24"/>
        </w:rPr>
        <w:lastRenderedPageBreak/>
        <w:t xml:space="preserve">Techcombank nhận được một số lời kêu gọi hợp tác của các Công ty </w:t>
      </w:r>
      <w:r w:rsidR="00C01B7D" w:rsidRPr="00455ACF">
        <w:rPr>
          <w:rFonts w:ascii="Times New Roman" w:hAnsi="Times New Roman"/>
          <w:sz w:val="24"/>
          <w:szCs w:val="24"/>
        </w:rPr>
        <w:t xml:space="preserve">công nghệ tài chính (Công ty Fintech). Tuy nhiên, do hiện tại </w:t>
      </w:r>
      <w:r w:rsidRPr="00455ACF">
        <w:rPr>
          <w:rFonts w:ascii="Times New Roman" w:hAnsi="Times New Roman"/>
          <w:sz w:val="24"/>
          <w:szCs w:val="24"/>
        </w:rPr>
        <w:t>t</w:t>
      </w:r>
      <w:r w:rsidR="00661588" w:rsidRPr="00455ACF">
        <w:rPr>
          <w:rFonts w:ascii="Times New Roman" w:hAnsi="Times New Roman"/>
          <w:sz w:val="24"/>
          <w:szCs w:val="24"/>
        </w:rPr>
        <w:t xml:space="preserve">thể chế quản lý hoạt động Fintech chưa được đề cập tại bất kỳ văn bản pháp lý cụ thể nào, cũng chưa có quy định về đơn vị chuyên trách hỗ trợ, xử lý các vấn đề liên quan đến hoạt động trong lĩnh vực này. </w:t>
      </w:r>
      <w:r w:rsidR="00C01B7D" w:rsidRPr="00455ACF">
        <w:rPr>
          <w:rFonts w:ascii="Times New Roman" w:hAnsi="Times New Roman"/>
          <w:sz w:val="24"/>
          <w:szCs w:val="24"/>
        </w:rPr>
        <w:t xml:space="preserve">Điều này đã tạo ra cản trở khá lớn </w:t>
      </w:r>
      <w:r w:rsidR="007C2E2B" w:rsidRPr="00455ACF">
        <w:rPr>
          <w:rFonts w:ascii="Times New Roman" w:hAnsi="Times New Roman"/>
          <w:sz w:val="24"/>
          <w:szCs w:val="24"/>
        </w:rPr>
        <w:t>đối với định hướng hợp tác của Techcombank</w:t>
      </w:r>
      <w:r w:rsidR="00020E3C" w:rsidRPr="00455ACF">
        <w:rPr>
          <w:rFonts w:ascii="Times New Roman" w:hAnsi="Times New Roman"/>
          <w:sz w:val="24"/>
          <w:szCs w:val="24"/>
        </w:rPr>
        <w:t xml:space="preserve"> cũng như các ngân hàng</w:t>
      </w:r>
      <w:r w:rsidR="007C2E2B" w:rsidRPr="00455ACF">
        <w:rPr>
          <w:rFonts w:ascii="Times New Roman" w:hAnsi="Times New Roman"/>
          <w:sz w:val="24"/>
          <w:szCs w:val="24"/>
        </w:rPr>
        <w:t xml:space="preserve"> với các công ty Fintech. Do vậy, </w:t>
      </w:r>
      <w:r w:rsidR="000304C0" w:rsidRPr="00455ACF">
        <w:rPr>
          <w:rFonts w:ascii="Times New Roman" w:hAnsi="Times New Roman"/>
          <w:sz w:val="24"/>
          <w:szCs w:val="24"/>
        </w:rPr>
        <w:t>Techcombank đề xuất</w:t>
      </w:r>
      <w:r w:rsidR="007C2E2B" w:rsidRPr="00455ACF">
        <w:rPr>
          <w:rFonts w:ascii="Times New Roman" w:hAnsi="Times New Roman"/>
          <w:sz w:val="24"/>
          <w:szCs w:val="24"/>
        </w:rPr>
        <w:t xml:space="preserve"> Ngân hàng nhà nước </w:t>
      </w:r>
      <w:r w:rsidR="000569DE" w:rsidRPr="00455ACF">
        <w:rPr>
          <w:rFonts w:ascii="Times New Roman" w:hAnsi="Times New Roman"/>
          <w:sz w:val="24"/>
          <w:szCs w:val="24"/>
        </w:rPr>
        <w:t>hoàn thiện khuôn khổ pháp lý tổng thể cho lĩnh vực Fintech nhằm tạo điều kiện để các bên ngân hàng và Fintech thuận lợi hơn khi thực hiện hợp tác cung cấp dịch vụ liên quan tới các khách hàng</w:t>
      </w:r>
    </w:p>
    <w:p w:rsidR="00AE2301" w:rsidRPr="00C01B7D" w:rsidRDefault="00805739" w:rsidP="00C01B7D">
      <w:pPr>
        <w:spacing w:before="120" w:after="120" w:line="24" w:lineRule="atLeast"/>
        <w:ind w:firstLine="360"/>
        <w:jc w:val="both"/>
        <w:rPr>
          <w:rFonts w:ascii="Times New Roman" w:hAnsi="Times New Roman" w:cs="Times New Roman"/>
          <w:sz w:val="24"/>
          <w:szCs w:val="24"/>
        </w:rPr>
      </w:pPr>
      <w:r w:rsidRPr="00C01B7D">
        <w:rPr>
          <w:rFonts w:ascii="Times New Roman" w:hAnsi="Times New Roman" w:cs="Times New Roman"/>
          <w:sz w:val="24"/>
          <w:szCs w:val="24"/>
        </w:rPr>
        <w:t xml:space="preserve">Trên đây là một số ý kiến của Ngân hàng TMCP Kỹ thương Việt Nam đối với </w:t>
      </w:r>
      <w:r w:rsidR="006B5426" w:rsidRPr="00C01B7D">
        <w:rPr>
          <w:rFonts w:ascii="Times New Roman" w:eastAsia="Calibri" w:hAnsi="Times New Roman" w:cs="Times New Roman"/>
          <w:sz w:val="24"/>
          <w:szCs w:val="24"/>
        </w:rPr>
        <w:t xml:space="preserve">dự thảo Thông </w:t>
      </w:r>
      <w:r w:rsidR="00BD7200" w:rsidRPr="00C01B7D">
        <w:rPr>
          <w:rFonts w:ascii="Times New Roman" w:eastAsia="Calibri" w:hAnsi="Times New Roman" w:cs="Times New Roman"/>
          <w:sz w:val="24"/>
          <w:szCs w:val="24"/>
        </w:rPr>
        <w:t>tư sửa đổi, bổ sung một số điều của Thông tư số 39/2014/TT-NHNN hướng dẫn về dịch vụ trung gian thanh toán</w:t>
      </w:r>
      <w:r w:rsidR="005428C3" w:rsidRPr="00C01B7D">
        <w:rPr>
          <w:rFonts w:ascii="Times New Roman" w:eastAsia="Calibri" w:hAnsi="Times New Roman" w:cs="Times New Roman"/>
          <w:sz w:val="24"/>
          <w:szCs w:val="24"/>
        </w:rPr>
        <w:t xml:space="preserve"> do Thống đốc Ngân hàng Nhà nước Việt Nam ban hành</w:t>
      </w:r>
      <w:r w:rsidRPr="00C01B7D">
        <w:rPr>
          <w:rFonts w:ascii="Times New Roman" w:hAnsi="Times New Roman" w:cs="Times New Roman"/>
          <w:sz w:val="24"/>
          <w:szCs w:val="24"/>
        </w:rPr>
        <w:t xml:space="preserve">. </w:t>
      </w:r>
    </w:p>
    <w:p w:rsidR="00805739" w:rsidRPr="00F46F7B" w:rsidRDefault="00805739" w:rsidP="00C912CD">
      <w:pPr>
        <w:spacing w:before="120" w:after="120" w:line="24" w:lineRule="atLeast"/>
        <w:ind w:firstLine="360"/>
        <w:jc w:val="both"/>
        <w:rPr>
          <w:rFonts w:ascii="Times New Roman" w:hAnsi="Times New Roman" w:cs="Times New Roman"/>
          <w:sz w:val="24"/>
          <w:szCs w:val="24"/>
        </w:rPr>
      </w:pPr>
      <w:r w:rsidRPr="00F46F7B">
        <w:rPr>
          <w:rFonts w:ascii="Times New Roman" w:hAnsi="Times New Roman" w:cs="Times New Roman"/>
          <w:sz w:val="24"/>
          <w:szCs w:val="24"/>
        </w:rPr>
        <w:t xml:space="preserve">Kính gửi </w:t>
      </w:r>
      <w:r w:rsidR="00862A8F">
        <w:rPr>
          <w:rFonts w:ascii="Times New Roman" w:hAnsi="Times New Roman" w:cs="Times New Roman"/>
          <w:sz w:val="24"/>
          <w:szCs w:val="24"/>
        </w:rPr>
        <w:t>Quý Cơ quan</w:t>
      </w:r>
      <w:bookmarkStart w:id="1" w:name="_GoBack"/>
      <w:bookmarkEnd w:id="1"/>
      <w:r w:rsidR="00C14479" w:rsidRPr="00F46F7B">
        <w:rPr>
          <w:rFonts w:ascii="Times New Roman" w:hAnsi="Times New Roman" w:cs="Times New Roman"/>
          <w:b/>
          <w:sz w:val="24"/>
          <w:szCs w:val="24"/>
        </w:rPr>
        <w:t xml:space="preserve"> </w:t>
      </w:r>
      <w:r w:rsidRPr="00F46F7B">
        <w:rPr>
          <w:rFonts w:ascii="Times New Roman" w:hAnsi="Times New Roman" w:cs="Times New Roman"/>
          <w:sz w:val="24"/>
          <w:szCs w:val="24"/>
        </w:rPr>
        <w:t xml:space="preserve">được biết để thực hiện xem xét </w:t>
      </w:r>
      <w:r w:rsidR="00B83483" w:rsidRPr="00F46F7B">
        <w:rPr>
          <w:rFonts w:ascii="Times New Roman" w:hAnsi="Times New Roman" w:cs="Times New Roman"/>
          <w:sz w:val="24"/>
          <w:szCs w:val="24"/>
        </w:rPr>
        <w:t xml:space="preserve">trong quá trình hoàn thiện Thông tư </w:t>
      </w:r>
      <w:r w:rsidR="00BD7200" w:rsidRPr="00F46F7B">
        <w:rPr>
          <w:rFonts w:ascii="Times New Roman" w:hAnsi="Times New Roman" w:cs="Times New Roman"/>
          <w:sz w:val="24"/>
          <w:szCs w:val="24"/>
        </w:rPr>
        <w:t>sửa đổi, bổ sung Thông tư 39/2014/TT-NHNN</w:t>
      </w:r>
      <w:r w:rsidR="00B83483" w:rsidRPr="00F46F7B">
        <w:rPr>
          <w:rFonts w:ascii="Times New Roman" w:hAnsi="Times New Roman" w:cs="Times New Roman"/>
          <w:sz w:val="24"/>
          <w:szCs w:val="24"/>
        </w:rPr>
        <w:t>.</w:t>
      </w:r>
    </w:p>
    <w:tbl>
      <w:tblPr>
        <w:tblpPr w:leftFromText="180" w:rightFromText="180" w:vertAnchor="text" w:horzAnchor="margin" w:tblpXSpec="center" w:tblpY="197"/>
        <w:tblW w:w="9545" w:type="dxa"/>
        <w:tblLayout w:type="fixed"/>
        <w:tblLook w:val="0000" w:firstRow="0" w:lastRow="0" w:firstColumn="0" w:lastColumn="0" w:noHBand="0" w:noVBand="0"/>
      </w:tblPr>
      <w:tblGrid>
        <w:gridCol w:w="3515"/>
        <w:gridCol w:w="6030"/>
      </w:tblGrid>
      <w:tr w:rsidR="00FA61D7" w:rsidRPr="00F46F7B" w:rsidTr="00FA61D7">
        <w:tc>
          <w:tcPr>
            <w:tcW w:w="3515" w:type="dxa"/>
          </w:tcPr>
          <w:p w:rsidR="00FA61D7" w:rsidRPr="00F46F7B" w:rsidRDefault="00FA61D7" w:rsidP="00BC38FB">
            <w:pPr>
              <w:spacing w:after="0" w:line="312" w:lineRule="auto"/>
              <w:jc w:val="both"/>
              <w:rPr>
                <w:rFonts w:ascii="Times New Roman" w:hAnsi="Times New Roman" w:cs="Times New Roman"/>
                <w:b/>
                <w:i/>
                <w:sz w:val="24"/>
                <w:szCs w:val="24"/>
              </w:rPr>
            </w:pPr>
          </w:p>
          <w:p w:rsidR="00FA61D7" w:rsidRPr="00F46F7B" w:rsidRDefault="00FA61D7" w:rsidP="00BC38FB">
            <w:pPr>
              <w:spacing w:after="0" w:line="312" w:lineRule="auto"/>
              <w:jc w:val="both"/>
              <w:rPr>
                <w:rFonts w:ascii="Times New Roman" w:hAnsi="Times New Roman" w:cs="Times New Roman"/>
                <w:b/>
                <w:i/>
                <w:sz w:val="24"/>
                <w:szCs w:val="24"/>
              </w:rPr>
            </w:pPr>
            <w:r w:rsidRPr="00F46F7B">
              <w:rPr>
                <w:rFonts w:ascii="Times New Roman" w:hAnsi="Times New Roman" w:cs="Times New Roman"/>
                <w:b/>
                <w:i/>
                <w:sz w:val="24"/>
                <w:szCs w:val="24"/>
              </w:rPr>
              <w:t>N</w:t>
            </w:r>
            <w:r w:rsidRPr="00F46F7B">
              <w:rPr>
                <w:rFonts w:ascii="Times New Roman" w:hAnsi="Times New Roman" w:cs="Times New Roman" w:hint="eastAsia"/>
                <w:b/>
                <w:i/>
                <w:sz w:val="24"/>
                <w:szCs w:val="24"/>
              </w:rPr>
              <w:t>ơ</w:t>
            </w:r>
            <w:r w:rsidRPr="00F46F7B">
              <w:rPr>
                <w:rFonts w:ascii="Times New Roman" w:hAnsi="Times New Roman" w:cs="Times New Roman"/>
                <w:b/>
                <w:i/>
                <w:sz w:val="24"/>
                <w:szCs w:val="24"/>
              </w:rPr>
              <w:t>i nhận:</w:t>
            </w:r>
          </w:p>
          <w:p w:rsidR="00FA61D7" w:rsidRPr="00F46F7B" w:rsidRDefault="00FA61D7" w:rsidP="00BC38FB">
            <w:pPr>
              <w:numPr>
                <w:ilvl w:val="0"/>
                <w:numId w:val="1"/>
              </w:numPr>
              <w:spacing w:after="0" w:line="312" w:lineRule="auto"/>
              <w:jc w:val="both"/>
              <w:rPr>
                <w:rFonts w:ascii="Times New Roman" w:hAnsi="Times New Roman" w:cs="Times New Roman"/>
                <w:i/>
                <w:sz w:val="24"/>
                <w:szCs w:val="24"/>
              </w:rPr>
            </w:pPr>
            <w:r w:rsidRPr="00F46F7B">
              <w:rPr>
                <w:rFonts w:ascii="Times New Roman" w:hAnsi="Times New Roman" w:cs="Times New Roman"/>
                <w:i/>
                <w:sz w:val="24"/>
                <w:szCs w:val="24"/>
              </w:rPr>
              <w:t>Như trên;</w:t>
            </w:r>
          </w:p>
          <w:p w:rsidR="00FA61D7" w:rsidRPr="00F46F7B" w:rsidRDefault="00FA61D7" w:rsidP="00BC38FB">
            <w:pPr>
              <w:numPr>
                <w:ilvl w:val="0"/>
                <w:numId w:val="1"/>
              </w:numPr>
              <w:spacing w:after="0" w:line="312" w:lineRule="auto"/>
              <w:jc w:val="both"/>
              <w:rPr>
                <w:rFonts w:ascii="Times New Roman" w:hAnsi="Times New Roman" w:cs="Times New Roman"/>
                <w:i/>
                <w:sz w:val="24"/>
                <w:szCs w:val="24"/>
              </w:rPr>
            </w:pPr>
            <w:r w:rsidRPr="00F46F7B">
              <w:rPr>
                <w:rFonts w:ascii="Times New Roman" w:hAnsi="Times New Roman" w:cs="Times New Roman"/>
                <w:i/>
                <w:sz w:val="24"/>
                <w:szCs w:val="24"/>
              </w:rPr>
              <w:t>Lưu VT, CORM &amp; LEGAL</w:t>
            </w:r>
          </w:p>
        </w:tc>
        <w:tc>
          <w:tcPr>
            <w:tcW w:w="6030" w:type="dxa"/>
          </w:tcPr>
          <w:p w:rsidR="00FA61D7" w:rsidRDefault="00FA61D7" w:rsidP="00BC38FB">
            <w:pPr>
              <w:spacing w:after="0" w:line="312" w:lineRule="auto"/>
              <w:jc w:val="both"/>
              <w:rPr>
                <w:rFonts w:ascii="Times New Roman" w:hAnsi="Times New Roman" w:cs="Times New Roman"/>
                <w:b/>
                <w:sz w:val="24"/>
                <w:szCs w:val="24"/>
              </w:rPr>
            </w:pPr>
          </w:p>
          <w:p w:rsidR="00FA61D7" w:rsidRPr="00F46F7B" w:rsidRDefault="00FA61D7" w:rsidP="00FA61D7">
            <w:pPr>
              <w:spacing w:after="0" w:line="312" w:lineRule="auto"/>
              <w:jc w:val="right"/>
              <w:rPr>
                <w:rFonts w:ascii="Times New Roman" w:hAnsi="Times New Roman" w:cs="Times New Roman"/>
                <w:sz w:val="24"/>
                <w:szCs w:val="24"/>
              </w:rPr>
            </w:pPr>
            <w:r w:rsidRPr="00F46F7B">
              <w:rPr>
                <w:rFonts w:ascii="Times New Roman" w:hAnsi="Times New Roman" w:cs="Times New Roman"/>
                <w:b/>
                <w:sz w:val="24"/>
                <w:szCs w:val="24"/>
              </w:rPr>
              <w:t>NGÂN HÀNG TMCP KỸ THƯƠNG VIỆT NAM</w:t>
            </w:r>
          </w:p>
          <w:p w:rsidR="00FA61D7" w:rsidRPr="00F46F7B" w:rsidRDefault="00FA61D7" w:rsidP="00BC38FB">
            <w:pPr>
              <w:spacing w:after="0" w:line="312" w:lineRule="auto"/>
              <w:jc w:val="both"/>
              <w:rPr>
                <w:rFonts w:ascii="Times New Roman" w:hAnsi="Times New Roman" w:cs="Times New Roman"/>
                <w:b/>
                <w:sz w:val="24"/>
                <w:szCs w:val="24"/>
              </w:rPr>
            </w:pPr>
          </w:p>
        </w:tc>
      </w:tr>
    </w:tbl>
    <w:p w:rsidR="00AE2301" w:rsidRPr="00F46F7B" w:rsidRDefault="00AE2301" w:rsidP="005428C3">
      <w:pPr>
        <w:spacing w:after="0" w:line="312" w:lineRule="auto"/>
        <w:jc w:val="both"/>
        <w:rPr>
          <w:rFonts w:ascii="Times New Roman" w:hAnsi="Times New Roman" w:cs="Times New Roman"/>
          <w:sz w:val="24"/>
          <w:szCs w:val="24"/>
        </w:rPr>
      </w:pPr>
    </w:p>
    <w:p w:rsidR="00805739" w:rsidRPr="00F46F7B" w:rsidRDefault="00805739" w:rsidP="005428C3">
      <w:pPr>
        <w:spacing w:after="0" w:line="312" w:lineRule="auto"/>
        <w:jc w:val="both"/>
        <w:rPr>
          <w:rFonts w:ascii="Times New Roman" w:hAnsi="Times New Roman" w:cs="Times New Roman"/>
          <w:sz w:val="24"/>
          <w:szCs w:val="24"/>
        </w:rPr>
      </w:pPr>
    </w:p>
    <w:p w:rsidR="00805739" w:rsidRPr="00F46F7B" w:rsidRDefault="00805739" w:rsidP="005428C3">
      <w:pPr>
        <w:spacing w:after="0" w:line="312" w:lineRule="auto"/>
        <w:jc w:val="both"/>
        <w:rPr>
          <w:rFonts w:ascii="Times New Roman" w:hAnsi="Times New Roman" w:cs="Times New Roman"/>
          <w:sz w:val="24"/>
          <w:szCs w:val="24"/>
        </w:rPr>
      </w:pPr>
    </w:p>
    <w:sectPr w:rsidR="00805739" w:rsidRPr="00F46F7B" w:rsidSect="00BC38FB">
      <w:headerReference w:type="default" r:id="rId7"/>
      <w:footerReference w:type="default" r:id="rId8"/>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85" w:rsidRDefault="007F3D85" w:rsidP="00A25C5D">
      <w:pPr>
        <w:spacing w:after="0" w:line="240" w:lineRule="auto"/>
      </w:pPr>
      <w:r>
        <w:separator/>
      </w:r>
    </w:p>
  </w:endnote>
  <w:endnote w:type="continuationSeparator" w:id="0">
    <w:p w:rsidR="007F3D85" w:rsidRDefault="007F3D85" w:rsidP="00A2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0531"/>
      <w:docPartObj>
        <w:docPartGallery w:val="Page Numbers (Bottom of Page)"/>
        <w:docPartUnique/>
      </w:docPartObj>
    </w:sdtPr>
    <w:sdtEndPr>
      <w:rPr>
        <w:noProof/>
      </w:rPr>
    </w:sdtEndPr>
    <w:sdtContent>
      <w:p w:rsidR="00550E5E" w:rsidRDefault="00550E5E">
        <w:pPr>
          <w:pStyle w:val="Footer"/>
          <w:jc w:val="center"/>
        </w:pPr>
        <w:r w:rsidRPr="00550E5E">
          <w:rPr>
            <w:rFonts w:ascii="Times New Roman" w:hAnsi="Times New Roman" w:cs="Times New Roman"/>
            <w:sz w:val="24"/>
            <w:szCs w:val="24"/>
          </w:rPr>
          <w:fldChar w:fldCharType="begin"/>
        </w:r>
        <w:r w:rsidRPr="00550E5E">
          <w:rPr>
            <w:rFonts w:ascii="Times New Roman" w:hAnsi="Times New Roman" w:cs="Times New Roman"/>
            <w:sz w:val="24"/>
            <w:szCs w:val="24"/>
          </w:rPr>
          <w:instrText xml:space="preserve"> PAGE   \* MERGEFORMAT </w:instrText>
        </w:r>
        <w:r w:rsidRPr="00550E5E">
          <w:rPr>
            <w:rFonts w:ascii="Times New Roman" w:hAnsi="Times New Roman" w:cs="Times New Roman"/>
            <w:sz w:val="24"/>
            <w:szCs w:val="24"/>
          </w:rPr>
          <w:fldChar w:fldCharType="separate"/>
        </w:r>
        <w:r w:rsidR="00862A8F">
          <w:rPr>
            <w:rFonts w:ascii="Times New Roman" w:hAnsi="Times New Roman" w:cs="Times New Roman"/>
            <w:noProof/>
            <w:sz w:val="24"/>
            <w:szCs w:val="24"/>
          </w:rPr>
          <w:t>4</w:t>
        </w:r>
        <w:r w:rsidRPr="00550E5E">
          <w:rPr>
            <w:rFonts w:ascii="Times New Roman" w:hAnsi="Times New Roman" w:cs="Times New Roman"/>
            <w:noProof/>
            <w:sz w:val="24"/>
            <w:szCs w:val="24"/>
          </w:rPr>
          <w:fldChar w:fldCharType="end"/>
        </w:r>
      </w:p>
    </w:sdtContent>
  </w:sdt>
  <w:p w:rsidR="00550E5E" w:rsidRDefault="00550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85" w:rsidRDefault="007F3D85" w:rsidP="00A25C5D">
      <w:pPr>
        <w:spacing w:after="0" w:line="240" w:lineRule="auto"/>
      </w:pPr>
      <w:r>
        <w:separator/>
      </w:r>
    </w:p>
  </w:footnote>
  <w:footnote w:type="continuationSeparator" w:id="0">
    <w:p w:rsidR="007F3D85" w:rsidRDefault="007F3D85" w:rsidP="00A25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5D" w:rsidRPr="00A25C5D" w:rsidRDefault="00A25C5D" w:rsidP="00A25C5D">
    <w:pPr>
      <w:pStyle w:val="Header"/>
    </w:pPr>
    <w:r w:rsidRPr="00A25C5D">
      <w:rPr>
        <w:rFonts w:ascii="Times New Roman" w:eastAsia="Calibri" w:hAnsi="Times New Roman" w:cs="Times New Roman"/>
        <w:noProof/>
        <w:sz w:val="28"/>
        <w:szCs w:val="28"/>
      </w:rPr>
      <w:drawing>
        <wp:inline distT="0" distB="0" distL="0" distR="0" wp14:anchorId="6E5F857C" wp14:editId="6190E6FF">
          <wp:extent cx="1676400" cy="285750"/>
          <wp:effectExtent l="0" t="0" r="0" b="0"/>
          <wp:docPr id="3" name="Picture 3" descr="cid:image008.gif@01CB84F8.10FD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gif@01CB84F8.10FD9080"/>
                  <pic:cNvPicPr>
                    <a:picLocks noChangeAspect="1" noChangeArrowheads="1"/>
                  </pic:cNvPicPr>
                </pic:nvPicPr>
                <pic:blipFill>
                  <a:blip r:embed="rId1" cstate="print"/>
                  <a:srcRect/>
                  <a:stretch>
                    <a:fillRect/>
                  </a:stretch>
                </pic:blipFill>
                <pic:spPr bwMode="auto">
                  <a:xfrm>
                    <a:off x="0" y="0"/>
                    <a:ext cx="1676400" cy="285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508"/>
    <w:multiLevelType w:val="hybridMultilevel"/>
    <w:tmpl w:val="A2D8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3143"/>
    <w:multiLevelType w:val="hybridMultilevel"/>
    <w:tmpl w:val="3C34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E9524D"/>
    <w:multiLevelType w:val="hybridMultilevel"/>
    <w:tmpl w:val="43244DF6"/>
    <w:lvl w:ilvl="0" w:tplc="0D0CFF8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D4B1D"/>
    <w:multiLevelType w:val="multilevel"/>
    <w:tmpl w:val="5F48EA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979CA"/>
    <w:multiLevelType w:val="hybridMultilevel"/>
    <w:tmpl w:val="6CB85AA2"/>
    <w:lvl w:ilvl="0" w:tplc="872898C6">
      <w:start w:val="1"/>
      <w:numFmt w:val="decimal"/>
      <w:lvlText w:val="%1."/>
      <w:lvlJc w:val="left"/>
      <w:pPr>
        <w:ind w:left="720" w:hanging="360"/>
      </w:pPr>
      <w:rPr>
        <w:rFonts w:eastAsia="Calibri"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79E5"/>
    <w:multiLevelType w:val="hybridMultilevel"/>
    <w:tmpl w:val="CF54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50374"/>
    <w:multiLevelType w:val="multilevel"/>
    <w:tmpl w:val="E0BC2DD6"/>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15:restartNumberingAfterBreak="0">
    <w:nsid w:val="14757F54"/>
    <w:multiLevelType w:val="hybridMultilevel"/>
    <w:tmpl w:val="F676BB12"/>
    <w:lvl w:ilvl="0" w:tplc="8CDA29E0">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D373A"/>
    <w:multiLevelType w:val="hybridMultilevel"/>
    <w:tmpl w:val="D846858C"/>
    <w:lvl w:ilvl="0" w:tplc="9244C90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16886"/>
    <w:multiLevelType w:val="hybridMultilevel"/>
    <w:tmpl w:val="2842DAD0"/>
    <w:lvl w:ilvl="0" w:tplc="EDFA14C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A715DE8"/>
    <w:multiLevelType w:val="hybridMultilevel"/>
    <w:tmpl w:val="97B481F4"/>
    <w:lvl w:ilvl="0" w:tplc="D84C83B8">
      <w:start w:val="1"/>
      <w:numFmt w:val="decimal"/>
      <w:lvlText w:val="%1."/>
      <w:lvlJc w:val="left"/>
      <w:pPr>
        <w:ind w:left="1725" w:hanging="1005"/>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E32D8"/>
    <w:multiLevelType w:val="hybridMultilevel"/>
    <w:tmpl w:val="1E4A6CB4"/>
    <w:lvl w:ilvl="0" w:tplc="F1F4E5EC">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C114FA"/>
    <w:multiLevelType w:val="multilevel"/>
    <w:tmpl w:val="CBB09A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80F17"/>
    <w:multiLevelType w:val="hybridMultilevel"/>
    <w:tmpl w:val="A386B98E"/>
    <w:lvl w:ilvl="0" w:tplc="C712B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7B0D7D"/>
    <w:multiLevelType w:val="multilevel"/>
    <w:tmpl w:val="563C98D6"/>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15:restartNumberingAfterBreak="0">
    <w:nsid w:val="49A21912"/>
    <w:multiLevelType w:val="hybridMultilevel"/>
    <w:tmpl w:val="350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D4D1F"/>
    <w:multiLevelType w:val="hybridMultilevel"/>
    <w:tmpl w:val="A25E6026"/>
    <w:lvl w:ilvl="0" w:tplc="19E81C30">
      <w:start w:val="13"/>
      <w:numFmt w:val="bullet"/>
      <w:lvlText w:val=""/>
      <w:lvlJc w:val="left"/>
      <w:pPr>
        <w:ind w:left="975" w:hanging="360"/>
      </w:pPr>
      <w:rPr>
        <w:rFonts w:ascii="Wingdings" w:eastAsia="Calibri" w:hAnsi="Wingdings" w:cs="Calibri" w:hint="default"/>
        <w:strike w:val="0"/>
        <w:dstrike w:val="0"/>
        <w:color w:val="auto"/>
        <w:sz w:val="28"/>
        <w:u w:val="none"/>
        <w:effect w:val="none"/>
      </w:rPr>
    </w:lvl>
    <w:lvl w:ilvl="1" w:tplc="042A0003">
      <w:start w:val="1"/>
      <w:numFmt w:val="bullet"/>
      <w:lvlText w:val="o"/>
      <w:lvlJc w:val="left"/>
      <w:pPr>
        <w:ind w:left="1695" w:hanging="360"/>
      </w:pPr>
      <w:rPr>
        <w:rFonts w:ascii="Courier New" w:hAnsi="Courier New" w:cs="Courier New" w:hint="default"/>
      </w:rPr>
    </w:lvl>
    <w:lvl w:ilvl="2" w:tplc="042A0005">
      <w:start w:val="1"/>
      <w:numFmt w:val="bullet"/>
      <w:lvlText w:val=""/>
      <w:lvlJc w:val="left"/>
      <w:pPr>
        <w:ind w:left="2415" w:hanging="360"/>
      </w:pPr>
      <w:rPr>
        <w:rFonts w:ascii="Wingdings" w:hAnsi="Wingdings" w:hint="default"/>
      </w:rPr>
    </w:lvl>
    <w:lvl w:ilvl="3" w:tplc="042A0001">
      <w:start w:val="1"/>
      <w:numFmt w:val="bullet"/>
      <w:lvlText w:val=""/>
      <w:lvlJc w:val="left"/>
      <w:pPr>
        <w:ind w:left="3135" w:hanging="360"/>
      </w:pPr>
      <w:rPr>
        <w:rFonts w:ascii="Symbol" w:hAnsi="Symbol" w:hint="default"/>
      </w:rPr>
    </w:lvl>
    <w:lvl w:ilvl="4" w:tplc="042A0003">
      <w:start w:val="1"/>
      <w:numFmt w:val="bullet"/>
      <w:lvlText w:val="o"/>
      <w:lvlJc w:val="left"/>
      <w:pPr>
        <w:ind w:left="3855" w:hanging="360"/>
      </w:pPr>
      <w:rPr>
        <w:rFonts w:ascii="Courier New" w:hAnsi="Courier New" w:cs="Courier New" w:hint="default"/>
      </w:rPr>
    </w:lvl>
    <w:lvl w:ilvl="5" w:tplc="042A0005">
      <w:start w:val="1"/>
      <w:numFmt w:val="bullet"/>
      <w:lvlText w:val=""/>
      <w:lvlJc w:val="left"/>
      <w:pPr>
        <w:ind w:left="4575" w:hanging="360"/>
      </w:pPr>
      <w:rPr>
        <w:rFonts w:ascii="Wingdings" w:hAnsi="Wingdings" w:hint="default"/>
      </w:rPr>
    </w:lvl>
    <w:lvl w:ilvl="6" w:tplc="042A0001">
      <w:start w:val="1"/>
      <w:numFmt w:val="bullet"/>
      <w:lvlText w:val=""/>
      <w:lvlJc w:val="left"/>
      <w:pPr>
        <w:ind w:left="5295" w:hanging="360"/>
      </w:pPr>
      <w:rPr>
        <w:rFonts w:ascii="Symbol" w:hAnsi="Symbol" w:hint="default"/>
      </w:rPr>
    </w:lvl>
    <w:lvl w:ilvl="7" w:tplc="042A0003">
      <w:start w:val="1"/>
      <w:numFmt w:val="bullet"/>
      <w:lvlText w:val="o"/>
      <w:lvlJc w:val="left"/>
      <w:pPr>
        <w:ind w:left="6015" w:hanging="360"/>
      </w:pPr>
      <w:rPr>
        <w:rFonts w:ascii="Courier New" w:hAnsi="Courier New" w:cs="Courier New" w:hint="default"/>
      </w:rPr>
    </w:lvl>
    <w:lvl w:ilvl="8" w:tplc="042A0005">
      <w:start w:val="1"/>
      <w:numFmt w:val="bullet"/>
      <w:lvlText w:val=""/>
      <w:lvlJc w:val="left"/>
      <w:pPr>
        <w:ind w:left="6735" w:hanging="360"/>
      </w:pPr>
      <w:rPr>
        <w:rFonts w:ascii="Wingdings" w:hAnsi="Wingdings" w:hint="default"/>
      </w:rPr>
    </w:lvl>
  </w:abstractNum>
  <w:abstractNum w:abstractNumId="17" w15:restartNumberingAfterBreak="0">
    <w:nsid w:val="52C92BF2"/>
    <w:multiLevelType w:val="hybridMultilevel"/>
    <w:tmpl w:val="38E281CC"/>
    <w:lvl w:ilvl="0" w:tplc="21480F80">
      <w:start w:val="1"/>
      <w:numFmt w:val="decimal"/>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D624E"/>
    <w:multiLevelType w:val="hybridMultilevel"/>
    <w:tmpl w:val="B3B23FF6"/>
    <w:lvl w:ilvl="0" w:tplc="377AB280">
      <w:start w:val="1"/>
      <w:numFmt w:val="decimal"/>
      <w:lvlText w:val="%1."/>
      <w:lvlJc w:val="left"/>
      <w:pPr>
        <w:ind w:left="1211" w:hanging="360"/>
      </w:pPr>
      <w:rPr>
        <w:rFonts w:hint="default"/>
        <w:b w:val="0"/>
        <w:i w:val="0"/>
        <w:strike w:val="0"/>
        <w:color w:val="auto"/>
        <w:sz w:val="28"/>
        <w:szCs w:val="28"/>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65774626"/>
    <w:multiLevelType w:val="hybridMultilevel"/>
    <w:tmpl w:val="589A7862"/>
    <w:lvl w:ilvl="0" w:tplc="7908C190">
      <w:start w:val="13"/>
      <w:numFmt w:val="bullet"/>
      <w:lvlText w:val=""/>
      <w:lvlJc w:val="left"/>
      <w:pPr>
        <w:ind w:left="1080" w:hanging="360"/>
      </w:pPr>
      <w:rPr>
        <w:rFonts w:ascii="Wingdings" w:eastAsia="Calibri" w:hAnsi="Wingdings" w:cs="Calibri" w:hint="default"/>
        <w:color w:val="auto"/>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0" w15:restartNumberingAfterBreak="0">
    <w:nsid w:val="679B7417"/>
    <w:multiLevelType w:val="hybridMultilevel"/>
    <w:tmpl w:val="ACEA3D14"/>
    <w:lvl w:ilvl="0" w:tplc="7F487A3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A86A80"/>
    <w:multiLevelType w:val="hybridMultilevel"/>
    <w:tmpl w:val="E9CE4744"/>
    <w:lvl w:ilvl="0" w:tplc="BA5CEA60">
      <w:start w:val="1"/>
      <w:numFmt w:val="bullet"/>
      <w:lvlText w:val="-"/>
      <w:lvlJc w:val="left"/>
      <w:pPr>
        <w:tabs>
          <w:tab w:val="num" w:pos="170"/>
        </w:tabs>
        <w:ind w:left="170" w:hanging="1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84EBA"/>
    <w:multiLevelType w:val="hybridMultilevel"/>
    <w:tmpl w:val="3896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D2452"/>
    <w:multiLevelType w:val="multilevel"/>
    <w:tmpl w:val="86B67D8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21"/>
  </w:num>
  <w:num w:numId="2">
    <w:abstractNumId w:val="15"/>
  </w:num>
  <w:num w:numId="3">
    <w:abstractNumId w:val="2"/>
  </w:num>
  <w:num w:numId="4">
    <w:abstractNumId w:val="13"/>
  </w:num>
  <w:num w:numId="5">
    <w:abstractNumId w:val="11"/>
  </w:num>
  <w:num w:numId="6">
    <w:abstractNumId w:val="20"/>
  </w:num>
  <w:num w:numId="7">
    <w:abstractNumId w:val="22"/>
  </w:num>
  <w:num w:numId="8">
    <w:abstractNumId w:val="1"/>
  </w:num>
  <w:num w:numId="9">
    <w:abstractNumId w:val="5"/>
  </w:num>
  <w:num w:numId="10">
    <w:abstractNumId w:val="8"/>
  </w:num>
  <w:num w:numId="11">
    <w:abstractNumId w:val="10"/>
  </w:num>
  <w:num w:numId="12">
    <w:abstractNumId w:val="0"/>
  </w:num>
  <w:num w:numId="13">
    <w:abstractNumId w:val="23"/>
  </w:num>
  <w:num w:numId="14">
    <w:abstractNumId w:val="14"/>
  </w:num>
  <w:num w:numId="15">
    <w:abstractNumId w:val="4"/>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7"/>
  </w:num>
  <w:num w:numId="21">
    <w:abstractNumId w:val="3"/>
  </w:num>
  <w:num w:numId="22">
    <w:abstractNumId w:val="6"/>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19"/>
    <w:rsid w:val="00010ADA"/>
    <w:rsid w:val="00020E3C"/>
    <w:rsid w:val="0002732C"/>
    <w:rsid w:val="000304C0"/>
    <w:rsid w:val="000569DE"/>
    <w:rsid w:val="0006020A"/>
    <w:rsid w:val="000605DA"/>
    <w:rsid w:val="000705A8"/>
    <w:rsid w:val="00080E7A"/>
    <w:rsid w:val="000906D7"/>
    <w:rsid w:val="000A29BF"/>
    <w:rsid w:val="000A7F38"/>
    <w:rsid w:val="000B6A7A"/>
    <w:rsid w:val="000E0C62"/>
    <w:rsid w:val="000F4002"/>
    <w:rsid w:val="000F4D5C"/>
    <w:rsid w:val="00110F8A"/>
    <w:rsid w:val="001140CE"/>
    <w:rsid w:val="00115131"/>
    <w:rsid w:val="00121EDD"/>
    <w:rsid w:val="00123807"/>
    <w:rsid w:val="001375BB"/>
    <w:rsid w:val="00142744"/>
    <w:rsid w:val="0014459C"/>
    <w:rsid w:val="001502DA"/>
    <w:rsid w:val="0016038D"/>
    <w:rsid w:val="001623C1"/>
    <w:rsid w:val="00163767"/>
    <w:rsid w:val="001717E9"/>
    <w:rsid w:val="001758B4"/>
    <w:rsid w:val="00177824"/>
    <w:rsid w:val="001802FC"/>
    <w:rsid w:val="00180CF6"/>
    <w:rsid w:val="001A5083"/>
    <w:rsid w:val="001C0F3D"/>
    <w:rsid w:val="001F0D7B"/>
    <w:rsid w:val="001F2C7F"/>
    <w:rsid w:val="001F3758"/>
    <w:rsid w:val="001F48F2"/>
    <w:rsid w:val="001F7D0C"/>
    <w:rsid w:val="00202CA1"/>
    <w:rsid w:val="00225E4D"/>
    <w:rsid w:val="00226DC9"/>
    <w:rsid w:val="00232126"/>
    <w:rsid w:val="00233403"/>
    <w:rsid w:val="00244BC9"/>
    <w:rsid w:val="00251C3C"/>
    <w:rsid w:val="00254D29"/>
    <w:rsid w:val="00262C0A"/>
    <w:rsid w:val="00264309"/>
    <w:rsid w:val="00271443"/>
    <w:rsid w:val="00282761"/>
    <w:rsid w:val="00294464"/>
    <w:rsid w:val="00295098"/>
    <w:rsid w:val="00295550"/>
    <w:rsid w:val="002B5A8D"/>
    <w:rsid w:val="002B607E"/>
    <w:rsid w:val="002C156B"/>
    <w:rsid w:val="002D1ECD"/>
    <w:rsid w:val="00303787"/>
    <w:rsid w:val="00304F80"/>
    <w:rsid w:val="00331CD6"/>
    <w:rsid w:val="0033751C"/>
    <w:rsid w:val="00352322"/>
    <w:rsid w:val="00362143"/>
    <w:rsid w:val="0036298C"/>
    <w:rsid w:val="003674E7"/>
    <w:rsid w:val="0036758A"/>
    <w:rsid w:val="003675FB"/>
    <w:rsid w:val="00370C15"/>
    <w:rsid w:val="00383538"/>
    <w:rsid w:val="003B28D6"/>
    <w:rsid w:val="003B730B"/>
    <w:rsid w:val="003C2B0F"/>
    <w:rsid w:val="003C3A95"/>
    <w:rsid w:val="003C79EC"/>
    <w:rsid w:val="003D386F"/>
    <w:rsid w:val="003D6A49"/>
    <w:rsid w:val="003D6D70"/>
    <w:rsid w:val="003E17CC"/>
    <w:rsid w:val="003F25C8"/>
    <w:rsid w:val="00423B26"/>
    <w:rsid w:val="00436E20"/>
    <w:rsid w:val="00437257"/>
    <w:rsid w:val="00453708"/>
    <w:rsid w:val="00455ACF"/>
    <w:rsid w:val="00470525"/>
    <w:rsid w:val="004729D4"/>
    <w:rsid w:val="00473974"/>
    <w:rsid w:val="00483521"/>
    <w:rsid w:val="0049072C"/>
    <w:rsid w:val="004975B1"/>
    <w:rsid w:val="00497FD4"/>
    <w:rsid w:val="004A0C00"/>
    <w:rsid w:val="004A4077"/>
    <w:rsid w:val="004A6321"/>
    <w:rsid w:val="004B7895"/>
    <w:rsid w:val="004C4FD2"/>
    <w:rsid w:val="004C7239"/>
    <w:rsid w:val="004D0443"/>
    <w:rsid w:val="004E5496"/>
    <w:rsid w:val="004F0FA2"/>
    <w:rsid w:val="004F6AD6"/>
    <w:rsid w:val="0050662A"/>
    <w:rsid w:val="0052435C"/>
    <w:rsid w:val="005252CA"/>
    <w:rsid w:val="0053469E"/>
    <w:rsid w:val="00534F08"/>
    <w:rsid w:val="005428C3"/>
    <w:rsid w:val="00550E5E"/>
    <w:rsid w:val="0055122D"/>
    <w:rsid w:val="00554B3F"/>
    <w:rsid w:val="00561019"/>
    <w:rsid w:val="0056285B"/>
    <w:rsid w:val="0057047D"/>
    <w:rsid w:val="00597C60"/>
    <w:rsid w:val="005A5E89"/>
    <w:rsid w:val="005C2DC9"/>
    <w:rsid w:val="005C363B"/>
    <w:rsid w:val="005C7A11"/>
    <w:rsid w:val="005D23F9"/>
    <w:rsid w:val="005F2F25"/>
    <w:rsid w:val="005F5D34"/>
    <w:rsid w:val="00610D64"/>
    <w:rsid w:val="00611525"/>
    <w:rsid w:val="006158F7"/>
    <w:rsid w:val="00661588"/>
    <w:rsid w:val="0069072C"/>
    <w:rsid w:val="006937E3"/>
    <w:rsid w:val="00696F72"/>
    <w:rsid w:val="006A2123"/>
    <w:rsid w:val="006B5140"/>
    <w:rsid w:val="006B5426"/>
    <w:rsid w:val="006B671F"/>
    <w:rsid w:val="006C706B"/>
    <w:rsid w:val="006C76B7"/>
    <w:rsid w:val="006D1AE9"/>
    <w:rsid w:val="006D317B"/>
    <w:rsid w:val="006F6E71"/>
    <w:rsid w:val="00705E6A"/>
    <w:rsid w:val="00712A6F"/>
    <w:rsid w:val="00717462"/>
    <w:rsid w:val="007240DF"/>
    <w:rsid w:val="00724317"/>
    <w:rsid w:val="00725689"/>
    <w:rsid w:val="00737275"/>
    <w:rsid w:val="0074094A"/>
    <w:rsid w:val="00765DF6"/>
    <w:rsid w:val="0076771D"/>
    <w:rsid w:val="0076775C"/>
    <w:rsid w:val="00774103"/>
    <w:rsid w:val="007772A8"/>
    <w:rsid w:val="007856C2"/>
    <w:rsid w:val="00790BD5"/>
    <w:rsid w:val="007B3AFA"/>
    <w:rsid w:val="007B43E8"/>
    <w:rsid w:val="007B7D68"/>
    <w:rsid w:val="007C2E2B"/>
    <w:rsid w:val="007C45C0"/>
    <w:rsid w:val="007E31EC"/>
    <w:rsid w:val="007F09AF"/>
    <w:rsid w:val="007F1523"/>
    <w:rsid w:val="007F1C6E"/>
    <w:rsid w:val="007F20D5"/>
    <w:rsid w:val="007F2727"/>
    <w:rsid w:val="007F3D85"/>
    <w:rsid w:val="00805739"/>
    <w:rsid w:val="00806549"/>
    <w:rsid w:val="00821CC9"/>
    <w:rsid w:val="008236DE"/>
    <w:rsid w:val="00843D17"/>
    <w:rsid w:val="00846DAC"/>
    <w:rsid w:val="00851A5C"/>
    <w:rsid w:val="008544F6"/>
    <w:rsid w:val="00855C92"/>
    <w:rsid w:val="00862031"/>
    <w:rsid w:val="00862A8F"/>
    <w:rsid w:val="00873364"/>
    <w:rsid w:val="0087388D"/>
    <w:rsid w:val="00874FEA"/>
    <w:rsid w:val="00880A45"/>
    <w:rsid w:val="008852F3"/>
    <w:rsid w:val="0089358D"/>
    <w:rsid w:val="00897B43"/>
    <w:rsid w:val="008A3F34"/>
    <w:rsid w:val="008A3F48"/>
    <w:rsid w:val="008A64A6"/>
    <w:rsid w:val="008B6D6D"/>
    <w:rsid w:val="008C4FBC"/>
    <w:rsid w:val="008C785C"/>
    <w:rsid w:val="008D2F06"/>
    <w:rsid w:val="008D5C97"/>
    <w:rsid w:val="008E077A"/>
    <w:rsid w:val="008E4AD7"/>
    <w:rsid w:val="008F06C1"/>
    <w:rsid w:val="008F0C2C"/>
    <w:rsid w:val="008F7C49"/>
    <w:rsid w:val="00903AA0"/>
    <w:rsid w:val="00911661"/>
    <w:rsid w:val="0091300A"/>
    <w:rsid w:val="0092213A"/>
    <w:rsid w:val="009256E1"/>
    <w:rsid w:val="00926083"/>
    <w:rsid w:val="0092672C"/>
    <w:rsid w:val="00933B3A"/>
    <w:rsid w:val="00934E5E"/>
    <w:rsid w:val="00934FE0"/>
    <w:rsid w:val="00936492"/>
    <w:rsid w:val="009414B1"/>
    <w:rsid w:val="00943592"/>
    <w:rsid w:val="0094661D"/>
    <w:rsid w:val="00951564"/>
    <w:rsid w:val="0095280F"/>
    <w:rsid w:val="00964DBA"/>
    <w:rsid w:val="00992C06"/>
    <w:rsid w:val="009B624F"/>
    <w:rsid w:val="009C17D2"/>
    <w:rsid w:val="009C5B51"/>
    <w:rsid w:val="009C7E3B"/>
    <w:rsid w:val="009F3C00"/>
    <w:rsid w:val="00A25C5D"/>
    <w:rsid w:val="00A373F0"/>
    <w:rsid w:val="00A41F41"/>
    <w:rsid w:val="00A45387"/>
    <w:rsid w:val="00A7132A"/>
    <w:rsid w:val="00A7352C"/>
    <w:rsid w:val="00A80D7E"/>
    <w:rsid w:val="00AB1161"/>
    <w:rsid w:val="00AB4854"/>
    <w:rsid w:val="00AC7E8E"/>
    <w:rsid w:val="00AD489D"/>
    <w:rsid w:val="00AE2301"/>
    <w:rsid w:val="00AE7EC5"/>
    <w:rsid w:val="00AF3E68"/>
    <w:rsid w:val="00AF7DDF"/>
    <w:rsid w:val="00B0477A"/>
    <w:rsid w:val="00B123AA"/>
    <w:rsid w:val="00B13D91"/>
    <w:rsid w:val="00B23AB7"/>
    <w:rsid w:val="00B27E50"/>
    <w:rsid w:val="00B3188E"/>
    <w:rsid w:val="00B33A46"/>
    <w:rsid w:val="00B437A8"/>
    <w:rsid w:val="00B46046"/>
    <w:rsid w:val="00B5314E"/>
    <w:rsid w:val="00B553C0"/>
    <w:rsid w:val="00B5550C"/>
    <w:rsid w:val="00B5568F"/>
    <w:rsid w:val="00B60739"/>
    <w:rsid w:val="00B64FAB"/>
    <w:rsid w:val="00B667B9"/>
    <w:rsid w:val="00B746DA"/>
    <w:rsid w:val="00B82B40"/>
    <w:rsid w:val="00B83483"/>
    <w:rsid w:val="00B908B6"/>
    <w:rsid w:val="00B953B2"/>
    <w:rsid w:val="00BA0C16"/>
    <w:rsid w:val="00BC38FB"/>
    <w:rsid w:val="00BC425C"/>
    <w:rsid w:val="00BC4881"/>
    <w:rsid w:val="00BD6AEB"/>
    <w:rsid w:val="00BD7200"/>
    <w:rsid w:val="00BE3175"/>
    <w:rsid w:val="00C01B7D"/>
    <w:rsid w:val="00C07472"/>
    <w:rsid w:val="00C10A10"/>
    <w:rsid w:val="00C14479"/>
    <w:rsid w:val="00C2263E"/>
    <w:rsid w:val="00C43B99"/>
    <w:rsid w:val="00C45D59"/>
    <w:rsid w:val="00C47F1E"/>
    <w:rsid w:val="00C50E31"/>
    <w:rsid w:val="00C515D1"/>
    <w:rsid w:val="00C53555"/>
    <w:rsid w:val="00C72345"/>
    <w:rsid w:val="00C72A60"/>
    <w:rsid w:val="00C90F09"/>
    <w:rsid w:val="00C912CD"/>
    <w:rsid w:val="00C95A7E"/>
    <w:rsid w:val="00CB7DC5"/>
    <w:rsid w:val="00CE05D0"/>
    <w:rsid w:val="00CE6F71"/>
    <w:rsid w:val="00CF6BE7"/>
    <w:rsid w:val="00D00E0A"/>
    <w:rsid w:val="00D10ACE"/>
    <w:rsid w:val="00D15198"/>
    <w:rsid w:val="00D2392F"/>
    <w:rsid w:val="00D26FB2"/>
    <w:rsid w:val="00D44C7B"/>
    <w:rsid w:val="00D4597C"/>
    <w:rsid w:val="00D56D51"/>
    <w:rsid w:val="00D61869"/>
    <w:rsid w:val="00D61872"/>
    <w:rsid w:val="00D71DB8"/>
    <w:rsid w:val="00D77511"/>
    <w:rsid w:val="00D872A8"/>
    <w:rsid w:val="00DA146B"/>
    <w:rsid w:val="00DA1760"/>
    <w:rsid w:val="00DA1E67"/>
    <w:rsid w:val="00DB1674"/>
    <w:rsid w:val="00DB4332"/>
    <w:rsid w:val="00DB6D02"/>
    <w:rsid w:val="00DC0489"/>
    <w:rsid w:val="00DD18A5"/>
    <w:rsid w:val="00DD4227"/>
    <w:rsid w:val="00E06AD1"/>
    <w:rsid w:val="00E17BD5"/>
    <w:rsid w:val="00E2404F"/>
    <w:rsid w:val="00E24C2E"/>
    <w:rsid w:val="00E36E87"/>
    <w:rsid w:val="00E411B5"/>
    <w:rsid w:val="00E44685"/>
    <w:rsid w:val="00E44A8A"/>
    <w:rsid w:val="00E53B90"/>
    <w:rsid w:val="00E57DB9"/>
    <w:rsid w:val="00E62FEC"/>
    <w:rsid w:val="00E86BA0"/>
    <w:rsid w:val="00EA0924"/>
    <w:rsid w:val="00EA22AD"/>
    <w:rsid w:val="00EB2F93"/>
    <w:rsid w:val="00ED64BE"/>
    <w:rsid w:val="00EE53A7"/>
    <w:rsid w:val="00EE54AC"/>
    <w:rsid w:val="00F105CD"/>
    <w:rsid w:val="00F12254"/>
    <w:rsid w:val="00F155F8"/>
    <w:rsid w:val="00F1601D"/>
    <w:rsid w:val="00F25183"/>
    <w:rsid w:val="00F46F7B"/>
    <w:rsid w:val="00F708E5"/>
    <w:rsid w:val="00FA61D7"/>
    <w:rsid w:val="00FB4F7A"/>
    <w:rsid w:val="00FB588C"/>
    <w:rsid w:val="00FC5A19"/>
    <w:rsid w:val="00FD5FE5"/>
    <w:rsid w:val="00FF194A"/>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E8298-E6D6-4CAC-ACCC-E095BE3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19"/>
    <w:pPr>
      <w:spacing w:after="200" w:line="276" w:lineRule="auto"/>
    </w:pPr>
    <w:rPr>
      <w:rFonts w:asciiTheme="minorHAnsi" w:hAnsiTheme="minorHAnsi" w:cstheme="minorBidi"/>
      <w:sz w:val="22"/>
      <w:szCs w:val="22"/>
    </w:rPr>
  </w:style>
  <w:style w:type="paragraph" w:styleId="Heading3">
    <w:name w:val="heading 3"/>
    <w:basedOn w:val="Normal"/>
    <w:next w:val="Normal"/>
    <w:link w:val="Heading3Char"/>
    <w:uiPriority w:val="9"/>
    <w:unhideWhenUsed/>
    <w:qFormat/>
    <w:rsid w:val="00282761"/>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5D"/>
    <w:rPr>
      <w:rFonts w:asciiTheme="minorHAnsi" w:hAnsiTheme="minorHAnsi" w:cstheme="minorBidi"/>
      <w:sz w:val="22"/>
      <w:szCs w:val="22"/>
    </w:rPr>
  </w:style>
  <w:style w:type="paragraph" w:styleId="Footer">
    <w:name w:val="footer"/>
    <w:basedOn w:val="Normal"/>
    <w:link w:val="FooterChar"/>
    <w:uiPriority w:val="99"/>
    <w:unhideWhenUsed/>
    <w:rsid w:val="00A2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5D"/>
    <w:rPr>
      <w:rFonts w:asciiTheme="minorHAnsi" w:hAnsiTheme="minorHAnsi" w:cstheme="minorBidi"/>
      <w:sz w:val="22"/>
      <w:szCs w:val="22"/>
    </w:rPr>
  </w:style>
  <w:style w:type="table" w:styleId="TableGrid">
    <w:name w:val="Table Grid"/>
    <w:basedOn w:val="TableNormal"/>
    <w:uiPriority w:val="39"/>
    <w:rsid w:val="00A25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F09"/>
    <w:pPr>
      <w:ind w:left="720"/>
      <w:contextualSpacing/>
    </w:pPr>
  </w:style>
  <w:style w:type="paragraph" w:styleId="NormalWeb">
    <w:name w:val="Normal (Web)"/>
    <w:basedOn w:val="Normal"/>
    <w:unhideWhenUsed/>
    <w:rsid w:val="005F2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8C3"/>
    <w:rPr>
      <w:color w:val="0563C1" w:themeColor="hyperlink"/>
      <w:u w:val="single"/>
    </w:rPr>
  </w:style>
  <w:style w:type="paragraph" w:styleId="BalloonText">
    <w:name w:val="Balloon Text"/>
    <w:basedOn w:val="Normal"/>
    <w:link w:val="BalloonTextChar"/>
    <w:uiPriority w:val="99"/>
    <w:semiHidden/>
    <w:unhideWhenUsed/>
    <w:rsid w:val="0015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2DA"/>
    <w:rPr>
      <w:rFonts w:ascii="Segoe UI" w:hAnsi="Segoe UI" w:cs="Segoe UI"/>
      <w:sz w:val="18"/>
      <w:szCs w:val="18"/>
    </w:rPr>
  </w:style>
  <w:style w:type="paragraph" w:styleId="CommentText">
    <w:name w:val="annotation text"/>
    <w:basedOn w:val="Normal"/>
    <w:link w:val="CommentTextChar"/>
    <w:uiPriority w:val="99"/>
    <w:unhideWhenUsed/>
    <w:rsid w:val="00282761"/>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82761"/>
    <w:rPr>
      <w:rFonts w:ascii="Calibri" w:eastAsia="Calibri" w:hAnsi="Calibri"/>
      <w:sz w:val="20"/>
    </w:rPr>
  </w:style>
  <w:style w:type="character" w:styleId="CommentReference">
    <w:name w:val="annotation reference"/>
    <w:uiPriority w:val="99"/>
    <w:semiHidden/>
    <w:unhideWhenUsed/>
    <w:rsid w:val="00282761"/>
    <w:rPr>
      <w:sz w:val="16"/>
      <w:szCs w:val="16"/>
    </w:rPr>
  </w:style>
  <w:style w:type="character" w:customStyle="1" w:styleId="Heading3Char">
    <w:name w:val="Heading 3 Char"/>
    <w:basedOn w:val="DefaultParagraphFont"/>
    <w:link w:val="Heading3"/>
    <w:uiPriority w:val="9"/>
    <w:rsid w:val="00282761"/>
    <w:rPr>
      <w:rFonts w:ascii="Calibri Light" w:eastAsia="Times New Roman" w:hAnsi="Calibri Ligh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1623">
      <w:bodyDiv w:val="1"/>
      <w:marLeft w:val="0"/>
      <w:marRight w:val="0"/>
      <w:marTop w:val="0"/>
      <w:marBottom w:val="0"/>
      <w:divBdr>
        <w:top w:val="none" w:sz="0" w:space="0" w:color="auto"/>
        <w:left w:val="none" w:sz="0" w:space="0" w:color="auto"/>
        <w:bottom w:val="none" w:sz="0" w:space="0" w:color="auto"/>
        <w:right w:val="none" w:sz="0" w:space="0" w:color="auto"/>
      </w:divBdr>
      <w:divsChild>
        <w:div w:id="345835595">
          <w:marLeft w:val="0"/>
          <w:marRight w:val="0"/>
          <w:marTop w:val="0"/>
          <w:marBottom w:val="0"/>
          <w:divBdr>
            <w:top w:val="none" w:sz="0" w:space="0" w:color="auto"/>
            <w:left w:val="none" w:sz="0" w:space="0" w:color="auto"/>
            <w:bottom w:val="none" w:sz="0" w:space="0" w:color="auto"/>
            <w:right w:val="none" w:sz="0" w:space="0" w:color="auto"/>
          </w:divBdr>
        </w:div>
      </w:divsChild>
    </w:div>
    <w:div w:id="596131543">
      <w:bodyDiv w:val="1"/>
      <w:marLeft w:val="0"/>
      <w:marRight w:val="0"/>
      <w:marTop w:val="0"/>
      <w:marBottom w:val="0"/>
      <w:divBdr>
        <w:top w:val="none" w:sz="0" w:space="0" w:color="auto"/>
        <w:left w:val="none" w:sz="0" w:space="0" w:color="auto"/>
        <w:bottom w:val="none" w:sz="0" w:space="0" w:color="auto"/>
        <w:right w:val="none" w:sz="0" w:space="0" w:color="auto"/>
      </w:divBdr>
    </w:div>
    <w:div w:id="642080252">
      <w:bodyDiv w:val="1"/>
      <w:marLeft w:val="0"/>
      <w:marRight w:val="0"/>
      <w:marTop w:val="0"/>
      <w:marBottom w:val="0"/>
      <w:divBdr>
        <w:top w:val="none" w:sz="0" w:space="0" w:color="auto"/>
        <w:left w:val="none" w:sz="0" w:space="0" w:color="auto"/>
        <w:bottom w:val="none" w:sz="0" w:space="0" w:color="auto"/>
        <w:right w:val="none" w:sz="0" w:space="0" w:color="auto"/>
      </w:divBdr>
    </w:div>
    <w:div w:id="1131171334">
      <w:bodyDiv w:val="1"/>
      <w:marLeft w:val="0"/>
      <w:marRight w:val="0"/>
      <w:marTop w:val="0"/>
      <w:marBottom w:val="0"/>
      <w:divBdr>
        <w:top w:val="none" w:sz="0" w:space="0" w:color="auto"/>
        <w:left w:val="none" w:sz="0" w:space="0" w:color="auto"/>
        <w:bottom w:val="none" w:sz="0" w:space="0" w:color="auto"/>
        <w:right w:val="none" w:sz="0" w:space="0" w:color="auto"/>
      </w:divBdr>
    </w:div>
    <w:div w:id="1173228260">
      <w:bodyDiv w:val="1"/>
      <w:marLeft w:val="0"/>
      <w:marRight w:val="0"/>
      <w:marTop w:val="0"/>
      <w:marBottom w:val="0"/>
      <w:divBdr>
        <w:top w:val="none" w:sz="0" w:space="0" w:color="auto"/>
        <w:left w:val="none" w:sz="0" w:space="0" w:color="auto"/>
        <w:bottom w:val="none" w:sz="0" w:space="0" w:color="auto"/>
        <w:right w:val="none" w:sz="0" w:space="0" w:color="auto"/>
      </w:divBdr>
    </w:div>
    <w:div w:id="1189031843">
      <w:bodyDiv w:val="1"/>
      <w:marLeft w:val="0"/>
      <w:marRight w:val="0"/>
      <w:marTop w:val="0"/>
      <w:marBottom w:val="0"/>
      <w:divBdr>
        <w:top w:val="none" w:sz="0" w:space="0" w:color="auto"/>
        <w:left w:val="none" w:sz="0" w:space="0" w:color="auto"/>
        <w:bottom w:val="none" w:sz="0" w:space="0" w:color="auto"/>
        <w:right w:val="none" w:sz="0" w:space="0" w:color="auto"/>
      </w:divBdr>
    </w:div>
    <w:div w:id="1535650624">
      <w:bodyDiv w:val="1"/>
      <w:marLeft w:val="0"/>
      <w:marRight w:val="0"/>
      <w:marTop w:val="0"/>
      <w:marBottom w:val="0"/>
      <w:divBdr>
        <w:top w:val="none" w:sz="0" w:space="0" w:color="auto"/>
        <w:left w:val="none" w:sz="0" w:space="0" w:color="auto"/>
        <w:bottom w:val="none" w:sz="0" w:space="0" w:color="auto"/>
        <w:right w:val="none" w:sz="0" w:space="0" w:color="auto"/>
      </w:divBdr>
      <w:divsChild>
        <w:div w:id="1287394841">
          <w:marLeft w:val="0"/>
          <w:marRight w:val="0"/>
          <w:marTop w:val="0"/>
          <w:marBottom w:val="0"/>
          <w:divBdr>
            <w:top w:val="none" w:sz="0" w:space="0" w:color="auto"/>
            <w:left w:val="none" w:sz="0" w:space="0" w:color="auto"/>
            <w:bottom w:val="none" w:sz="0" w:space="0" w:color="auto"/>
            <w:right w:val="none" w:sz="0" w:space="0" w:color="auto"/>
          </w:divBdr>
        </w:div>
      </w:divsChild>
    </w:div>
    <w:div w:id="1558054027">
      <w:bodyDiv w:val="1"/>
      <w:marLeft w:val="0"/>
      <w:marRight w:val="0"/>
      <w:marTop w:val="0"/>
      <w:marBottom w:val="0"/>
      <w:divBdr>
        <w:top w:val="none" w:sz="0" w:space="0" w:color="auto"/>
        <w:left w:val="none" w:sz="0" w:space="0" w:color="auto"/>
        <w:bottom w:val="none" w:sz="0" w:space="0" w:color="auto"/>
        <w:right w:val="none" w:sz="0" w:space="0" w:color="auto"/>
      </w:divBdr>
    </w:div>
    <w:div w:id="1712194910">
      <w:bodyDiv w:val="1"/>
      <w:marLeft w:val="0"/>
      <w:marRight w:val="0"/>
      <w:marTop w:val="0"/>
      <w:marBottom w:val="0"/>
      <w:divBdr>
        <w:top w:val="none" w:sz="0" w:space="0" w:color="auto"/>
        <w:left w:val="none" w:sz="0" w:space="0" w:color="auto"/>
        <w:bottom w:val="none" w:sz="0" w:space="0" w:color="auto"/>
        <w:right w:val="none" w:sz="0" w:space="0" w:color="auto"/>
      </w:divBdr>
    </w:div>
    <w:div w:id="19751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CnL. Pham Thi Quynh</dc:creator>
  <cp:keywords/>
  <dc:description/>
  <cp:lastModifiedBy>Nam CnL. Pham Thanh</cp:lastModifiedBy>
  <cp:revision>30</cp:revision>
  <cp:lastPrinted>2019-04-27T08:14:00Z</cp:lastPrinted>
  <dcterms:created xsi:type="dcterms:W3CDTF">2017-07-17T08:17:00Z</dcterms:created>
  <dcterms:modified xsi:type="dcterms:W3CDTF">2019-05-06T07:16:00Z</dcterms:modified>
</cp:coreProperties>
</file>