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70" w:rsidRDefault="00D11CD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b/>
          <w:color w:val="0070C0"/>
          <w:sz w:val="26"/>
          <w:szCs w:val="26"/>
        </w:rPr>
      </w:pPr>
      <w:r w:rsidRPr="00F74887">
        <w:rPr>
          <w:b/>
          <w:color w:val="0070C0"/>
          <w:sz w:val="26"/>
          <w:szCs w:val="26"/>
        </w:rPr>
        <w:t xml:space="preserve">CHÍNH SÁCH PHÁT TRIỂN GIÁO DỤC ĐẠI HỌC </w:t>
      </w:r>
      <w:r w:rsidR="009B7D83" w:rsidRPr="00F74887">
        <w:rPr>
          <w:b/>
          <w:color w:val="0070C0"/>
          <w:sz w:val="26"/>
          <w:szCs w:val="26"/>
        </w:rPr>
        <w:t>NGOÀI CÔNG LẬP</w:t>
      </w:r>
      <w:r w:rsidRPr="00F74887">
        <w:rPr>
          <w:b/>
          <w:color w:val="0070C0"/>
          <w:sz w:val="26"/>
          <w:szCs w:val="26"/>
        </w:rPr>
        <w:t xml:space="preserve"> </w:t>
      </w:r>
    </w:p>
    <w:p w:rsidR="003A0C86" w:rsidRPr="00F74887" w:rsidRDefault="00AF55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color w:val="0070C0"/>
          <w:sz w:val="26"/>
          <w:szCs w:val="26"/>
        </w:rPr>
      </w:pPr>
      <w:r w:rsidRPr="00F74887">
        <w:rPr>
          <w:b/>
          <w:color w:val="0070C0"/>
          <w:sz w:val="26"/>
          <w:szCs w:val="26"/>
        </w:rPr>
        <w:t>VÀ DẤU ẤN PHÁP LUẬT 2018</w:t>
      </w:r>
    </w:p>
    <w:p w:rsidR="000B0BBB" w:rsidRPr="00006570" w:rsidRDefault="00D11CDE" w:rsidP="00F748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right"/>
        <w:rPr>
          <w:b/>
          <w:color w:val="000000"/>
        </w:rPr>
      </w:pPr>
      <w:r w:rsidRPr="00006570">
        <w:rPr>
          <w:b/>
          <w:color w:val="000000"/>
          <w:sz w:val="27"/>
          <w:szCs w:val="27"/>
        </w:rPr>
        <w:t xml:space="preserve">                                              </w:t>
      </w:r>
      <w:r w:rsidRPr="00006570">
        <w:rPr>
          <w:b/>
          <w:color w:val="000000"/>
        </w:rPr>
        <w:t xml:space="preserve"> TS. </w:t>
      </w:r>
      <w:proofErr w:type="spellStart"/>
      <w:r w:rsidRPr="00006570">
        <w:rPr>
          <w:b/>
          <w:color w:val="000000"/>
        </w:rPr>
        <w:t>Đặng</w:t>
      </w:r>
      <w:proofErr w:type="spellEnd"/>
      <w:r w:rsidRPr="00006570">
        <w:rPr>
          <w:b/>
          <w:color w:val="000000"/>
        </w:rPr>
        <w:t xml:space="preserve"> </w:t>
      </w:r>
      <w:proofErr w:type="spellStart"/>
      <w:r w:rsidRPr="00006570">
        <w:rPr>
          <w:b/>
          <w:color w:val="000000"/>
        </w:rPr>
        <w:t>Văn</w:t>
      </w:r>
      <w:proofErr w:type="spellEnd"/>
      <w:r w:rsidRPr="00006570">
        <w:rPr>
          <w:b/>
          <w:color w:val="000000"/>
        </w:rPr>
        <w:t xml:space="preserve"> </w:t>
      </w:r>
      <w:proofErr w:type="spellStart"/>
      <w:r w:rsidRPr="00006570">
        <w:rPr>
          <w:b/>
          <w:color w:val="000000"/>
        </w:rPr>
        <w:t>Định</w:t>
      </w:r>
      <w:proofErr w:type="spellEnd"/>
      <w:r w:rsidRPr="00006570">
        <w:rPr>
          <w:b/>
          <w:color w:val="000000"/>
        </w:rPr>
        <w:t xml:space="preserve">, </w:t>
      </w:r>
      <w:proofErr w:type="spellStart"/>
      <w:r w:rsidRPr="00006570">
        <w:rPr>
          <w:b/>
          <w:color w:val="000000"/>
        </w:rPr>
        <w:t>Trưởng</w:t>
      </w:r>
      <w:proofErr w:type="spellEnd"/>
      <w:r w:rsidRPr="00006570">
        <w:rPr>
          <w:b/>
          <w:color w:val="000000"/>
        </w:rPr>
        <w:t xml:space="preserve"> Ban NC&amp;PTCS </w:t>
      </w:r>
    </w:p>
    <w:p w:rsidR="003A0C86" w:rsidRPr="00006570" w:rsidRDefault="00D11CDE" w:rsidP="00F748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right"/>
        <w:rPr>
          <w:b/>
          <w:color w:val="000000"/>
        </w:rPr>
      </w:pPr>
      <w:proofErr w:type="spellStart"/>
      <w:r w:rsidRPr="00006570">
        <w:rPr>
          <w:b/>
          <w:color w:val="000000"/>
        </w:rPr>
        <w:t>Hiệp</w:t>
      </w:r>
      <w:proofErr w:type="spellEnd"/>
      <w:r w:rsidRPr="00006570">
        <w:rPr>
          <w:b/>
          <w:color w:val="000000"/>
        </w:rPr>
        <w:t xml:space="preserve"> </w:t>
      </w:r>
      <w:proofErr w:type="spellStart"/>
      <w:r w:rsidRPr="00006570">
        <w:rPr>
          <w:b/>
          <w:color w:val="000000"/>
        </w:rPr>
        <w:t>hội</w:t>
      </w:r>
      <w:proofErr w:type="spellEnd"/>
      <w:r w:rsidRPr="00006570">
        <w:rPr>
          <w:b/>
          <w:color w:val="000000"/>
        </w:rPr>
        <w:t xml:space="preserve"> </w:t>
      </w:r>
      <w:proofErr w:type="spellStart"/>
      <w:r w:rsidRPr="00006570">
        <w:rPr>
          <w:b/>
          <w:color w:val="000000"/>
        </w:rPr>
        <w:t>các</w:t>
      </w:r>
      <w:proofErr w:type="spellEnd"/>
      <w:r w:rsidRPr="00006570">
        <w:rPr>
          <w:b/>
          <w:color w:val="000000"/>
        </w:rPr>
        <w:t xml:space="preserve"> </w:t>
      </w:r>
      <w:proofErr w:type="spellStart"/>
      <w:r w:rsidRPr="00006570">
        <w:rPr>
          <w:b/>
          <w:color w:val="000000"/>
        </w:rPr>
        <w:t>trường</w:t>
      </w:r>
      <w:proofErr w:type="spellEnd"/>
      <w:r w:rsidRPr="00006570">
        <w:rPr>
          <w:b/>
          <w:color w:val="000000"/>
        </w:rPr>
        <w:t xml:space="preserve"> </w:t>
      </w:r>
      <w:proofErr w:type="spellStart"/>
      <w:r w:rsidRPr="00006570">
        <w:rPr>
          <w:b/>
          <w:color w:val="000000"/>
        </w:rPr>
        <w:t>đại</w:t>
      </w:r>
      <w:proofErr w:type="spellEnd"/>
      <w:r w:rsidRPr="00006570">
        <w:rPr>
          <w:b/>
          <w:color w:val="000000"/>
        </w:rPr>
        <w:t xml:space="preserve"> </w:t>
      </w:r>
      <w:proofErr w:type="spellStart"/>
      <w:r w:rsidRPr="00006570">
        <w:rPr>
          <w:b/>
          <w:color w:val="000000"/>
        </w:rPr>
        <w:t>học</w:t>
      </w:r>
      <w:proofErr w:type="spellEnd"/>
      <w:r w:rsidRPr="00006570">
        <w:rPr>
          <w:b/>
          <w:color w:val="000000"/>
        </w:rPr>
        <w:t xml:space="preserve"> </w:t>
      </w:r>
      <w:proofErr w:type="spellStart"/>
      <w:r w:rsidRPr="00006570">
        <w:rPr>
          <w:b/>
          <w:color w:val="000000"/>
        </w:rPr>
        <w:t>cao</w:t>
      </w:r>
      <w:proofErr w:type="spellEnd"/>
      <w:r w:rsidRPr="00006570">
        <w:rPr>
          <w:b/>
          <w:color w:val="000000"/>
        </w:rPr>
        <w:t xml:space="preserve"> </w:t>
      </w:r>
      <w:proofErr w:type="spellStart"/>
      <w:r w:rsidRPr="00006570">
        <w:rPr>
          <w:b/>
          <w:color w:val="000000"/>
        </w:rPr>
        <w:t>đẳng</w:t>
      </w:r>
      <w:proofErr w:type="spellEnd"/>
      <w:r w:rsidRPr="00006570">
        <w:rPr>
          <w:b/>
          <w:color w:val="000000"/>
        </w:rPr>
        <w:t xml:space="preserve"> </w:t>
      </w:r>
      <w:proofErr w:type="spellStart"/>
      <w:r w:rsidRPr="00006570">
        <w:rPr>
          <w:b/>
          <w:color w:val="000000"/>
        </w:rPr>
        <w:t>Việt</w:t>
      </w:r>
      <w:proofErr w:type="spellEnd"/>
      <w:r w:rsidRPr="00006570">
        <w:rPr>
          <w:b/>
          <w:color w:val="000000"/>
        </w:rPr>
        <w:t xml:space="preserve"> Nam</w:t>
      </w:r>
    </w:p>
    <w:p w:rsidR="00200221" w:rsidRPr="00200221" w:rsidRDefault="00200221" w:rsidP="009B7D8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color w:val="000000"/>
          <w:sz w:val="7"/>
          <w:szCs w:val="27"/>
        </w:rPr>
      </w:pPr>
    </w:p>
    <w:p w:rsidR="007E485F" w:rsidRPr="00323CAE" w:rsidRDefault="00D11CDE" w:rsidP="009B7D8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color w:val="000000"/>
          <w:sz w:val="27"/>
          <w:szCs w:val="27"/>
        </w:rPr>
      </w:pPr>
      <w:r w:rsidRPr="00323CAE">
        <w:rPr>
          <w:color w:val="000000"/>
          <w:sz w:val="27"/>
          <w:szCs w:val="27"/>
        </w:rPr>
        <w:t xml:space="preserve">  </w:t>
      </w:r>
      <w:proofErr w:type="spellStart"/>
      <w:r w:rsidRPr="00323CAE">
        <w:rPr>
          <w:color w:val="000000"/>
          <w:sz w:val="27"/>
          <w:szCs w:val="27"/>
        </w:rPr>
        <w:t>Bài</w:t>
      </w:r>
      <w:proofErr w:type="spellEnd"/>
      <w:r w:rsidRPr="00323CAE">
        <w:rPr>
          <w:color w:val="000000"/>
          <w:sz w:val="27"/>
          <w:szCs w:val="27"/>
        </w:rPr>
        <w:t xml:space="preserve"> </w:t>
      </w:r>
      <w:proofErr w:type="spellStart"/>
      <w:r w:rsidRPr="00323CAE">
        <w:rPr>
          <w:color w:val="000000"/>
          <w:sz w:val="27"/>
          <w:szCs w:val="27"/>
        </w:rPr>
        <w:t>viết</w:t>
      </w:r>
      <w:proofErr w:type="spellEnd"/>
      <w:r w:rsidRPr="00323CAE">
        <w:rPr>
          <w:color w:val="000000"/>
          <w:sz w:val="27"/>
          <w:szCs w:val="27"/>
        </w:rPr>
        <w:t xml:space="preserve"> </w:t>
      </w:r>
      <w:proofErr w:type="spellStart"/>
      <w:r w:rsidRPr="00323CAE">
        <w:rPr>
          <w:color w:val="000000"/>
          <w:sz w:val="27"/>
          <w:szCs w:val="27"/>
        </w:rPr>
        <w:t>này</w:t>
      </w:r>
      <w:proofErr w:type="spellEnd"/>
      <w:r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nhìn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Pr="00323CAE">
        <w:rPr>
          <w:color w:val="000000"/>
          <w:sz w:val="27"/>
          <w:szCs w:val="27"/>
        </w:rPr>
        <w:t>lại</w:t>
      </w:r>
      <w:proofErr w:type="spellEnd"/>
      <w:r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chính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sách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phát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triển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g</w:t>
      </w:r>
      <w:r w:rsidR="00FC16CF">
        <w:rPr>
          <w:color w:val="000000"/>
          <w:sz w:val="27"/>
          <w:szCs w:val="27"/>
        </w:rPr>
        <w:t>íao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dục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đại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học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ngoài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công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lập</w:t>
      </w:r>
      <w:proofErr w:type="spellEnd"/>
      <w:r w:rsidR="007E485F" w:rsidRPr="00323CAE">
        <w:rPr>
          <w:color w:val="000000"/>
          <w:sz w:val="27"/>
          <w:szCs w:val="27"/>
        </w:rPr>
        <w:t xml:space="preserve"> (NCL) </w:t>
      </w:r>
      <w:proofErr w:type="spellStart"/>
      <w:r w:rsidR="00FC16CF">
        <w:rPr>
          <w:color w:val="000000"/>
          <w:sz w:val="27"/>
          <w:szCs w:val="27"/>
        </w:rPr>
        <w:t>thời</w:t>
      </w:r>
      <w:proofErr w:type="spellEnd"/>
      <w:r w:rsidR="00FC16CF">
        <w:rPr>
          <w:color w:val="000000"/>
          <w:sz w:val="27"/>
          <w:szCs w:val="27"/>
        </w:rPr>
        <w:t xml:space="preserve"> </w:t>
      </w:r>
      <w:proofErr w:type="spellStart"/>
      <w:r w:rsidR="00FC16CF">
        <w:rPr>
          <w:color w:val="000000"/>
          <w:sz w:val="27"/>
          <w:szCs w:val="27"/>
        </w:rPr>
        <w:t>kỳ</w:t>
      </w:r>
      <w:proofErr w:type="spellEnd"/>
      <w:r w:rsidR="00FC16CF">
        <w:rPr>
          <w:color w:val="000000"/>
          <w:sz w:val="27"/>
          <w:szCs w:val="27"/>
        </w:rPr>
        <w:t xml:space="preserve"> </w:t>
      </w:r>
      <w:proofErr w:type="spellStart"/>
      <w:r w:rsidR="00FC16CF">
        <w:rPr>
          <w:color w:val="000000"/>
          <w:sz w:val="27"/>
          <w:szCs w:val="27"/>
        </w:rPr>
        <w:t>đổi</w:t>
      </w:r>
      <w:proofErr w:type="spellEnd"/>
      <w:r w:rsidR="00FC16CF">
        <w:rPr>
          <w:color w:val="000000"/>
          <w:sz w:val="27"/>
          <w:szCs w:val="27"/>
        </w:rPr>
        <w:t xml:space="preserve"> </w:t>
      </w:r>
      <w:proofErr w:type="spellStart"/>
      <w:r w:rsidR="00FC16CF">
        <w:rPr>
          <w:color w:val="000000"/>
          <w:sz w:val="27"/>
          <w:szCs w:val="27"/>
        </w:rPr>
        <w:t>mới</w:t>
      </w:r>
      <w:proofErr w:type="spellEnd"/>
      <w:r w:rsidR="00FC16CF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và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dấu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ấn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pháp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luật</w:t>
      </w:r>
      <w:proofErr w:type="spellEnd"/>
      <w:r w:rsidR="007E485F" w:rsidRPr="00323CAE">
        <w:rPr>
          <w:color w:val="000000"/>
          <w:sz w:val="27"/>
          <w:szCs w:val="27"/>
        </w:rPr>
        <w:t xml:space="preserve"> 2018 </w:t>
      </w:r>
      <w:proofErr w:type="spellStart"/>
      <w:r w:rsidR="007E485F" w:rsidRPr="00323CAE">
        <w:rPr>
          <w:color w:val="000000"/>
          <w:sz w:val="27"/>
          <w:szCs w:val="27"/>
        </w:rPr>
        <w:t>đối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với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FC16CF">
        <w:rPr>
          <w:color w:val="000000"/>
          <w:sz w:val="27"/>
          <w:szCs w:val="27"/>
        </w:rPr>
        <w:t>loại</w:t>
      </w:r>
      <w:proofErr w:type="spellEnd"/>
      <w:r w:rsidR="00FC16CF">
        <w:rPr>
          <w:color w:val="000000"/>
          <w:sz w:val="27"/>
          <w:szCs w:val="27"/>
        </w:rPr>
        <w:t xml:space="preserve"> </w:t>
      </w:r>
      <w:proofErr w:type="spellStart"/>
      <w:r w:rsidR="00FC16CF">
        <w:rPr>
          <w:color w:val="000000"/>
          <w:sz w:val="27"/>
          <w:szCs w:val="27"/>
        </w:rPr>
        <w:t>hình</w:t>
      </w:r>
      <w:proofErr w:type="spellEnd"/>
      <w:r w:rsidR="00FC16CF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giáo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7E485F" w:rsidRPr="00323CAE">
        <w:rPr>
          <w:color w:val="000000"/>
          <w:sz w:val="27"/>
          <w:szCs w:val="27"/>
        </w:rPr>
        <w:t>dục</w:t>
      </w:r>
      <w:proofErr w:type="spellEnd"/>
      <w:r w:rsidR="007E485F" w:rsidRPr="00323CAE">
        <w:rPr>
          <w:color w:val="000000"/>
          <w:sz w:val="27"/>
          <w:szCs w:val="27"/>
        </w:rPr>
        <w:t xml:space="preserve"> </w:t>
      </w:r>
      <w:proofErr w:type="spellStart"/>
      <w:r w:rsidR="00FC16CF">
        <w:rPr>
          <w:color w:val="000000"/>
          <w:sz w:val="27"/>
          <w:szCs w:val="27"/>
        </w:rPr>
        <w:t>này</w:t>
      </w:r>
      <w:proofErr w:type="spellEnd"/>
      <w:r w:rsidR="007E485F" w:rsidRPr="00323CAE">
        <w:rPr>
          <w:color w:val="000000"/>
          <w:sz w:val="27"/>
          <w:szCs w:val="27"/>
        </w:rPr>
        <w:t>.</w:t>
      </w:r>
      <w:r w:rsidR="009B7D83" w:rsidRPr="00323CAE">
        <w:rPr>
          <w:color w:val="000000"/>
          <w:sz w:val="27"/>
          <w:szCs w:val="27"/>
        </w:rPr>
        <w:t xml:space="preserve"> </w:t>
      </w:r>
    </w:p>
    <w:p w:rsidR="00117A45" w:rsidRPr="00323CAE" w:rsidRDefault="00117A45" w:rsidP="00117A4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b/>
          <w:color w:val="000000"/>
          <w:sz w:val="27"/>
          <w:szCs w:val="27"/>
        </w:rPr>
      </w:pPr>
      <w:r w:rsidRPr="00323CAE">
        <w:rPr>
          <w:b/>
          <w:color w:val="000000"/>
          <w:sz w:val="27"/>
          <w:szCs w:val="27"/>
        </w:rPr>
        <w:t>1</w:t>
      </w:r>
      <w:r w:rsidR="00B42BD8" w:rsidRPr="00323CAE">
        <w:rPr>
          <w:b/>
          <w:color w:val="000000"/>
          <w:sz w:val="27"/>
          <w:szCs w:val="27"/>
        </w:rPr>
        <w:t>.</w:t>
      </w:r>
      <w:r w:rsidRPr="00323CAE">
        <w:rPr>
          <w:b/>
          <w:color w:val="000000"/>
          <w:sz w:val="27"/>
          <w:szCs w:val="27"/>
        </w:rPr>
        <w:t xml:space="preserve">  </w:t>
      </w:r>
      <w:proofErr w:type="spellStart"/>
      <w:r w:rsidRPr="00323CAE">
        <w:rPr>
          <w:b/>
          <w:color w:val="000000"/>
          <w:sz w:val="27"/>
          <w:szCs w:val="27"/>
        </w:rPr>
        <w:t>Những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Pr="00323CAE">
        <w:rPr>
          <w:b/>
          <w:color w:val="000000"/>
          <w:sz w:val="27"/>
          <w:szCs w:val="27"/>
        </w:rPr>
        <w:t>kết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Pr="00323CAE">
        <w:rPr>
          <w:b/>
          <w:color w:val="000000"/>
          <w:sz w:val="27"/>
          <w:szCs w:val="27"/>
        </w:rPr>
        <w:t>quả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Pr="00323CAE">
        <w:rPr>
          <w:b/>
          <w:color w:val="000000"/>
          <w:sz w:val="27"/>
          <w:szCs w:val="27"/>
        </w:rPr>
        <w:t>đáng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Pr="00323CAE">
        <w:rPr>
          <w:b/>
          <w:color w:val="000000"/>
          <w:sz w:val="27"/>
          <w:szCs w:val="27"/>
        </w:rPr>
        <w:t>ghi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Pr="00323CAE">
        <w:rPr>
          <w:b/>
          <w:color w:val="000000"/>
          <w:sz w:val="27"/>
          <w:szCs w:val="27"/>
        </w:rPr>
        <w:t>nhận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Pr="00323CAE">
        <w:rPr>
          <w:b/>
          <w:color w:val="000000"/>
          <w:sz w:val="27"/>
          <w:szCs w:val="27"/>
        </w:rPr>
        <w:t>củ</w:t>
      </w:r>
      <w:bookmarkStart w:id="0" w:name="_GoBack"/>
      <w:bookmarkEnd w:id="0"/>
      <w:r w:rsidRPr="00323CAE">
        <w:rPr>
          <w:b/>
          <w:color w:val="000000"/>
          <w:sz w:val="27"/>
          <w:szCs w:val="27"/>
        </w:rPr>
        <w:t>a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Pr="00323CAE">
        <w:rPr>
          <w:b/>
          <w:color w:val="000000"/>
          <w:sz w:val="27"/>
          <w:szCs w:val="27"/>
        </w:rPr>
        <w:t>giáo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Pr="00323CAE">
        <w:rPr>
          <w:b/>
          <w:color w:val="000000"/>
          <w:sz w:val="27"/>
          <w:szCs w:val="27"/>
        </w:rPr>
        <w:t>dục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Pr="00323CAE">
        <w:rPr>
          <w:b/>
          <w:color w:val="000000"/>
          <w:sz w:val="27"/>
          <w:szCs w:val="27"/>
        </w:rPr>
        <w:t>đại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Pr="00323CAE">
        <w:rPr>
          <w:b/>
          <w:color w:val="000000"/>
          <w:sz w:val="27"/>
          <w:szCs w:val="27"/>
        </w:rPr>
        <w:t>học</w:t>
      </w:r>
      <w:proofErr w:type="spellEnd"/>
      <w:r w:rsidRPr="00323CAE">
        <w:rPr>
          <w:b/>
          <w:color w:val="000000"/>
          <w:sz w:val="27"/>
          <w:szCs w:val="27"/>
        </w:rPr>
        <w:t xml:space="preserve"> </w:t>
      </w:r>
      <w:r w:rsidR="007E485F" w:rsidRPr="00323CAE">
        <w:rPr>
          <w:b/>
          <w:color w:val="000000"/>
          <w:sz w:val="27"/>
          <w:szCs w:val="27"/>
        </w:rPr>
        <w:t xml:space="preserve">NCL </w:t>
      </w:r>
      <w:proofErr w:type="spellStart"/>
      <w:r w:rsidRPr="00323CAE">
        <w:rPr>
          <w:b/>
          <w:color w:val="000000"/>
          <w:sz w:val="27"/>
          <w:szCs w:val="27"/>
        </w:rPr>
        <w:t>Việt</w:t>
      </w:r>
      <w:proofErr w:type="spellEnd"/>
      <w:r w:rsidRPr="00323CAE">
        <w:rPr>
          <w:b/>
          <w:color w:val="000000"/>
          <w:sz w:val="27"/>
          <w:szCs w:val="27"/>
        </w:rPr>
        <w:t xml:space="preserve"> Nam</w:t>
      </w:r>
    </w:p>
    <w:p w:rsidR="00117A45" w:rsidRPr="00323CAE" w:rsidRDefault="009537F8" w:rsidP="00117A4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i/>
          <w:color w:val="000000"/>
          <w:sz w:val="27"/>
          <w:szCs w:val="27"/>
        </w:rPr>
      </w:pPr>
      <w:proofErr w:type="spellStart"/>
      <w:r>
        <w:rPr>
          <w:i/>
          <w:color w:val="000000"/>
          <w:sz w:val="27"/>
          <w:szCs w:val="27"/>
        </w:rPr>
        <w:t>Giáo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dục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đại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học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như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một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kênh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đầu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tư</w:t>
      </w:r>
      <w:proofErr w:type="spellEnd"/>
    </w:p>
    <w:p w:rsidR="00102B33" w:rsidRPr="00323CAE" w:rsidRDefault="007B364D" w:rsidP="00323CAE">
      <w:pPr>
        <w:pStyle w:val="Normal1"/>
        <w:spacing w:before="240" w:after="240" w:line="240" w:lineRule="auto"/>
        <w:ind w:firstLine="7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Những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năm</w:t>
      </w:r>
      <w:proofErr w:type="spellEnd"/>
      <w:r>
        <w:rPr>
          <w:sz w:val="27"/>
          <w:szCs w:val="27"/>
        </w:rPr>
        <w:t xml:space="preserve"> 90 </w:t>
      </w:r>
      <w:proofErr w:type="spellStart"/>
      <w:r>
        <w:rPr>
          <w:sz w:val="27"/>
          <w:szCs w:val="27"/>
        </w:rPr>
        <w:t>của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trước</w:t>
      </w:r>
      <w:proofErr w:type="spellEnd"/>
      <w:r w:rsidR="00873947" w:rsidRPr="00323CAE">
        <w:rPr>
          <w:sz w:val="27"/>
          <w:szCs w:val="27"/>
        </w:rPr>
        <w:t>,</w:t>
      </w:r>
      <w:r w:rsidR="00873947" w:rsidRPr="00323CAE">
        <w:rPr>
          <w:b/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bằng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nhiệt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huyết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và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uy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tín</w:t>
      </w:r>
      <w:proofErr w:type="spellEnd"/>
      <w:r w:rsidR="00AF5534">
        <w:rPr>
          <w:sz w:val="27"/>
          <w:szCs w:val="27"/>
        </w:rPr>
        <w:t xml:space="preserve"> </w:t>
      </w:r>
      <w:proofErr w:type="spellStart"/>
      <w:r w:rsidR="00AF5534">
        <w:rPr>
          <w:sz w:val="27"/>
          <w:szCs w:val="27"/>
        </w:rPr>
        <w:t>của</w:t>
      </w:r>
      <w:proofErr w:type="spellEnd"/>
      <w:r w:rsidR="00AF5534">
        <w:rPr>
          <w:sz w:val="27"/>
          <w:szCs w:val="27"/>
        </w:rPr>
        <w:t xml:space="preserve"> </w:t>
      </w:r>
      <w:proofErr w:type="spellStart"/>
      <w:r w:rsidR="00AF5534">
        <w:rPr>
          <w:sz w:val="27"/>
          <w:szCs w:val="27"/>
        </w:rPr>
        <w:t>mình</w:t>
      </w:r>
      <w:proofErr w:type="spellEnd"/>
      <w:r w:rsidR="00AF5534">
        <w:rPr>
          <w:sz w:val="27"/>
          <w:szCs w:val="27"/>
        </w:rPr>
        <w:t xml:space="preserve">, </w:t>
      </w:r>
      <w:proofErr w:type="spellStart"/>
      <w:r w:rsidR="00873947" w:rsidRPr="00323CAE">
        <w:rPr>
          <w:sz w:val="27"/>
          <w:szCs w:val="27"/>
        </w:rPr>
        <w:t>một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số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nhà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giáo</w:t>
      </w:r>
      <w:proofErr w:type="spellEnd"/>
      <w:r w:rsidR="00873947" w:rsidRPr="00323CAE">
        <w:rPr>
          <w:sz w:val="27"/>
          <w:szCs w:val="27"/>
        </w:rPr>
        <w:t xml:space="preserve">, </w:t>
      </w:r>
      <w:proofErr w:type="spellStart"/>
      <w:r w:rsidR="00873947" w:rsidRPr="00323CAE">
        <w:rPr>
          <w:sz w:val="27"/>
          <w:szCs w:val="27"/>
        </w:rPr>
        <w:t>nhà</w:t>
      </w:r>
      <w:proofErr w:type="spellEnd"/>
      <w:r w:rsidR="00873947" w:rsidRPr="00323CAE">
        <w:rPr>
          <w:sz w:val="27"/>
          <w:szCs w:val="27"/>
        </w:rPr>
        <w:t xml:space="preserve"> khoa </w:t>
      </w:r>
      <w:proofErr w:type="spellStart"/>
      <w:r w:rsidR="00873947" w:rsidRPr="00323CAE">
        <w:rPr>
          <w:sz w:val="27"/>
          <w:szCs w:val="27"/>
        </w:rPr>
        <w:t>học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đã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sáng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lập</w:t>
      </w:r>
      <w:proofErr w:type="spellEnd"/>
      <w:r w:rsidR="00873947" w:rsidRPr="00323CAE">
        <w:rPr>
          <w:sz w:val="27"/>
          <w:szCs w:val="27"/>
        </w:rPr>
        <w:t xml:space="preserve">, </w:t>
      </w:r>
      <w:proofErr w:type="spellStart"/>
      <w:r w:rsidR="00873947" w:rsidRPr="00323CAE">
        <w:rPr>
          <w:sz w:val="27"/>
          <w:szCs w:val="27"/>
        </w:rPr>
        <w:t>huy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động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nguồn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lực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xã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hội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để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thành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lập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và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dẫn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dắt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nhà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trường</w:t>
      </w:r>
      <w:proofErr w:type="spellEnd"/>
      <w:r w:rsidR="00873947" w:rsidRPr="00323CA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NCL </w:t>
      </w:r>
      <w:proofErr w:type="spellStart"/>
      <w:r w:rsidR="00873947" w:rsidRPr="00323CAE">
        <w:rPr>
          <w:sz w:val="27"/>
          <w:szCs w:val="27"/>
        </w:rPr>
        <w:t>phát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triển</w:t>
      </w:r>
      <w:proofErr w:type="spellEnd"/>
      <w:r w:rsidR="00873947" w:rsidRPr="00323CAE">
        <w:rPr>
          <w:sz w:val="27"/>
          <w:szCs w:val="27"/>
        </w:rPr>
        <w:t>.</w:t>
      </w:r>
      <w:r w:rsidR="007E485F" w:rsidRPr="00323CAE">
        <w:rPr>
          <w:sz w:val="27"/>
          <w:szCs w:val="27"/>
        </w:rPr>
        <w:t xml:space="preserve"> </w:t>
      </w:r>
      <w:proofErr w:type="spellStart"/>
      <w:r w:rsidR="00F75E5D" w:rsidRPr="00323CAE">
        <w:rPr>
          <w:sz w:val="27"/>
          <w:szCs w:val="27"/>
        </w:rPr>
        <w:t>Sự</w:t>
      </w:r>
      <w:proofErr w:type="spellEnd"/>
      <w:r w:rsidR="00F75E5D" w:rsidRPr="00323CAE">
        <w:rPr>
          <w:sz w:val="27"/>
          <w:szCs w:val="27"/>
        </w:rPr>
        <w:t xml:space="preserve"> </w:t>
      </w:r>
      <w:proofErr w:type="spellStart"/>
      <w:r w:rsidR="00F75E5D" w:rsidRPr="00323CAE">
        <w:rPr>
          <w:sz w:val="27"/>
          <w:szCs w:val="27"/>
        </w:rPr>
        <w:t>có</w:t>
      </w:r>
      <w:proofErr w:type="spellEnd"/>
      <w:r w:rsidR="00F75E5D" w:rsidRPr="00323CAE">
        <w:rPr>
          <w:sz w:val="27"/>
          <w:szCs w:val="27"/>
        </w:rPr>
        <w:t xml:space="preserve"> </w:t>
      </w:r>
      <w:proofErr w:type="spellStart"/>
      <w:r w:rsidR="00F75E5D" w:rsidRPr="00323CAE">
        <w:rPr>
          <w:sz w:val="27"/>
          <w:szCs w:val="27"/>
        </w:rPr>
        <w:t>mặt</w:t>
      </w:r>
      <w:proofErr w:type="spellEnd"/>
      <w:r w:rsidR="00F75E5D" w:rsidRPr="00323CAE">
        <w:rPr>
          <w:sz w:val="27"/>
          <w:szCs w:val="27"/>
        </w:rPr>
        <w:t xml:space="preserve"> </w:t>
      </w:r>
      <w:proofErr w:type="spellStart"/>
      <w:r w:rsidR="00F75E5D" w:rsidRPr="00323CAE">
        <w:rPr>
          <w:sz w:val="27"/>
          <w:szCs w:val="27"/>
        </w:rPr>
        <w:t>của</w:t>
      </w:r>
      <w:proofErr w:type="spellEnd"/>
      <w:r w:rsidR="00F75E5D" w:rsidRPr="00323CAE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các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7E485F" w:rsidRPr="00323CAE">
        <w:rPr>
          <w:sz w:val="27"/>
          <w:szCs w:val="27"/>
        </w:rPr>
        <w:t>t</w:t>
      </w:r>
      <w:r w:rsidR="00873947" w:rsidRPr="00323CAE">
        <w:rPr>
          <w:sz w:val="27"/>
          <w:szCs w:val="27"/>
        </w:rPr>
        <w:t>rường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7E485F" w:rsidRPr="00323CAE">
        <w:rPr>
          <w:sz w:val="27"/>
          <w:szCs w:val="27"/>
        </w:rPr>
        <w:t>đ</w:t>
      </w:r>
      <w:r w:rsidR="00873947" w:rsidRPr="00323CAE">
        <w:rPr>
          <w:sz w:val="27"/>
          <w:szCs w:val="27"/>
        </w:rPr>
        <w:t>ại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học</w:t>
      </w:r>
      <w:proofErr w:type="spellEnd"/>
      <w:r w:rsidR="007E485F" w:rsidRPr="00323CAE">
        <w:rPr>
          <w:sz w:val="27"/>
          <w:szCs w:val="27"/>
        </w:rPr>
        <w:t>:</w:t>
      </w:r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Thăng</w:t>
      </w:r>
      <w:proofErr w:type="spellEnd"/>
      <w:r w:rsidR="00873947" w:rsidRPr="00323CAE">
        <w:rPr>
          <w:sz w:val="27"/>
          <w:szCs w:val="27"/>
        </w:rPr>
        <w:t xml:space="preserve"> Long </w:t>
      </w:r>
      <w:proofErr w:type="spellStart"/>
      <w:r w:rsidR="00873947" w:rsidRPr="00323CAE">
        <w:rPr>
          <w:sz w:val="27"/>
          <w:szCs w:val="27"/>
        </w:rPr>
        <w:t>Đông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Đô</w:t>
      </w:r>
      <w:proofErr w:type="spellEnd"/>
      <w:r w:rsidR="00873947" w:rsidRPr="00323CAE">
        <w:rPr>
          <w:sz w:val="27"/>
          <w:szCs w:val="27"/>
        </w:rPr>
        <w:t xml:space="preserve">, </w:t>
      </w:r>
      <w:proofErr w:type="spellStart"/>
      <w:r w:rsidR="00873947" w:rsidRPr="00323CAE">
        <w:rPr>
          <w:sz w:val="27"/>
          <w:szCs w:val="27"/>
        </w:rPr>
        <w:t>Phương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Đông</w:t>
      </w:r>
      <w:proofErr w:type="spellEnd"/>
      <w:r w:rsidR="00873947" w:rsidRPr="00323CAE">
        <w:rPr>
          <w:sz w:val="27"/>
          <w:szCs w:val="27"/>
        </w:rPr>
        <w:t xml:space="preserve">, </w:t>
      </w:r>
      <w:proofErr w:type="spellStart"/>
      <w:r w:rsidR="007E485F" w:rsidRPr="00323CAE">
        <w:rPr>
          <w:sz w:val="27"/>
          <w:szCs w:val="27"/>
        </w:rPr>
        <w:t>Hùng</w:t>
      </w:r>
      <w:proofErr w:type="spellEnd"/>
      <w:r w:rsidR="007E485F" w:rsidRPr="00323CAE">
        <w:rPr>
          <w:sz w:val="27"/>
          <w:szCs w:val="27"/>
        </w:rPr>
        <w:t xml:space="preserve"> </w:t>
      </w:r>
      <w:proofErr w:type="spellStart"/>
      <w:r w:rsidR="000B0BBB">
        <w:rPr>
          <w:sz w:val="27"/>
          <w:szCs w:val="27"/>
        </w:rPr>
        <w:t>V</w:t>
      </w:r>
      <w:r w:rsidR="007E485F" w:rsidRPr="00323CAE">
        <w:rPr>
          <w:sz w:val="27"/>
          <w:szCs w:val="27"/>
        </w:rPr>
        <w:t>ương</w:t>
      </w:r>
      <w:proofErr w:type="spellEnd"/>
      <w:r w:rsidR="007E485F" w:rsidRPr="00323CAE">
        <w:rPr>
          <w:sz w:val="27"/>
          <w:szCs w:val="27"/>
        </w:rPr>
        <w:t xml:space="preserve">, </w:t>
      </w:r>
      <w:proofErr w:type="spellStart"/>
      <w:r w:rsidR="007E485F" w:rsidRPr="00323CAE">
        <w:rPr>
          <w:sz w:val="27"/>
          <w:szCs w:val="27"/>
        </w:rPr>
        <w:t>Văn</w:t>
      </w:r>
      <w:proofErr w:type="spellEnd"/>
      <w:r w:rsidR="007E485F" w:rsidRPr="00323CAE">
        <w:rPr>
          <w:sz w:val="27"/>
          <w:szCs w:val="27"/>
        </w:rPr>
        <w:t xml:space="preserve"> </w:t>
      </w:r>
      <w:proofErr w:type="spellStart"/>
      <w:r w:rsidR="000B0BBB">
        <w:rPr>
          <w:sz w:val="27"/>
          <w:szCs w:val="27"/>
        </w:rPr>
        <w:t>H</w:t>
      </w:r>
      <w:r w:rsidR="007E485F" w:rsidRPr="00323CAE">
        <w:rPr>
          <w:sz w:val="27"/>
          <w:szCs w:val="27"/>
        </w:rPr>
        <w:t>iến</w:t>
      </w:r>
      <w:proofErr w:type="spellEnd"/>
      <w:r w:rsidR="007E485F" w:rsidRPr="00323CAE">
        <w:rPr>
          <w:sz w:val="27"/>
          <w:szCs w:val="27"/>
        </w:rPr>
        <w:t xml:space="preserve">, </w:t>
      </w:r>
      <w:proofErr w:type="spellStart"/>
      <w:r w:rsidR="00873947" w:rsidRPr="00323CAE">
        <w:rPr>
          <w:sz w:val="27"/>
          <w:szCs w:val="27"/>
        </w:rPr>
        <w:t>Văn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gramStart"/>
      <w:r w:rsidR="00873947" w:rsidRPr="00323CAE">
        <w:rPr>
          <w:sz w:val="27"/>
          <w:szCs w:val="27"/>
        </w:rPr>
        <w:t>Lang,</w:t>
      </w:r>
      <w:r>
        <w:rPr>
          <w:sz w:val="27"/>
          <w:szCs w:val="27"/>
        </w:rPr>
        <w:t>…</w:t>
      </w:r>
      <w:proofErr w:type="spellStart"/>
      <w:proofErr w:type="gramEnd"/>
      <w:r>
        <w:rPr>
          <w:sz w:val="27"/>
          <w:szCs w:val="27"/>
        </w:rPr>
        <w:t>là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những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dụ</w:t>
      </w:r>
      <w:proofErr w:type="spellEnd"/>
      <w:r>
        <w:rPr>
          <w:sz w:val="27"/>
          <w:szCs w:val="27"/>
        </w:rPr>
        <w:t>.</w:t>
      </w:r>
      <w:r w:rsid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Từ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năm</w:t>
      </w:r>
      <w:proofErr w:type="spellEnd"/>
      <w:r w:rsidR="00873947" w:rsidRPr="00323CAE">
        <w:rPr>
          <w:sz w:val="27"/>
          <w:szCs w:val="27"/>
        </w:rPr>
        <w:t xml:space="preserve"> 2005 </w:t>
      </w:r>
      <w:proofErr w:type="spellStart"/>
      <w:r w:rsidR="00873947" w:rsidRPr="00323CAE">
        <w:rPr>
          <w:sz w:val="27"/>
          <w:szCs w:val="27"/>
        </w:rPr>
        <w:t>việc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đầu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tư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vào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giáo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dục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được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mở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rộng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đến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mọi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tầng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lớp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nhân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dân</w:t>
      </w:r>
      <w:proofErr w:type="spellEnd"/>
      <w:r w:rsidR="00873947" w:rsidRPr="00323CAE">
        <w:rPr>
          <w:sz w:val="27"/>
          <w:szCs w:val="27"/>
        </w:rPr>
        <w:t xml:space="preserve">. </w:t>
      </w:r>
      <w:proofErr w:type="spellStart"/>
      <w:r w:rsidR="000B0BBB">
        <w:rPr>
          <w:sz w:val="27"/>
          <w:szCs w:val="27"/>
        </w:rPr>
        <w:t>Giáo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dục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đại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học</w:t>
      </w:r>
      <w:proofErr w:type="spellEnd"/>
      <w:r>
        <w:rPr>
          <w:sz w:val="27"/>
          <w:szCs w:val="27"/>
        </w:rPr>
        <w:t xml:space="preserve"> (GD</w:t>
      </w:r>
      <w:r w:rsidR="00634526" w:rsidRPr="00323CAE">
        <w:rPr>
          <w:sz w:val="27"/>
          <w:szCs w:val="27"/>
        </w:rPr>
        <w:t>ĐH</w:t>
      </w:r>
      <w:r>
        <w:rPr>
          <w:sz w:val="27"/>
          <w:szCs w:val="27"/>
        </w:rPr>
        <w:t>)</w:t>
      </w:r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như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một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kênh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đầu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tư</w:t>
      </w:r>
      <w:proofErr w:type="spellEnd"/>
      <w:r w:rsidR="00873947" w:rsidRPr="00323CAE">
        <w:rPr>
          <w:sz w:val="27"/>
          <w:szCs w:val="27"/>
        </w:rPr>
        <w:t xml:space="preserve">. </w:t>
      </w:r>
      <w:proofErr w:type="spellStart"/>
      <w:r w:rsidR="00873947" w:rsidRPr="00323CAE">
        <w:rPr>
          <w:sz w:val="27"/>
          <w:szCs w:val="27"/>
        </w:rPr>
        <w:t>Người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dân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được</w:t>
      </w:r>
      <w:proofErr w:type="spellEnd"/>
      <w:r w:rsidR="00634526" w:rsidRPr="00323CAE">
        <w:rPr>
          <w:sz w:val="27"/>
          <w:szCs w:val="27"/>
        </w:rPr>
        <w:t xml:space="preserve"> </w:t>
      </w:r>
      <w:r w:rsidR="00873947" w:rsidRPr="00323CAE">
        <w:rPr>
          <w:sz w:val="27"/>
          <w:szCs w:val="27"/>
        </w:rPr>
        <w:t>“</w:t>
      </w:r>
      <w:proofErr w:type="spellStart"/>
      <w:r w:rsidR="00873947" w:rsidRPr="00323CAE">
        <w:rPr>
          <w:sz w:val="27"/>
          <w:szCs w:val="27"/>
        </w:rPr>
        <w:t>đưa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tài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sản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vào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nhà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trường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để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trở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thành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chủ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sở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hữu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chung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của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nhà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trường</w:t>
      </w:r>
      <w:proofErr w:type="spellEnd"/>
      <w:r w:rsidR="00873947" w:rsidRPr="00323CAE">
        <w:rPr>
          <w:sz w:val="27"/>
          <w:szCs w:val="27"/>
        </w:rPr>
        <w:t xml:space="preserve">”. </w:t>
      </w:r>
      <w:proofErr w:type="spellStart"/>
      <w:r w:rsidR="00634526" w:rsidRPr="00323CAE">
        <w:rPr>
          <w:sz w:val="27"/>
          <w:szCs w:val="27"/>
        </w:rPr>
        <w:t>Chủ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đầu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tư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F75E5D" w:rsidRPr="00323CAE">
        <w:rPr>
          <w:sz w:val="27"/>
          <w:szCs w:val="27"/>
        </w:rPr>
        <w:t>khá</w:t>
      </w:r>
      <w:proofErr w:type="spellEnd"/>
      <w:r w:rsidR="00F75E5D" w:rsidRPr="00323CAE">
        <w:rPr>
          <w:sz w:val="27"/>
          <w:szCs w:val="27"/>
        </w:rPr>
        <w:t xml:space="preserve"> da </w:t>
      </w:r>
      <w:proofErr w:type="spellStart"/>
      <w:r w:rsidR="00F75E5D" w:rsidRPr="00323CAE">
        <w:rPr>
          <w:sz w:val="27"/>
          <w:szCs w:val="27"/>
        </w:rPr>
        <w:t>dạng</w:t>
      </w:r>
      <w:proofErr w:type="spellEnd"/>
      <w:r>
        <w:rPr>
          <w:sz w:val="27"/>
          <w:szCs w:val="27"/>
        </w:rPr>
        <w:t>:</w:t>
      </w:r>
      <w:r w:rsidR="00F75E5D" w:rsidRPr="00323CAE">
        <w:rPr>
          <w:sz w:val="27"/>
          <w:szCs w:val="27"/>
        </w:rPr>
        <w:t xml:space="preserve"> </w:t>
      </w:r>
      <w:proofErr w:type="spellStart"/>
      <w:r w:rsidR="00102B33" w:rsidRPr="00323CAE">
        <w:rPr>
          <w:sz w:val="27"/>
          <w:szCs w:val="27"/>
        </w:rPr>
        <w:t>cá</w:t>
      </w:r>
      <w:proofErr w:type="spellEnd"/>
      <w:r w:rsidR="00102B33" w:rsidRPr="00323CAE">
        <w:rPr>
          <w:sz w:val="27"/>
          <w:szCs w:val="27"/>
        </w:rPr>
        <w:t xml:space="preserve"> </w:t>
      </w:r>
      <w:proofErr w:type="spellStart"/>
      <w:r w:rsidR="00102B33" w:rsidRPr="00323CAE">
        <w:rPr>
          <w:sz w:val="27"/>
          <w:szCs w:val="27"/>
        </w:rPr>
        <w:t>nhân</w:t>
      </w:r>
      <w:proofErr w:type="spellEnd"/>
      <w:r w:rsidR="00102B33" w:rsidRPr="00323CAE">
        <w:rPr>
          <w:sz w:val="27"/>
          <w:szCs w:val="27"/>
        </w:rPr>
        <w:t xml:space="preserve">, </w:t>
      </w:r>
      <w:proofErr w:type="spellStart"/>
      <w:r w:rsidR="00873947" w:rsidRPr="00323CAE">
        <w:rPr>
          <w:sz w:val="27"/>
          <w:szCs w:val="27"/>
        </w:rPr>
        <w:t>một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nhóm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người</w:t>
      </w:r>
      <w:proofErr w:type="spellEnd"/>
      <w:r w:rsidR="00873947" w:rsidRPr="00323CAE">
        <w:rPr>
          <w:sz w:val="27"/>
          <w:szCs w:val="27"/>
        </w:rPr>
        <w:t xml:space="preserve">, </w:t>
      </w:r>
      <w:proofErr w:type="spellStart"/>
      <w:r w:rsidR="00F75E5D" w:rsidRPr="00323CAE">
        <w:rPr>
          <w:sz w:val="27"/>
          <w:szCs w:val="27"/>
        </w:rPr>
        <w:t>một</w:t>
      </w:r>
      <w:proofErr w:type="spellEnd"/>
      <w:r w:rsidR="00F75E5D" w:rsidRPr="00323CAE">
        <w:rPr>
          <w:sz w:val="27"/>
          <w:szCs w:val="27"/>
        </w:rPr>
        <w:t xml:space="preserve"> </w:t>
      </w:r>
      <w:proofErr w:type="spellStart"/>
      <w:r w:rsidR="00F75E5D" w:rsidRPr="00323CAE">
        <w:rPr>
          <w:sz w:val="27"/>
          <w:szCs w:val="27"/>
        </w:rPr>
        <w:t>gia</w:t>
      </w:r>
      <w:proofErr w:type="spellEnd"/>
      <w:r w:rsidR="00F75E5D" w:rsidRPr="00323CAE">
        <w:rPr>
          <w:sz w:val="27"/>
          <w:szCs w:val="27"/>
        </w:rPr>
        <w:t xml:space="preserve"> </w:t>
      </w:r>
      <w:proofErr w:type="spellStart"/>
      <w:r w:rsidR="00F75E5D" w:rsidRPr="00323CAE">
        <w:rPr>
          <w:sz w:val="27"/>
          <w:szCs w:val="27"/>
        </w:rPr>
        <w:t>đình</w:t>
      </w:r>
      <w:proofErr w:type="spellEnd"/>
      <w:r w:rsidR="00F75E5D" w:rsidRPr="00323CAE">
        <w:rPr>
          <w:sz w:val="27"/>
          <w:szCs w:val="27"/>
        </w:rPr>
        <w:t xml:space="preserve"> hay </w:t>
      </w:r>
      <w:proofErr w:type="spellStart"/>
      <w:r w:rsidR="00873947" w:rsidRPr="00323CAE">
        <w:rPr>
          <w:sz w:val="27"/>
          <w:szCs w:val="27"/>
        </w:rPr>
        <w:t>một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</w:t>
      </w:r>
      <w:r w:rsidR="00634526" w:rsidRPr="00323CAE">
        <w:rPr>
          <w:sz w:val="27"/>
          <w:szCs w:val="27"/>
        </w:rPr>
        <w:t>ổ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chức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kinh</w:t>
      </w:r>
      <w:proofErr w:type="spellEnd"/>
      <w:r w:rsidR="00634526" w:rsidRPr="00323CAE">
        <w:rPr>
          <w:sz w:val="27"/>
          <w:szCs w:val="27"/>
        </w:rPr>
        <w:t xml:space="preserve"> </w:t>
      </w:r>
      <w:proofErr w:type="spellStart"/>
      <w:r w:rsidR="00634526" w:rsidRPr="00323CAE">
        <w:rPr>
          <w:sz w:val="27"/>
          <w:szCs w:val="27"/>
        </w:rPr>
        <w:t>doanh</w:t>
      </w:r>
      <w:proofErr w:type="spellEnd"/>
      <w:r w:rsidR="00102B33" w:rsidRPr="00323CAE">
        <w:rPr>
          <w:sz w:val="27"/>
          <w:szCs w:val="27"/>
        </w:rPr>
        <w:t>.</w:t>
      </w:r>
    </w:p>
    <w:p w:rsidR="00C53510" w:rsidRPr="00323CAE" w:rsidRDefault="00102B33" w:rsidP="00323CAE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7"/>
          <w:szCs w:val="27"/>
        </w:rPr>
      </w:pPr>
      <w:proofErr w:type="spellStart"/>
      <w:r w:rsidRPr="00323CAE">
        <w:rPr>
          <w:sz w:val="27"/>
          <w:szCs w:val="27"/>
        </w:rPr>
        <w:t>Trong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Pr="00323CAE">
        <w:rPr>
          <w:sz w:val="27"/>
          <w:szCs w:val="27"/>
        </w:rPr>
        <w:t>các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xu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thế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trên</w:t>
      </w:r>
      <w:proofErr w:type="spellEnd"/>
      <w:r w:rsidR="00873947" w:rsidRPr="00323CAE">
        <w:rPr>
          <w:i/>
          <w:sz w:val="27"/>
          <w:szCs w:val="27"/>
        </w:rPr>
        <w:t>,</w:t>
      </w:r>
      <w:r w:rsidR="00873947" w:rsidRPr="00323CAE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có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F75E5D" w:rsidRPr="00323CAE">
        <w:rPr>
          <w:sz w:val="27"/>
          <w:szCs w:val="27"/>
        </w:rPr>
        <w:t>việc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hóa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thân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của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tổ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chức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kinh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tế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thành</w:t>
      </w:r>
      <w:proofErr w:type="spellEnd"/>
      <w:r w:rsidR="00873947" w:rsidRPr="00323CAE">
        <w:rPr>
          <w:sz w:val="27"/>
          <w:szCs w:val="27"/>
        </w:rPr>
        <w:t xml:space="preserve"> “</w:t>
      </w:r>
      <w:proofErr w:type="spellStart"/>
      <w:r w:rsidR="00873947" w:rsidRPr="00323CAE">
        <w:rPr>
          <w:sz w:val="27"/>
          <w:szCs w:val="27"/>
        </w:rPr>
        <w:t>cổ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đông</w:t>
      </w:r>
      <w:proofErr w:type="spellEnd"/>
      <w:r w:rsidR="00873947" w:rsidRPr="00323CAE">
        <w:rPr>
          <w:sz w:val="27"/>
          <w:szCs w:val="27"/>
        </w:rPr>
        <w:t xml:space="preserve">” </w:t>
      </w:r>
      <w:proofErr w:type="spellStart"/>
      <w:r w:rsidR="00873947" w:rsidRPr="00323CAE">
        <w:rPr>
          <w:sz w:val="27"/>
          <w:szCs w:val="27"/>
        </w:rPr>
        <w:t>để</w:t>
      </w:r>
      <w:proofErr w:type="spellEnd"/>
      <w:r w:rsidR="00873947" w:rsidRPr="00323CAE">
        <w:rPr>
          <w:sz w:val="27"/>
          <w:szCs w:val="27"/>
        </w:rPr>
        <w:t xml:space="preserve"> ra </w:t>
      </w:r>
      <w:proofErr w:type="spellStart"/>
      <w:r w:rsidR="00873947" w:rsidRPr="00323CAE">
        <w:rPr>
          <w:sz w:val="27"/>
          <w:szCs w:val="27"/>
        </w:rPr>
        <w:t>đời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trường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đại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học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tư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thục</w:t>
      </w:r>
      <w:proofErr w:type="spellEnd"/>
      <w:r w:rsidR="007B364D">
        <w:rPr>
          <w:sz w:val="27"/>
          <w:szCs w:val="27"/>
        </w:rPr>
        <w:t xml:space="preserve"> (</w:t>
      </w:r>
      <w:r w:rsidR="00873947" w:rsidRPr="00323CAE">
        <w:rPr>
          <w:sz w:val="27"/>
          <w:szCs w:val="27"/>
        </w:rPr>
        <w:t>ĐHTT</w:t>
      </w:r>
      <w:r w:rsidR="007B364D">
        <w:rPr>
          <w:sz w:val="27"/>
          <w:szCs w:val="27"/>
        </w:rPr>
        <w:t>)</w:t>
      </w:r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với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nguồn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lực</w:t>
      </w:r>
      <w:proofErr w:type="spellEnd"/>
      <w:r w:rsidR="00873947" w:rsidRPr="00323CAE">
        <w:rPr>
          <w:sz w:val="27"/>
          <w:szCs w:val="27"/>
        </w:rPr>
        <w:t xml:space="preserve"> ban </w:t>
      </w:r>
      <w:proofErr w:type="spellStart"/>
      <w:r w:rsidR="00873947" w:rsidRPr="00323CAE">
        <w:rPr>
          <w:sz w:val="27"/>
          <w:szCs w:val="27"/>
        </w:rPr>
        <w:t>đầu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AF5534">
        <w:rPr>
          <w:sz w:val="27"/>
          <w:szCs w:val="27"/>
        </w:rPr>
        <w:t>khá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mạnh</w:t>
      </w:r>
      <w:proofErr w:type="spellEnd"/>
      <w:r w:rsidR="00873947" w:rsidRPr="00323CAE">
        <w:rPr>
          <w:sz w:val="27"/>
          <w:szCs w:val="27"/>
        </w:rPr>
        <w:t xml:space="preserve">. </w:t>
      </w:r>
      <w:proofErr w:type="spellStart"/>
      <w:r w:rsidR="00873947" w:rsidRPr="00323CAE">
        <w:rPr>
          <w:sz w:val="27"/>
          <w:szCs w:val="27"/>
        </w:rPr>
        <w:t>Tập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đoàn</w:t>
      </w:r>
      <w:proofErr w:type="spellEnd"/>
      <w:r w:rsidR="00873947" w:rsidRPr="00323CAE">
        <w:rPr>
          <w:sz w:val="27"/>
          <w:szCs w:val="27"/>
        </w:rPr>
        <w:t xml:space="preserve"> FPT </w:t>
      </w:r>
      <w:proofErr w:type="spellStart"/>
      <w:r w:rsidR="00873947" w:rsidRPr="00323CAE">
        <w:rPr>
          <w:sz w:val="27"/>
          <w:szCs w:val="27"/>
        </w:rPr>
        <w:t>đứng</w:t>
      </w:r>
      <w:proofErr w:type="spellEnd"/>
      <w:r w:rsidR="00873947" w:rsidRPr="00323CAE">
        <w:rPr>
          <w:sz w:val="27"/>
          <w:szCs w:val="27"/>
        </w:rPr>
        <w:t xml:space="preserve"> ra </w:t>
      </w:r>
      <w:proofErr w:type="spellStart"/>
      <w:r w:rsidR="00873947" w:rsidRPr="00323CAE">
        <w:rPr>
          <w:sz w:val="27"/>
          <w:szCs w:val="27"/>
        </w:rPr>
        <w:t>lập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Trường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Đại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học</w:t>
      </w:r>
      <w:proofErr w:type="spellEnd"/>
      <w:r w:rsidR="00873947" w:rsidRPr="00323CAE">
        <w:rPr>
          <w:sz w:val="27"/>
          <w:szCs w:val="27"/>
        </w:rPr>
        <w:t xml:space="preserve"> FPT, </w:t>
      </w:r>
      <w:proofErr w:type="spellStart"/>
      <w:r w:rsidR="00873947" w:rsidRPr="00323CAE">
        <w:rPr>
          <w:sz w:val="27"/>
          <w:szCs w:val="27"/>
        </w:rPr>
        <w:t>tập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đoàn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Becamex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Bình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Dương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đứng</w:t>
      </w:r>
      <w:proofErr w:type="spellEnd"/>
      <w:r w:rsidR="00873947" w:rsidRPr="00323CAE">
        <w:rPr>
          <w:sz w:val="27"/>
          <w:szCs w:val="27"/>
        </w:rPr>
        <w:t xml:space="preserve"> ra </w:t>
      </w:r>
      <w:proofErr w:type="spellStart"/>
      <w:r w:rsidR="00873947" w:rsidRPr="00323CAE">
        <w:rPr>
          <w:sz w:val="27"/>
          <w:szCs w:val="27"/>
        </w:rPr>
        <w:t>lập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Trường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Đại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học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Quốc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tế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Miền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Đông</w:t>
      </w:r>
      <w:proofErr w:type="spellEnd"/>
      <w:r w:rsidR="00F75E5D" w:rsidRPr="00323CAE">
        <w:rPr>
          <w:sz w:val="27"/>
          <w:szCs w:val="27"/>
        </w:rPr>
        <w:t>..</w:t>
      </w:r>
      <w:r w:rsidR="00873947" w:rsidRPr="00323CAE">
        <w:rPr>
          <w:sz w:val="27"/>
          <w:szCs w:val="27"/>
        </w:rPr>
        <w:t>.</w:t>
      </w:r>
      <w:r w:rsidR="00323CAE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X</w:t>
      </w:r>
      <w:r w:rsidR="00873947" w:rsidRPr="00323CAE">
        <w:rPr>
          <w:sz w:val="27"/>
          <w:szCs w:val="27"/>
        </w:rPr>
        <w:t>uất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hiện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1A6332" w:rsidRPr="00323CAE">
        <w:rPr>
          <w:sz w:val="27"/>
          <w:szCs w:val="27"/>
        </w:rPr>
        <w:t>xu</w:t>
      </w:r>
      <w:proofErr w:type="spellEnd"/>
      <w:r w:rsidR="001A6332" w:rsidRPr="00323CAE">
        <w:rPr>
          <w:sz w:val="27"/>
          <w:szCs w:val="27"/>
        </w:rPr>
        <w:t xml:space="preserve"> </w:t>
      </w:r>
      <w:proofErr w:type="spellStart"/>
      <w:r w:rsidR="001A6332" w:rsidRPr="00323CAE">
        <w:rPr>
          <w:sz w:val="27"/>
          <w:szCs w:val="27"/>
        </w:rPr>
        <w:t>thế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Pr="00323CAE">
        <w:rPr>
          <w:sz w:val="27"/>
          <w:szCs w:val="27"/>
        </w:rPr>
        <w:t>mua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Pr="00323CAE">
        <w:rPr>
          <w:sz w:val="27"/>
          <w:szCs w:val="27"/>
        </w:rPr>
        <w:t>trường</w:t>
      </w:r>
      <w:proofErr w:type="spellEnd"/>
      <w:r w:rsidRPr="00323CAE">
        <w:rPr>
          <w:sz w:val="27"/>
          <w:szCs w:val="27"/>
        </w:rPr>
        <w:t>.</w:t>
      </w:r>
      <w:r w:rsidR="00F75E5D" w:rsidRPr="00323CAE">
        <w:rPr>
          <w:sz w:val="27"/>
          <w:szCs w:val="27"/>
        </w:rPr>
        <w:t xml:space="preserve"> </w:t>
      </w:r>
      <w:proofErr w:type="spellStart"/>
      <w:r w:rsidR="009537F8">
        <w:rPr>
          <w:sz w:val="27"/>
          <w:szCs w:val="27"/>
        </w:rPr>
        <w:t>Ấn</w:t>
      </w:r>
      <w:proofErr w:type="spellEnd"/>
      <w:r w:rsidR="009537F8">
        <w:rPr>
          <w:sz w:val="27"/>
          <w:szCs w:val="27"/>
        </w:rPr>
        <w:t xml:space="preserve"> </w:t>
      </w:r>
      <w:proofErr w:type="spellStart"/>
      <w:r w:rsidR="009537F8">
        <w:rPr>
          <w:sz w:val="27"/>
          <w:szCs w:val="27"/>
        </w:rPr>
        <w:t>tượng</w:t>
      </w:r>
      <w:proofErr w:type="spellEnd"/>
      <w:r w:rsidR="009537F8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hơn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cả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9537F8">
        <w:rPr>
          <w:sz w:val="27"/>
          <w:szCs w:val="27"/>
        </w:rPr>
        <w:t>là</w:t>
      </w:r>
      <w:proofErr w:type="spellEnd"/>
      <w:r w:rsidR="009537F8">
        <w:rPr>
          <w:sz w:val="27"/>
          <w:szCs w:val="27"/>
        </w:rPr>
        <w:t xml:space="preserve"> </w:t>
      </w:r>
      <w:proofErr w:type="spellStart"/>
      <w:r w:rsidR="009537F8">
        <w:rPr>
          <w:sz w:val="27"/>
          <w:szCs w:val="27"/>
        </w:rPr>
        <w:t>việc</w:t>
      </w:r>
      <w:proofErr w:type="spellEnd"/>
      <w:r w:rsidR="009537F8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Tập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đoàn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Nguyễn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Hoàng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trong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vài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năm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lại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đây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AF5534">
        <w:rPr>
          <w:sz w:val="27"/>
          <w:szCs w:val="27"/>
        </w:rPr>
        <w:t>tập</w:t>
      </w:r>
      <w:proofErr w:type="spellEnd"/>
      <w:r w:rsidR="00AF5534">
        <w:rPr>
          <w:sz w:val="27"/>
          <w:szCs w:val="27"/>
        </w:rPr>
        <w:t xml:space="preserve"> </w:t>
      </w:r>
      <w:proofErr w:type="spellStart"/>
      <w:r w:rsidR="00AF5534">
        <w:rPr>
          <w:sz w:val="27"/>
          <w:szCs w:val="27"/>
        </w:rPr>
        <w:t>trung</w:t>
      </w:r>
      <w:proofErr w:type="spellEnd"/>
      <w:r w:rsidR="00AF5534">
        <w:rPr>
          <w:sz w:val="27"/>
          <w:szCs w:val="27"/>
        </w:rPr>
        <w:t xml:space="preserve"> </w:t>
      </w:r>
      <w:proofErr w:type="spellStart"/>
      <w:r w:rsidR="00AF5534">
        <w:rPr>
          <w:sz w:val="27"/>
          <w:szCs w:val="27"/>
        </w:rPr>
        <w:t>tài</w:t>
      </w:r>
      <w:proofErr w:type="spellEnd"/>
      <w:r w:rsidR="00AF5534">
        <w:rPr>
          <w:sz w:val="27"/>
          <w:szCs w:val="27"/>
        </w:rPr>
        <w:t xml:space="preserve"> </w:t>
      </w:r>
      <w:proofErr w:type="spellStart"/>
      <w:r w:rsidR="00AF5534">
        <w:rPr>
          <w:sz w:val="27"/>
          <w:szCs w:val="27"/>
        </w:rPr>
        <w:t>chính</w:t>
      </w:r>
      <w:proofErr w:type="spellEnd"/>
      <w:r w:rsidR="00AF5534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mua</w:t>
      </w:r>
      <w:proofErr w:type="spellEnd"/>
      <w:r w:rsidR="00CA7BF8">
        <w:rPr>
          <w:sz w:val="27"/>
          <w:szCs w:val="27"/>
        </w:rPr>
        <w:t xml:space="preserve"> </w:t>
      </w:r>
      <w:r w:rsidR="009537F8">
        <w:rPr>
          <w:sz w:val="27"/>
          <w:szCs w:val="27"/>
        </w:rPr>
        <w:t>4</w:t>
      </w:r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t</w:t>
      </w:r>
      <w:r w:rsidR="00873947" w:rsidRPr="00323CAE">
        <w:rPr>
          <w:sz w:val="27"/>
          <w:szCs w:val="27"/>
        </w:rPr>
        <w:t>rường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F75E5D" w:rsidRPr="00323CAE">
        <w:rPr>
          <w:sz w:val="27"/>
          <w:szCs w:val="27"/>
        </w:rPr>
        <w:t>đại</w:t>
      </w:r>
      <w:proofErr w:type="spellEnd"/>
      <w:r w:rsidR="00F75E5D" w:rsidRPr="00323CAE">
        <w:rPr>
          <w:sz w:val="27"/>
          <w:szCs w:val="27"/>
        </w:rPr>
        <w:t xml:space="preserve"> </w:t>
      </w:r>
      <w:proofErr w:type="spellStart"/>
      <w:r w:rsidR="00F75E5D" w:rsidRPr="00323CAE">
        <w:rPr>
          <w:sz w:val="27"/>
          <w:szCs w:val="27"/>
        </w:rPr>
        <w:t>học</w:t>
      </w:r>
      <w:proofErr w:type="spellEnd"/>
      <w:r w:rsidR="00AD0C06" w:rsidRPr="00323CAE">
        <w:rPr>
          <w:sz w:val="27"/>
          <w:szCs w:val="27"/>
        </w:rPr>
        <w:t>:</w:t>
      </w:r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Quốc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tế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Hồng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Bàng</w:t>
      </w:r>
      <w:proofErr w:type="spellEnd"/>
      <w:r w:rsidR="00AD0C06" w:rsidRPr="00323CAE">
        <w:rPr>
          <w:sz w:val="27"/>
          <w:szCs w:val="27"/>
        </w:rPr>
        <w:t>,</w:t>
      </w:r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Bà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Rịa</w:t>
      </w:r>
      <w:proofErr w:type="spellEnd"/>
      <w:r w:rsidR="00873947" w:rsidRPr="00323CAE">
        <w:rPr>
          <w:sz w:val="27"/>
          <w:szCs w:val="27"/>
        </w:rPr>
        <w:t xml:space="preserve"> - </w:t>
      </w:r>
      <w:proofErr w:type="spellStart"/>
      <w:r w:rsidR="00873947" w:rsidRPr="00323CAE">
        <w:rPr>
          <w:sz w:val="27"/>
          <w:szCs w:val="27"/>
        </w:rPr>
        <w:t>Vũng</w:t>
      </w:r>
      <w:proofErr w:type="spellEnd"/>
      <w:r w:rsidR="00873947" w:rsidRPr="00323CAE">
        <w:rPr>
          <w:sz w:val="27"/>
          <w:szCs w:val="27"/>
        </w:rPr>
        <w:t xml:space="preserve"> </w:t>
      </w:r>
      <w:proofErr w:type="spellStart"/>
      <w:r w:rsidR="00873947" w:rsidRPr="00323CAE">
        <w:rPr>
          <w:sz w:val="27"/>
          <w:szCs w:val="27"/>
        </w:rPr>
        <w:t>Tàu</w:t>
      </w:r>
      <w:proofErr w:type="spellEnd"/>
      <w:r w:rsidR="00AD0C06" w:rsidRPr="00323CAE">
        <w:rPr>
          <w:sz w:val="27"/>
          <w:szCs w:val="27"/>
        </w:rPr>
        <w:t xml:space="preserve">, Hoa Sen, Gia </w:t>
      </w:r>
      <w:proofErr w:type="spellStart"/>
      <w:r w:rsidR="00AD0C06" w:rsidRPr="00323CAE">
        <w:rPr>
          <w:sz w:val="27"/>
          <w:szCs w:val="27"/>
        </w:rPr>
        <w:t>Định</w:t>
      </w:r>
      <w:proofErr w:type="spellEnd"/>
      <w:r w:rsidR="00873947" w:rsidRPr="00323CAE">
        <w:rPr>
          <w:sz w:val="27"/>
          <w:szCs w:val="27"/>
        </w:rPr>
        <w:t>.</w:t>
      </w:r>
      <w:r w:rsidR="00F75E5D" w:rsidRPr="00323CAE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Trường</w:t>
      </w:r>
      <w:proofErr w:type="spellEnd"/>
      <w:r w:rsidR="00CA7BF8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đứng</w:t>
      </w:r>
      <w:proofErr w:type="spellEnd"/>
      <w:r w:rsidR="00CA7BF8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sau</w:t>
      </w:r>
      <w:proofErr w:type="spellEnd"/>
      <w:r w:rsidR="00CA7BF8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công</w:t>
      </w:r>
      <w:proofErr w:type="spellEnd"/>
      <w:r w:rsidR="00CA7BF8">
        <w:rPr>
          <w:sz w:val="27"/>
          <w:szCs w:val="27"/>
        </w:rPr>
        <w:t xml:space="preserve"> ty - </w:t>
      </w:r>
      <w:proofErr w:type="spellStart"/>
      <w:r w:rsidR="00AD0C06" w:rsidRPr="00323CAE">
        <w:rPr>
          <w:sz w:val="27"/>
          <w:szCs w:val="27"/>
        </w:rPr>
        <w:t>một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vách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ngăn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tài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chính</w:t>
      </w:r>
      <w:proofErr w:type="spellEnd"/>
      <w:r w:rsidR="00AD0C06" w:rsidRPr="00323CAE">
        <w:rPr>
          <w:sz w:val="27"/>
          <w:szCs w:val="27"/>
        </w:rPr>
        <w:t xml:space="preserve">, </w:t>
      </w:r>
      <w:proofErr w:type="spellStart"/>
      <w:r w:rsidR="009537F8">
        <w:rPr>
          <w:sz w:val="27"/>
          <w:szCs w:val="27"/>
        </w:rPr>
        <w:t>khiến</w:t>
      </w:r>
      <w:proofErr w:type="spellEnd"/>
      <w:r w:rsidR="009537F8">
        <w:rPr>
          <w:sz w:val="27"/>
          <w:szCs w:val="27"/>
        </w:rPr>
        <w:t xml:space="preserve"> </w:t>
      </w:r>
      <w:proofErr w:type="spellStart"/>
      <w:r w:rsidR="009537F8">
        <w:rPr>
          <w:sz w:val="27"/>
          <w:szCs w:val="27"/>
        </w:rPr>
        <w:t>xã</w:t>
      </w:r>
      <w:proofErr w:type="spellEnd"/>
      <w:r w:rsidR="009537F8">
        <w:rPr>
          <w:sz w:val="27"/>
          <w:szCs w:val="27"/>
        </w:rPr>
        <w:t xml:space="preserve"> </w:t>
      </w:r>
      <w:proofErr w:type="spellStart"/>
      <w:r w:rsidR="009537F8">
        <w:rPr>
          <w:sz w:val="27"/>
          <w:szCs w:val="27"/>
        </w:rPr>
        <w:t>hội</w:t>
      </w:r>
      <w:proofErr w:type="spellEnd"/>
      <w:r w:rsidR="009537F8">
        <w:rPr>
          <w:sz w:val="27"/>
          <w:szCs w:val="27"/>
        </w:rPr>
        <w:t xml:space="preserve"> </w:t>
      </w:r>
      <w:proofErr w:type="spellStart"/>
      <w:r w:rsidR="009537F8">
        <w:rPr>
          <w:sz w:val="27"/>
          <w:szCs w:val="27"/>
        </w:rPr>
        <w:t>ít</w:t>
      </w:r>
      <w:proofErr w:type="spellEnd"/>
      <w:r w:rsidR="009537F8">
        <w:rPr>
          <w:sz w:val="27"/>
          <w:szCs w:val="27"/>
        </w:rPr>
        <w:t xml:space="preserve"> </w:t>
      </w:r>
      <w:proofErr w:type="spellStart"/>
      <w:r w:rsidR="009537F8">
        <w:rPr>
          <w:sz w:val="27"/>
          <w:szCs w:val="27"/>
        </w:rPr>
        <w:t>nghe</w:t>
      </w:r>
      <w:proofErr w:type="spellEnd"/>
      <w:r w:rsidR="009537F8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những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ồn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ào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từ</w:t>
      </w:r>
      <w:proofErr w:type="spellEnd"/>
      <w:r w:rsidR="00AD0C06" w:rsidRPr="00323CAE">
        <w:rPr>
          <w:sz w:val="27"/>
          <w:szCs w:val="27"/>
        </w:rPr>
        <w:t xml:space="preserve"> “</w:t>
      </w:r>
      <w:proofErr w:type="spellStart"/>
      <w:r w:rsidR="00AD0C06" w:rsidRPr="00323CAE">
        <w:rPr>
          <w:sz w:val="27"/>
          <w:szCs w:val="27"/>
        </w:rPr>
        <w:t>cổ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đông</w:t>
      </w:r>
      <w:proofErr w:type="spellEnd"/>
      <w:r w:rsidR="00AD0C06" w:rsidRPr="00323CAE">
        <w:rPr>
          <w:sz w:val="27"/>
          <w:szCs w:val="27"/>
        </w:rPr>
        <w:t xml:space="preserve">”. </w:t>
      </w:r>
      <w:proofErr w:type="spellStart"/>
      <w:r w:rsidR="00CA7BF8">
        <w:rPr>
          <w:sz w:val="27"/>
          <w:szCs w:val="27"/>
        </w:rPr>
        <w:t>X</w:t>
      </w:r>
      <w:r w:rsidR="00AD0C06" w:rsidRPr="00323CAE">
        <w:rPr>
          <w:sz w:val="27"/>
          <w:szCs w:val="27"/>
        </w:rPr>
        <w:t>em</w:t>
      </w:r>
      <w:proofErr w:type="spellEnd"/>
      <w:r w:rsidR="00AD0C06" w:rsidRPr="00323CAE">
        <w:rPr>
          <w:sz w:val="27"/>
          <w:szCs w:val="27"/>
        </w:rPr>
        <w:t xml:space="preserve"> ra </w:t>
      </w:r>
      <w:proofErr w:type="spellStart"/>
      <w:r w:rsidR="009537F8">
        <w:rPr>
          <w:sz w:val="27"/>
          <w:szCs w:val="27"/>
        </w:rPr>
        <w:t>đó</w:t>
      </w:r>
      <w:proofErr w:type="spellEnd"/>
      <w:r w:rsidR="009537F8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là</w:t>
      </w:r>
      <w:proofErr w:type="spellEnd"/>
      <w:r w:rsidR="00AD0C06" w:rsidRPr="00323CAE">
        <w:rPr>
          <w:sz w:val="27"/>
          <w:szCs w:val="27"/>
        </w:rPr>
        <w:t xml:space="preserve"> “</w:t>
      </w:r>
      <w:proofErr w:type="spellStart"/>
      <w:r w:rsidR="007B364D">
        <w:rPr>
          <w:sz w:val="27"/>
          <w:szCs w:val="27"/>
        </w:rPr>
        <w:t>ưu</w:t>
      </w:r>
      <w:proofErr w:type="spellEnd"/>
      <w:r w:rsidR="007B364D">
        <w:rPr>
          <w:sz w:val="27"/>
          <w:szCs w:val="27"/>
        </w:rPr>
        <w:t xml:space="preserve"> </w:t>
      </w:r>
      <w:proofErr w:type="spellStart"/>
      <w:r w:rsidR="007B364D">
        <w:rPr>
          <w:sz w:val="27"/>
          <w:szCs w:val="27"/>
        </w:rPr>
        <w:t>tiên</w:t>
      </w:r>
      <w:proofErr w:type="spellEnd"/>
      <w:r w:rsidR="00AD0C06" w:rsidRPr="00323CAE">
        <w:rPr>
          <w:sz w:val="27"/>
          <w:szCs w:val="27"/>
        </w:rPr>
        <w:t xml:space="preserve">” </w:t>
      </w:r>
      <w:proofErr w:type="spellStart"/>
      <w:r w:rsidR="007B364D">
        <w:rPr>
          <w:sz w:val="27"/>
          <w:szCs w:val="27"/>
        </w:rPr>
        <w:t>hiện</w:t>
      </w:r>
      <w:proofErr w:type="spellEnd"/>
      <w:r w:rsidR="007B364D">
        <w:rPr>
          <w:sz w:val="27"/>
          <w:szCs w:val="27"/>
        </w:rPr>
        <w:t xml:space="preserve"> nay </w:t>
      </w:r>
      <w:proofErr w:type="spellStart"/>
      <w:r w:rsidR="00AD0C06" w:rsidRPr="00323CAE">
        <w:rPr>
          <w:sz w:val="27"/>
          <w:szCs w:val="27"/>
        </w:rPr>
        <w:t>của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các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nhà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lập</w:t>
      </w:r>
      <w:proofErr w:type="spellEnd"/>
      <w:r w:rsidR="00AD0C06" w:rsidRPr="00323CAE">
        <w:rPr>
          <w:sz w:val="27"/>
          <w:szCs w:val="27"/>
        </w:rPr>
        <w:t xml:space="preserve"> </w:t>
      </w:r>
      <w:proofErr w:type="spellStart"/>
      <w:r w:rsidR="00AD0C06" w:rsidRPr="00323CAE">
        <w:rPr>
          <w:sz w:val="27"/>
          <w:szCs w:val="27"/>
        </w:rPr>
        <w:t>pháp</w:t>
      </w:r>
      <w:proofErr w:type="spellEnd"/>
      <w:r w:rsidR="00AD0C06" w:rsidRPr="00323CAE">
        <w:rPr>
          <w:sz w:val="27"/>
          <w:szCs w:val="27"/>
        </w:rPr>
        <w:t>.</w:t>
      </w:r>
      <w:r w:rsidR="001A6332" w:rsidRPr="00323CAE">
        <w:rPr>
          <w:sz w:val="27"/>
          <w:szCs w:val="27"/>
        </w:rPr>
        <w:t xml:space="preserve"> </w:t>
      </w:r>
    </w:p>
    <w:p w:rsidR="00E31674" w:rsidRPr="00323CAE" w:rsidRDefault="00C53510" w:rsidP="00C53510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7"/>
          <w:szCs w:val="27"/>
        </w:rPr>
      </w:pPr>
      <w:r w:rsidRPr="00323CAE">
        <w:rPr>
          <w:sz w:val="27"/>
          <w:szCs w:val="27"/>
        </w:rPr>
        <w:t>b)</w:t>
      </w:r>
      <w:r w:rsidRPr="00323CAE">
        <w:rPr>
          <w:i/>
          <w:sz w:val="27"/>
          <w:szCs w:val="27"/>
        </w:rPr>
        <w:t xml:space="preserve">. </w:t>
      </w:r>
      <w:proofErr w:type="spellStart"/>
      <w:r w:rsidR="00E31674" w:rsidRPr="00323CAE">
        <w:rPr>
          <w:i/>
          <w:color w:val="000000"/>
          <w:sz w:val="27"/>
          <w:szCs w:val="27"/>
        </w:rPr>
        <w:t>Những</w:t>
      </w:r>
      <w:proofErr w:type="spellEnd"/>
      <w:r w:rsidR="00E31674" w:rsidRPr="00323CAE">
        <w:rPr>
          <w:i/>
          <w:color w:val="000000"/>
          <w:sz w:val="27"/>
          <w:szCs w:val="27"/>
        </w:rPr>
        <w:t xml:space="preserve"> con </w:t>
      </w:r>
      <w:proofErr w:type="spellStart"/>
      <w:r w:rsidR="00E31674" w:rsidRPr="00323CAE">
        <w:rPr>
          <w:i/>
          <w:color w:val="000000"/>
          <w:sz w:val="27"/>
          <w:szCs w:val="27"/>
        </w:rPr>
        <w:t>số</w:t>
      </w:r>
      <w:proofErr w:type="spellEnd"/>
      <w:r w:rsidR="00E31674" w:rsidRPr="00323CAE">
        <w:rPr>
          <w:i/>
          <w:color w:val="000000"/>
          <w:sz w:val="27"/>
          <w:szCs w:val="27"/>
        </w:rPr>
        <w:t xml:space="preserve"> </w:t>
      </w:r>
      <w:proofErr w:type="spellStart"/>
      <w:r w:rsidR="00E31674" w:rsidRPr="00323CAE">
        <w:rPr>
          <w:i/>
          <w:color w:val="000000"/>
          <w:sz w:val="27"/>
          <w:szCs w:val="27"/>
        </w:rPr>
        <w:t>đáng</w:t>
      </w:r>
      <w:proofErr w:type="spellEnd"/>
      <w:r w:rsidR="00E31674" w:rsidRPr="00323CAE">
        <w:rPr>
          <w:i/>
          <w:color w:val="000000"/>
          <w:sz w:val="27"/>
          <w:szCs w:val="27"/>
        </w:rPr>
        <w:t xml:space="preserve"> </w:t>
      </w:r>
      <w:proofErr w:type="spellStart"/>
      <w:r w:rsidR="00E31674" w:rsidRPr="00323CAE">
        <w:rPr>
          <w:i/>
          <w:color w:val="000000"/>
          <w:sz w:val="27"/>
          <w:szCs w:val="27"/>
        </w:rPr>
        <w:t>chú</w:t>
      </w:r>
      <w:proofErr w:type="spellEnd"/>
      <w:r w:rsidR="00E31674" w:rsidRPr="00323CAE">
        <w:rPr>
          <w:i/>
          <w:color w:val="000000"/>
          <w:sz w:val="27"/>
          <w:szCs w:val="27"/>
        </w:rPr>
        <w:t xml:space="preserve"> ý</w:t>
      </w:r>
    </w:p>
    <w:p w:rsidR="00502222" w:rsidRPr="00323CAE" w:rsidRDefault="00764B55" w:rsidP="00E3167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firstLine="720"/>
        <w:jc w:val="both"/>
        <w:rPr>
          <w:sz w:val="27"/>
          <w:szCs w:val="27"/>
        </w:rPr>
      </w:pPr>
      <w:proofErr w:type="spellStart"/>
      <w:r w:rsidRPr="00323CAE">
        <w:rPr>
          <w:sz w:val="27"/>
          <w:szCs w:val="27"/>
        </w:rPr>
        <w:t>Hiện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Pr="00323CAE">
        <w:rPr>
          <w:sz w:val="27"/>
          <w:szCs w:val="27"/>
        </w:rPr>
        <w:t>c</w:t>
      </w:r>
      <w:r w:rsidR="00781C29" w:rsidRPr="00323CAE">
        <w:rPr>
          <w:sz w:val="27"/>
          <w:szCs w:val="27"/>
        </w:rPr>
        <w:t>ả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nước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có</w:t>
      </w:r>
      <w:proofErr w:type="spellEnd"/>
      <w:r w:rsidR="00781C29" w:rsidRPr="00323CAE">
        <w:rPr>
          <w:sz w:val="27"/>
          <w:szCs w:val="27"/>
        </w:rPr>
        <w:t xml:space="preserve"> </w:t>
      </w:r>
      <w:r w:rsidRPr="00323CAE">
        <w:rPr>
          <w:sz w:val="27"/>
          <w:szCs w:val="27"/>
        </w:rPr>
        <w:t>236</w:t>
      </w:r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trường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DE3B9F" w:rsidRPr="00323CAE">
        <w:rPr>
          <w:sz w:val="27"/>
          <w:szCs w:val="27"/>
        </w:rPr>
        <w:t>đại</w:t>
      </w:r>
      <w:proofErr w:type="spellEnd"/>
      <w:r w:rsidR="00DE3B9F" w:rsidRPr="00323CAE">
        <w:rPr>
          <w:sz w:val="27"/>
          <w:szCs w:val="27"/>
        </w:rPr>
        <w:t xml:space="preserve"> </w:t>
      </w:r>
      <w:proofErr w:type="spellStart"/>
      <w:r w:rsidR="00DE3B9F" w:rsidRPr="00323CAE">
        <w:rPr>
          <w:sz w:val="27"/>
          <w:szCs w:val="27"/>
        </w:rPr>
        <w:t>học</w:t>
      </w:r>
      <w:proofErr w:type="spellEnd"/>
      <w:r w:rsidRPr="00323CAE">
        <w:rPr>
          <w:sz w:val="27"/>
          <w:szCs w:val="27"/>
        </w:rPr>
        <w:t xml:space="preserve">, </w:t>
      </w:r>
      <w:proofErr w:type="spellStart"/>
      <w:r w:rsidRPr="00323CAE">
        <w:rPr>
          <w:sz w:val="27"/>
          <w:szCs w:val="27"/>
        </w:rPr>
        <w:t>trong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Pr="00323CAE">
        <w:rPr>
          <w:sz w:val="27"/>
          <w:szCs w:val="27"/>
        </w:rPr>
        <w:t>đó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có</w:t>
      </w:r>
      <w:proofErr w:type="spellEnd"/>
      <w:r w:rsidR="00CA7BF8">
        <w:rPr>
          <w:sz w:val="27"/>
          <w:szCs w:val="27"/>
        </w:rPr>
        <w:t xml:space="preserve"> 61 </w:t>
      </w:r>
      <w:proofErr w:type="spellStart"/>
      <w:r w:rsidRPr="00323CAE">
        <w:rPr>
          <w:sz w:val="27"/>
          <w:szCs w:val="27"/>
        </w:rPr>
        <w:t>trường</w:t>
      </w:r>
      <w:proofErr w:type="spellEnd"/>
      <w:r w:rsidRPr="00323CAE">
        <w:rPr>
          <w:sz w:val="27"/>
          <w:szCs w:val="27"/>
        </w:rPr>
        <w:t xml:space="preserve"> </w:t>
      </w:r>
      <w:r w:rsidR="00DE3B9F" w:rsidRPr="00323CAE">
        <w:rPr>
          <w:sz w:val="27"/>
          <w:szCs w:val="27"/>
        </w:rPr>
        <w:t>NCL</w:t>
      </w:r>
      <w:r w:rsidR="006A6A10">
        <w:rPr>
          <w:sz w:val="27"/>
          <w:szCs w:val="27"/>
        </w:rPr>
        <w:t>,</w:t>
      </w:r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chiếm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DE3B9F" w:rsidRPr="00323CAE">
        <w:rPr>
          <w:sz w:val="27"/>
          <w:szCs w:val="27"/>
        </w:rPr>
        <w:t>khoảng</w:t>
      </w:r>
      <w:proofErr w:type="spellEnd"/>
      <w:r w:rsidR="00DE3B9F" w:rsidRPr="00323CAE">
        <w:rPr>
          <w:sz w:val="27"/>
          <w:szCs w:val="27"/>
        </w:rPr>
        <w:t xml:space="preserve"> 26</w:t>
      </w:r>
      <w:r w:rsidR="00781C29" w:rsidRPr="00323CAE">
        <w:rPr>
          <w:sz w:val="27"/>
          <w:szCs w:val="27"/>
        </w:rPr>
        <w:t>%</w:t>
      </w:r>
      <w:r w:rsidR="00DE3B9F" w:rsidRPr="00323CAE">
        <w:rPr>
          <w:sz w:val="27"/>
          <w:szCs w:val="27"/>
        </w:rPr>
        <w:t xml:space="preserve">. </w:t>
      </w:r>
      <w:proofErr w:type="spellStart"/>
      <w:r w:rsidR="00DE3B9F" w:rsidRPr="00323CAE">
        <w:rPr>
          <w:sz w:val="27"/>
          <w:szCs w:val="27"/>
        </w:rPr>
        <w:t>Các</w:t>
      </w:r>
      <w:proofErr w:type="spellEnd"/>
      <w:r w:rsidR="00DE3B9F" w:rsidRPr="00323CAE">
        <w:rPr>
          <w:sz w:val="27"/>
          <w:szCs w:val="27"/>
        </w:rPr>
        <w:t xml:space="preserve"> </w:t>
      </w:r>
      <w:proofErr w:type="spellStart"/>
      <w:r w:rsidR="00DE3B9F" w:rsidRPr="00323CAE">
        <w:rPr>
          <w:sz w:val="27"/>
          <w:szCs w:val="27"/>
        </w:rPr>
        <w:t>trường</w:t>
      </w:r>
      <w:proofErr w:type="spellEnd"/>
      <w:r w:rsidR="00DE3B9F" w:rsidRPr="00323CAE">
        <w:rPr>
          <w:sz w:val="27"/>
          <w:szCs w:val="27"/>
        </w:rPr>
        <w:t xml:space="preserve"> </w:t>
      </w:r>
      <w:proofErr w:type="spellStart"/>
      <w:r w:rsidR="00DE3B9F" w:rsidRPr="00323CAE">
        <w:rPr>
          <w:sz w:val="27"/>
          <w:szCs w:val="27"/>
        </w:rPr>
        <w:t>đại</w:t>
      </w:r>
      <w:proofErr w:type="spellEnd"/>
      <w:r w:rsidR="00DE3B9F" w:rsidRPr="00323CAE">
        <w:rPr>
          <w:sz w:val="27"/>
          <w:szCs w:val="27"/>
        </w:rPr>
        <w:t xml:space="preserve"> </w:t>
      </w:r>
      <w:proofErr w:type="spellStart"/>
      <w:r w:rsidR="00DE3B9F" w:rsidRPr="00323CAE">
        <w:rPr>
          <w:sz w:val="27"/>
          <w:szCs w:val="27"/>
        </w:rPr>
        <w:t>học</w:t>
      </w:r>
      <w:proofErr w:type="spellEnd"/>
      <w:r w:rsidR="00DE3B9F" w:rsidRPr="00323CAE">
        <w:rPr>
          <w:sz w:val="27"/>
          <w:szCs w:val="27"/>
        </w:rPr>
        <w:t xml:space="preserve"> NCL </w:t>
      </w:r>
      <w:proofErr w:type="spellStart"/>
      <w:r w:rsidR="00781C29" w:rsidRPr="00323CAE">
        <w:rPr>
          <w:sz w:val="27"/>
          <w:szCs w:val="27"/>
        </w:rPr>
        <w:t>phân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bố</w:t>
      </w:r>
      <w:proofErr w:type="spellEnd"/>
      <w:r w:rsidR="00781C29" w:rsidRPr="00323CAE">
        <w:rPr>
          <w:sz w:val="27"/>
          <w:szCs w:val="27"/>
        </w:rPr>
        <w:t xml:space="preserve"> ở 29/63 </w:t>
      </w:r>
      <w:proofErr w:type="spellStart"/>
      <w:r w:rsidR="00781C29" w:rsidRPr="00323CAE">
        <w:rPr>
          <w:sz w:val="27"/>
          <w:szCs w:val="27"/>
        </w:rPr>
        <w:t>tỉnh</w:t>
      </w:r>
      <w:proofErr w:type="spellEnd"/>
      <w:r w:rsidR="00781C29" w:rsidRPr="00323CAE">
        <w:rPr>
          <w:sz w:val="27"/>
          <w:szCs w:val="27"/>
        </w:rPr>
        <w:t>/</w:t>
      </w:r>
      <w:proofErr w:type="spellStart"/>
      <w:r w:rsidR="00781C29" w:rsidRPr="00323CAE">
        <w:rPr>
          <w:sz w:val="27"/>
          <w:szCs w:val="27"/>
        </w:rPr>
        <w:t>thành</w:t>
      </w:r>
      <w:proofErr w:type="spellEnd"/>
      <w:r w:rsidR="00781C29" w:rsidRPr="00323CAE">
        <w:rPr>
          <w:sz w:val="27"/>
          <w:szCs w:val="27"/>
        </w:rPr>
        <w:t xml:space="preserve">. </w:t>
      </w:r>
      <w:proofErr w:type="spellStart"/>
      <w:r w:rsidR="00781C29" w:rsidRPr="00323CAE">
        <w:rPr>
          <w:sz w:val="27"/>
          <w:szCs w:val="27"/>
        </w:rPr>
        <w:t>Nh</w:t>
      </w:r>
      <w:r w:rsidR="00502222" w:rsidRPr="00323CAE">
        <w:rPr>
          <w:sz w:val="27"/>
          <w:szCs w:val="27"/>
        </w:rPr>
        <w:t>iều</w:t>
      </w:r>
      <w:proofErr w:type="spellEnd"/>
      <w:r w:rsidR="00502222" w:rsidRPr="00323CAE">
        <w:rPr>
          <w:sz w:val="27"/>
          <w:szCs w:val="27"/>
        </w:rPr>
        <w:t xml:space="preserve"> </w:t>
      </w:r>
      <w:proofErr w:type="spellStart"/>
      <w:r w:rsidR="00502222" w:rsidRPr="00323CAE">
        <w:rPr>
          <w:sz w:val="27"/>
          <w:szCs w:val="27"/>
        </w:rPr>
        <w:t>nhất</w:t>
      </w:r>
      <w:proofErr w:type="spellEnd"/>
      <w:r w:rsidR="00502222" w:rsidRPr="00323CAE">
        <w:rPr>
          <w:sz w:val="27"/>
          <w:szCs w:val="27"/>
        </w:rPr>
        <w:t xml:space="preserve"> </w:t>
      </w:r>
      <w:proofErr w:type="spellStart"/>
      <w:r w:rsidR="00502222" w:rsidRPr="00323CAE">
        <w:rPr>
          <w:sz w:val="27"/>
          <w:szCs w:val="27"/>
        </w:rPr>
        <w:t>là</w:t>
      </w:r>
      <w:proofErr w:type="spellEnd"/>
      <w:r w:rsidR="00502222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thành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phố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Hà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Nội</w:t>
      </w:r>
      <w:proofErr w:type="spellEnd"/>
      <w:r w:rsidR="00781C29" w:rsidRPr="00323CAE">
        <w:rPr>
          <w:sz w:val="27"/>
          <w:szCs w:val="27"/>
        </w:rPr>
        <w:t xml:space="preserve"> 1</w:t>
      </w:r>
      <w:r w:rsidR="00DE3B9F" w:rsidRPr="00323CAE">
        <w:rPr>
          <w:sz w:val="27"/>
          <w:szCs w:val="27"/>
        </w:rPr>
        <w:t>4</w:t>
      </w:r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trường</w:t>
      </w:r>
      <w:proofErr w:type="spellEnd"/>
      <w:r w:rsidR="00502222" w:rsidRPr="00323CAE">
        <w:rPr>
          <w:sz w:val="27"/>
          <w:szCs w:val="27"/>
        </w:rPr>
        <w:t xml:space="preserve">, </w:t>
      </w:r>
      <w:proofErr w:type="spellStart"/>
      <w:r w:rsidR="00502222" w:rsidRPr="00323CAE">
        <w:rPr>
          <w:sz w:val="27"/>
          <w:szCs w:val="27"/>
        </w:rPr>
        <w:t>kế</w:t>
      </w:r>
      <w:proofErr w:type="spellEnd"/>
      <w:r w:rsidR="00502222" w:rsidRPr="00323CAE">
        <w:rPr>
          <w:sz w:val="27"/>
          <w:szCs w:val="27"/>
        </w:rPr>
        <w:t xml:space="preserve"> </w:t>
      </w:r>
      <w:proofErr w:type="spellStart"/>
      <w:r w:rsidR="00502222" w:rsidRPr="00323CAE">
        <w:rPr>
          <w:sz w:val="27"/>
          <w:szCs w:val="27"/>
        </w:rPr>
        <w:t>đến</w:t>
      </w:r>
      <w:proofErr w:type="spellEnd"/>
      <w:r w:rsidR="00502222" w:rsidRPr="00323CAE">
        <w:rPr>
          <w:sz w:val="27"/>
          <w:szCs w:val="27"/>
        </w:rPr>
        <w:t xml:space="preserve"> </w:t>
      </w:r>
      <w:proofErr w:type="spellStart"/>
      <w:r w:rsidR="00502222" w:rsidRPr="00323CAE">
        <w:rPr>
          <w:sz w:val="27"/>
          <w:szCs w:val="27"/>
        </w:rPr>
        <w:t>t</w:t>
      </w:r>
      <w:r w:rsidR="00CA7BF8">
        <w:rPr>
          <w:sz w:val="27"/>
          <w:szCs w:val="27"/>
        </w:rPr>
        <w:t>hành</w:t>
      </w:r>
      <w:proofErr w:type="spellEnd"/>
      <w:r w:rsidR="00CA7BF8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phố</w:t>
      </w:r>
      <w:proofErr w:type="spellEnd"/>
      <w:r w:rsidR="00CA7BF8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Hồ</w:t>
      </w:r>
      <w:proofErr w:type="spellEnd"/>
      <w:r w:rsidR="00CA7BF8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Chí</w:t>
      </w:r>
      <w:proofErr w:type="spellEnd"/>
      <w:r w:rsidR="00CA7BF8">
        <w:rPr>
          <w:sz w:val="27"/>
          <w:szCs w:val="27"/>
        </w:rPr>
        <w:t xml:space="preserve"> Minh 12</w:t>
      </w:r>
      <w:r w:rsidR="00502222" w:rsidRPr="00323CAE">
        <w:rPr>
          <w:sz w:val="27"/>
          <w:szCs w:val="27"/>
        </w:rPr>
        <w:t xml:space="preserve">, </w:t>
      </w:r>
      <w:proofErr w:type="spellStart"/>
      <w:r w:rsidR="00502222" w:rsidRPr="00323CAE">
        <w:rPr>
          <w:sz w:val="27"/>
          <w:szCs w:val="27"/>
        </w:rPr>
        <w:t>thành</w:t>
      </w:r>
      <w:proofErr w:type="spellEnd"/>
      <w:r w:rsidR="00502222" w:rsidRPr="00323CAE">
        <w:rPr>
          <w:sz w:val="27"/>
          <w:szCs w:val="27"/>
        </w:rPr>
        <w:t xml:space="preserve"> </w:t>
      </w:r>
      <w:proofErr w:type="spellStart"/>
      <w:r w:rsidR="00502222" w:rsidRPr="00323CAE">
        <w:rPr>
          <w:sz w:val="27"/>
          <w:szCs w:val="27"/>
        </w:rPr>
        <w:t>phố</w:t>
      </w:r>
      <w:proofErr w:type="spellEnd"/>
      <w:r w:rsidR="00502222" w:rsidRPr="00323CAE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Đà</w:t>
      </w:r>
      <w:proofErr w:type="spellEnd"/>
      <w:r w:rsidR="00CA7BF8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Nẵng</w:t>
      </w:r>
      <w:proofErr w:type="spellEnd"/>
      <w:r w:rsidR="00CA7BF8">
        <w:rPr>
          <w:sz w:val="27"/>
          <w:szCs w:val="27"/>
        </w:rPr>
        <w:t xml:space="preserve"> 4</w:t>
      </w:r>
      <w:r w:rsidR="00781C29" w:rsidRPr="00323CAE">
        <w:rPr>
          <w:sz w:val="27"/>
          <w:szCs w:val="27"/>
        </w:rPr>
        <w:t>,</w:t>
      </w:r>
      <w:r w:rsidR="00CA7BF8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các</w:t>
      </w:r>
      <w:proofErr w:type="spellEnd"/>
      <w:r w:rsidR="00CA7BF8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tỉnh</w:t>
      </w:r>
      <w:proofErr w:type="spellEnd"/>
      <w:r w:rsidR="00CA7BF8">
        <w:rPr>
          <w:sz w:val="27"/>
          <w:szCs w:val="27"/>
        </w:rPr>
        <w:t>:</w:t>
      </w:r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Đồng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Nai</w:t>
      </w:r>
      <w:proofErr w:type="spellEnd"/>
      <w:r w:rsidR="00CA7BF8">
        <w:rPr>
          <w:sz w:val="27"/>
          <w:szCs w:val="27"/>
        </w:rPr>
        <w:t xml:space="preserve">, </w:t>
      </w:r>
      <w:proofErr w:type="spellStart"/>
      <w:r w:rsidR="00CA7BF8">
        <w:rPr>
          <w:sz w:val="27"/>
          <w:szCs w:val="27"/>
        </w:rPr>
        <w:t>Bình</w:t>
      </w:r>
      <w:proofErr w:type="spellEnd"/>
      <w:r w:rsidR="00CA7BF8">
        <w:rPr>
          <w:sz w:val="27"/>
          <w:szCs w:val="27"/>
        </w:rPr>
        <w:t xml:space="preserve"> </w:t>
      </w:r>
      <w:proofErr w:type="spellStart"/>
      <w:r w:rsidR="00CA7BF8">
        <w:rPr>
          <w:sz w:val="27"/>
          <w:szCs w:val="27"/>
        </w:rPr>
        <w:t>Dương</w:t>
      </w:r>
      <w:proofErr w:type="spellEnd"/>
      <w:r w:rsidR="00781C29" w:rsidRPr="00323CAE">
        <w:rPr>
          <w:sz w:val="27"/>
          <w:szCs w:val="27"/>
        </w:rPr>
        <w:t xml:space="preserve">, </w:t>
      </w:r>
      <w:proofErr w:type="spellStart"/>
      <w:r w:rsidR="006A6A10">
        <w:rPr>
          <w:sz w:val="27"/>
          <w:szCs w:val="27"/>
        </w:rPr>
        <w:t>Cần</w:t>
      </w:r>
      <w:proofErr w:type="spellEnd"/>
      <w:r w:rsidR="006A6A10">
        <w:rPr>
          <w:sz w:val="27"/>
          <w:szCs w:val="27"/>
        </w:rPr>
        <w:t xml:space="preserve"> </w:t>
      </w:r>
      <w:proofErr w:type="spellStart"/>
      <w:r w:rsidR="006A6A10">
        <w:rPr>
          <w:sz w:val="27"/>
          <w:szCs w:val="27"/>
        </w:rPr>
        <w:t>Thơ</w:t>
      </w:r>
      <w:proofErr w:type="spellEnd"/>
      <w:r w:rsidR="006A6A10">
        <w:rPr>
          <w:sz w:val="27"/>
          <w:szCs w:val="27"/>
        </w:rPr>
        <w:t xml:space="preserve">, </w:t>
      </w:r>
      <w:proofErr w:type="spellStart"/>
      <w:r w:rsidR="00781C29" w:rsidRPr="00323CAE">
        <w:rPr>
          <w:sz w:val="27"/>
          <w:szCs w:val="27"/>
        </w:rPr>
        <w:t>Bắc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781C29" w:rsidRPr="00323CAE">
        <w:rPr>
          <w:sz w:val="27"/>
          <w:szCs w:val="27"/>
        </w:rPr>
        <w:t>Ninh</w:t>
      </w:r>
      <w:proofErr w:type="spellEnd"/>
      <w:r w:rsidR="00781C29" w:rsidRPr="00323CAE">
        <w:rPr>
          <w:sz w:val="27"/>
          <w:szCs w:val="27"/>
        </w:rPr>
        <w:t xml:space="preserve"> </w:t>
      </w:r>
      <w:proofErr w:type="spellStart"/>
      <w:r w:rsidR="00F74887">
        <w:rPr>
          <w:sz w:val="27"/>
          <w:szCs w:val="27"/>
        </w:rPr>
        <w:t>mỗi</w:t>
      </w:r>
      <w:proofErr w:type="spellEnd"/>
      <w:r w:rsidR="00F74887">
        <w:rPr>
          <w:sz w:val="27"/>
          <w:szCs w:val="27"/>
        </w:rPr>
        <w:t xml:space="preserve"> </w:t>
      </w:r>
      <w:proofErr w:type="spellStart"/>
      <w:r w:rsidR="00F74887">
        <w:rPr>
          <w:sz w:val="27"/>
          <w:szCs w:val="27"/>
        </w:rPr>
        <w:t>tỉnh</w:t>
      </w:r>
      <w:proofErr w:type="spellEnd"/>
      <w:r w:rsidR="00F74887">
        <w:rPr>
          <w:sz w:val="27"/>
          <w:szCs w:val="27"/>
        </w:rPr>
        <w:t xml:space="preserve"> 3 </w:t>
      </w:r>
      <w:proofErr w:type="spellStart"/>
      <w:r w:rsidR="00F74887">
        <w:rPr>
          <w:sz w:val="27"/>
          <w:szCs w:val="27"/>
        </w:rPr>
        <w:t>trường</w:t>
      </w:r>
      <w:proofErr w:type="spellEnd"/>
      <w:r w:rsidR="00F74887">
        <w:rPr>
          <w:sz w:val="27"/>
          <w:szCs w:val="27"/>
        </w:rPr>
        <w:t>.</w:t>
      </w:r>
    </w:p>
    <w:p w:rsidR="004E48B8" w:rsidRPr="00323CAE" w:rsidRDefault="00781C29" w:rsidP="00781C29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7"/>
          <w:szCs w:val="27"/>
        </w:rPr>
      </w:pPr>
      <w:proofErr w:type="spellStart"/>
      <w:r w:rsidRPr="00323CAE">
        <w:rPr>
          <w:sz w:val="27"/>
          <w:szCs w:val="27"/>
        </w:rPr>
        <w:t>Quy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Pr="00323CAE">
        <w:rPr>
          <w:sz w:val="27"/>
          <w:szCs w:val="27"/>
        </w:rPr>
        <w:t>mô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="00DE3B9F" w:rsidRPr="00323CAE">
        <w:rPr>
          <w:sz w:val="27"/>
          <w:szCs w:val="27"/>
        </w:rPr>
        <w:t>sinh</w:t>
      </w:r>
      <w:proofErr w:type="spellEnd"/>
      <w:r w:rsidR="00DE3B9F" w:rsidRPr="00323CAE">
        <w:rPr>
          <w:sz w:val="27"/>
          <w:szCs w:val="27"/>
        </w:rPr>
        <w:t xml:space="preserve"> </w:t>
      </w:r>
      <w:proofErr w:type="spellStart"/>
      <w:r w:rsidR="00DE3B9F" w:rsidRPr="00323CAE">
        <w:rPr>
          <w:sz w:val="27"/>
          <w:szCs w:val="27"/>
        </w:rPr>
        <w:t>viên</w:t>
      </w:r>
      <w:proofErr w:type="spellEnd"/>
      <w:r w:rsidR="00DE3B9F" w:rsidRPr="00323CAE">
        <w:rPr>
          <w:sz w:val="27"/>
          <w:szCs w:val="27"/>
        </w:rPr>
        <w:t xml:space="preserve"> </w:t>
      </w:r>
      <w:proofErr w:type="spellStart"/>
      <w:r w:rsidRPr="00323CAE">
        <w:rPr>
          <w:sz w:val="27"/>
          <w:szCs w:val="27"/>
        </w:rPr>
        <w:t>của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Pr="00323CAE">
        <w:rPr>
          <w:sz w:val="27"/>
          <w:szCs w:val="27"/>
        </w:rPr>
        <w:t>các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="006A6A10">
        <w:rPr>
          <w:sz w:val="27"/>
          <w:szCs w:val="27"/>
        </w:rPr>
        <w:t>cơ</w:t>
      </w:r>
      <w:proofErr w:type="spellEnd"/>
      <w:r w:rsidR="006A6A10">
        <w:rPr>
          <w:sz w:val="27"/>
          <w:szCs w:val="27"/>
        </w:rPr>
        <w:t xml:space="preserve"> </w:t>
      </w:r>
      <w:proofErr w:type="spellStart"/>
      <w:r w:rsidR="006A6A10">
        <w:rPr>
          <w:sz w:val="27"/>
          <w:szCs w:val="27"/>
        </w:rPr>
        <w:t>sở</w:t>
      </w:r>
      <w:proofErr w:type="spellEnd"/>
      <w:r w:rsidR="006A6A10">
        <w:rPr>
          <w:sz w:val="27"/>
          <w:szCs w:val="27"/>
        </w:rPr>
        <w:t xml:space="preserve"> </w:t>
      </w:r>
      <w:proofErr w:type="spellStart"/>
      <w:r w:rsidRPr="00323CAE">
        <w:rPr>
          <w:sz w:val="27"/>
          <w:szCs w:val="27"/>
        </w:rPr>
        <w:t>đại</w:t>
      </w:r>
      <w:proofErr w:type="spellEnd"/>
      <w:r w:rsidRPr="00323CAE">
        <w:rPr>
          <w:sz w:val="27"/>
          <w:szCs w:val="27"/>
        </w:rPr>
        <w:t xml:space="preserve"> </w:t>
      </w:r>
      <w:proofErr w:type="spellStart"/>
      <w:r w:rsidRPr="00323CAE">
        <w:rPr>
          <w:sz w:val="27"/>
          <w:szCs w:val="27"/>
        </w:rPr>
        <w:t>học</w:t>
      </w:r>
      <w:proofErr w:type="spellEnd"/>
      <w:r w:rsidRPr="00323CAE">
        <w:rPr>
          <w:sz w:val="27"/>
          <w:szCs w:val="27"/>
        </w:rPr>
        <w:t xml:space="preserve"> NCL </w:t>
      </w:r>
      <w:proofErr w:type="spellStart"/>
      <w:r w:rsidR="00502222" w:rsidRPr="00323CAE">
        <w:rPr>
          <w:sz w:val="27"/>
          <w:szCs w:val="27"/>
        </w:rPr>
        <w:t>năm</w:t>
      </w:r>
      <w:proofErr w:type="spellEnd"/>
      <w:r w:rsidR="00502222" w:rsidRPr="00323CAE">
        <w:rPr>
          <w:sz w:val="27"/>
          <w:szCs w:val="27"/>
        </w:rPr>
        <w:t xml:space="preserve"> </w:t>
      </w:r>
      <w:proofErr w:type="spellStart"/>
      <w:r w:rsidR="00DA5BC1" w:rsidRPr="00323CAE">
        <w:rPr>
          <w:sz w:val="27"/>
          <w:szCs w:val="27"/>
        </w:rPr>
        <w:t>học</w:t>
      </w:r>
      <w:proofErr w:type="spellEnd"/>
      <w:r w:rsidR="00DA5BC1" w:rsidRPr="00323CAE">
        <w:rPr>
          <w:sz w:val="27"/>
          <w:szCs w:val="27"/>
        </w:rPr>
        <w:t xml:space="preserve"> 2017-</w:t>
      </w:r>
      <w:r w:rsidR="00502222" w:rsidRPr="00323CAE">
        <w:rPr>
          <w:sz w:val="27"/>
          <w:szCs w:val="27"/>
        </w:rPr>
        <w:t xml:space="preserve">2018 </w:t>
      </w:r>
      <w:proofErr w:type="spellStart"/>
      <w:r w:rsidR="00502222" w:rsidRPr="00323CAE">
        <w:rPr>
          <w:sz w:val="27"/>
          <w:szCs w:val="27"/>
        </w:rPr>
        <w:t>là</w:t>
      </w:r>
      <w:proofErr w:type="spellEnd"/>
      <w:r w:rsidR="00502222" w:rsidRPr="00323CAE">
        <w:rPr>
          <w:sz w:val="27"/>
          <w:szCs w:val="27"/>
        </w:rPr>
        <w:t xml:space="preserve"> 265</w:t>
      </w:r>
      <w:r w:rsidR="000B0BBB">
        <w:rPr>
          <w:sz w:val="27"/>
          <w:szCs w:val="27"/>
        </w:rPr>
        <w:t>.</w:t>
      </w:r>
      <w:r w:rsidR="00502222" w:rsidRPr="00323CAE">
        <w:rPr>
          <w:sz w:val="27"/>
          <w:szCs w:val="27"/>
        </w:rPr>
        <w:t>530</w:t>
      </w:r>
      <w:r w:rsidR="000B0BBB">
        <w:rPr>
          <w:sz w:val="27"/>
          <w:szCs w:val="27"/>
        </w:rPr>
        <w:t xml:space="preserve"> </w:t>
      </w:r>
      <w:proofErr w:type="spellStart"/>
      <w:r w:rsidR="000B0BBB">
        <w:rPr>
          <w:sz w:val="27"/>
          <w:szCs w:val="27"/>
        </w:rPr>
        <w:t>sinh</w:t>
      </w:r>
      <w:proofErr w:type="spellEnd"/>
      <w:r w:rsidR="000B0BBB">
        <w:rPr>
          <w:sz w:val="27"/>
          <w:szCs w:val="27"/>
        </w:rPr>
        <w:t xml:space="preserve"> </w:t>
      </w:r>
      <w:proofErr w:type="spellStart"/>
      <w:r w:rsidR="000B0BBB">
        <w:rPr>
          <w:sz w:val="27"/>
          <w:szCs w:val="27"/>
        </w:rPr>
        <w:t>viên</w:t>
      </w:r>
      <w:proofErr w:type="spellEnd"/>
      <w:r w:rsidR="006A6A10">
        <w:rPr>
          <w:sz w:val="27"/>
          <w:szCs w:val="27"/>
        </w:rPr>
        <w:t>.</w:t>
      </w:r>
      <w:r w:rsidR="00DA5BC1" w:rsidRPr="00323CAE">
        <w:rPr>
          <w:sz w:val="27"/>
          <w:szCs w:val="27"/>
        </w:rPr>
        <w:t xml:space="preserve"> </w:t>
      </w:r>
      <w:r w:rsidR="006A6A10">
        <w:rPr>
          <w:sz w:val="27"/>
          <w:szCs w:val="27"/>
        </w:rPr>
        <w:t>C</w:t>
      </w:r>
      <w:r w:rsidR="00DA5BC1" w:rsidRPr="00323CAE">
        <w:rPr>
          <w:sz w:val="27"/>
          <w:szCs w:val="27"/>
        </w:rPr>
        <w:t xml:space="preserve">on </w:t>
      </w:r>
      <w:proofErr w:type="spellStart"/>
      <w:r w:rsidR="00DA5BC1" w:rsidRPr="00323CAE">
        <w:rPr>
          <w:sz w:val="27"/>
          <w:szCs w:val="27"/>
        </w:rPr>
        <w:t>số</w:t>
      </w:r>
      <w:proofErr w:type="spellEnd"/>
      <w:r w:rsidR="00DA5BC1" w:rsidRPr="00323CAE">
        <w:rPr>
          <w:sz w:val="27"/>
          <w:szCs w:val="27"/>
        </w:rPr>
        <w:t xml:space="preserve"> </w:t>
      </w:r>
      <w:proofErr w:type="spellStart"/>
      <w:r w:rsidR="00DA5BC1" w:rsidRPr="00323CAE">
        <w:rPr>
          <w:sz w:val="27"/>
          <w:szCs w:val="27"/>
        </w:rPr>
        <w:t>này</w:t>
      </w:r>
      <w:proofErr w:type="spellEnd"/>
      <w:r w:rsidR="00DA5BC1" w:rsidRPr="00323CAE">
        <w:rPr>
          <w:sz w:val="27"/>
          <w:szCs w:val="27"/>
        </w:rPr>
        <w:t xml:space="preserve"> </w:t>
      </w:r>
      <w:proofErr w:type="spellStart"/>
      <w:r w:rsidR="005B540F">
        <w:rPr>
          <w:sz w:val="27"/>
          <w:szCs w:val="27"/>
        </w:rPr>
        <w:t>gấp</w:t>
      </w:r>
      <w:proofErr w:type="spellEnd"/>
      <w:r w:rsidR="005B540F">
        <w:rPr>
          <w:sz w:val="27"/>
          <w:szCs w:val="27"/>
        </w:rPr>
        <w:t xml:space="preserve"> </w:t>
      </w:r>
      <w:proofErr w:type="spellStart"/>
      <w:r w:rsidR="005B540F">
        <w:rPr>
          <w:sz w:val="27"/>
          <w:szCs w:val="27"/>
        </w:rPr>
        <w:t>hơn</w:t>
      </w:r>
      <w:proofErr w:type="spellEnd"/>
      <w:r w:rsidR="005B540F">
        <w:rPr>
          <w:sz w:val="27"/>
          <w:szCs w:val="27"/>
        </w:rPr>
        <w:t xml:space="preserve"> 2,1 </w:t>
      </w:r>
      <w:proofErr w:type="spellStart"/>
      <w:r w:rsidR="005B540F">
        <w:rPr>
          <w:sz w:val="27"/>
          <w:szCs w:val="27"/>
        </w:rPr>
        <w:t>lần</w:t>
      </w:r>
      <w:proofErr w:type="spellEnd"/>
      <w:r w:rsidR="005B540F">
        <w:rPr>
          <w:sz w:val="27"/>
          <w:szCs w:val="27"/>
        </w:rPr>
        <w:t xml:space="preserve"> </w:t>
      </w:r>
      <w:proofErr w:type="spellStart"/>
      <w:r w:rsidR="00DA5BC1" w:rsidRPr="00323CAE">
        <w:rPr>
          <w:sz w:val="27"/>
          <w:szCs w:val="27"/>
        </w:rPr>
        <w:t>năm</w:t>
      </w:r>
      <w:proofErr w:type="spellEnd"/>
      <w:r w:rsidR="00DA5BC1" w:rsidRPr="00323CAE">
        <w:rPr>
          <w:sz w:val="27"/>
          <w:szCs w:val="27"/>
        </w:rPr>
        <w:t xml:space="preserve"> </w:t>
      </w:r>
      <w:proofErr w:type="spellStart"/>
      <w:r w:rsidR="00DA5BC1" w:rsidRPr="00323CAE">
        <w:rPr>
          <w:sz w:val="27"/>
          <w:szCs w:val="27"/>
        </w:rPr>
        <w:t>học</w:t>
      </w:r>
      <w:proofErr w:type="spellEnd"/>
      <w:r w:rsidR="00DA5BC1" w:rsidRPr="00323CAE">
        <w:rPr>
          <w:sz w:val="27"/>
          <w:szCs w:val="27"/>
        </w:rPr>
        <w:t xml:space="preserve"> 1985-1986 (126.195</w:t>
      </w:r>
      <w:r w:rsidR="005B540F">
        <w:rPr>
          <w:sz w:val="27"/>
          <w:szCs w:val="27"/>
        </w:rPr>
        <w:t>)</w:t>
      </w:r>
      <w:r w:rsidR="00640A70" w:rsidRPr="00323CAE">
        <w:rPr>
          <w:sz w:val="27"/>
          <w:szCs w:val="27"/>
        </w:rPr>
        <w:t xml:space="preserve">. </w:t>
      </w:r>
      <w:proofErr w:type="spellStart"/>
      <w:r w:rsidR="005B540F">
        <w:rPr>
          <w:sz w:val="27"/>
          <w:szCs w:val="27"/>
        </w:rPr>
        <w:t>Đáng</w:t>
      </w:r>
      <w:proofErr w:type="spellEnd"/>
      <w:r w:rsidR="005B540F">
        <w:rPr>
          <w:sz w:val="27"/>
          <w:szCs w:val="27"/>
        </w:rPr>
        <w:t xml:space="preserve"> </w:t>
      </w:r>
      <w:proofErr w:type="spellStart"/>
      <w:r w:rsidR="005B540F">
        <w:rPr>
          <w:sz w:val="27"/>
          <w:szCs w:val="27"/>
        </w:rPr>
        <w:t>chú</w:t>
      </w:r>
      <w:proofErr w:type="spellEnd"/>
      <w:r w:rsidR="005B540F">
        <w:rPr>
          <w:sz w:val="27"/>
          <w:szCs w:val="27"/>
        </w:rPr>
        <w:t xml:space="preserve"> ý </w:t>
      </w:r>
      <w:proofErr w:type="spellStart"/>
      <w:r w:rsidR="005B540F">
        <w:rPr>
          <w:sz w:val="27"/>
          <w:szCs w:val="27"/>
        </w:rPr>
        <w:t>nữa</w:t>
      </w:r>
      <w:proofErr w:type="spellEnd"/>
      <w:r w:rsidR="005B540F">
        <w:rPr>
          <w:sz w:val="27"/>
          <w:szCs w:val="27"/>
        </w:rPr>
        <w:t xml:space="preserve"> </w:t>
      </w:r>
      <w:proofErr w:type="spellStart"/>
      <w:r w:rsidR="005B540F">
        <w:rPr>
          <w:sz w:val="27"/>
          <w:szCs w:val="27"/>
        </w:rPr>
        <w:t>là</w:t>
      </w:r>
      <w:proofErr w:type="spellEnd"/>
      <w:r w:rsidR="005B540F">
        <w:rPr>
          <w:sz w:val="27"/>
          <w:szCs w:val="27"/>
        </w:rPr>
        <w:t xml:space="preserve"> </w:t>
      </w:r>
      <w:proofErr w:type="spellStart"/>
      <w:r w:rsidR="005B540F">
        <w:rPr>
          <w:sz w:val="27"/>
          <w:szCs w:val="27"/>
        </w:rPr>
        <w:t>năm</w:t>
      </w:r>
      <w:proofErr w:type="spellEnd"/>
      <w:r w:rsidR="005B540F">
        <w:rPr>
          <w:sz w:val="27"/>
          <w:szCs w:val="27"/>
        </w:rPr>
        <w:t xml:space="preserve"> 2016, </w:t>
      </w:r>
      <w:proofErr w:type="spellStart"/>
      <w:r w:rsidR="005B540F">
        <w:rPr>
          <w:sz w:val="27"/>
          <w:szCs w:val="27"/>
        </w:rPr>
        <w:t>t</w:t>
      </w:r>
      <w:r w:rsidR="00640A70" w:rsidRPr="00323CAE">
        <w:rPr>
          <w:sz w:val="27"/>
          <w:szCs w:val="27"/>
        </w:rPr>
        <w:t>rong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khi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các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trường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đại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học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công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lập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vẫn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được</w:t>
      </w:r>
      <w:proofErr w:type="spellEnd"/>
      <w:r w:rsidR="00640A70" w:rsidRPr="00323CAE">
        <w:rPr>
          <w:sz w:val="27"/>
          <w:szCs w:val="27"/>
        </w:rPr>
        <w:t xml:space="preserve"> bao </w:t>
      </w:r>
      <w:proofErr w:type="spellStart"/>
      <w:r w:rsidR="005B540F">
        <w:rPr>
          <w:sz w:val="27"/>
          <w:szCs w:val="27"/>
        </w:rPr>
        <w:t>c</w:t>
      </w:r>
      <w:r w:rsidR="00640A70" w:rsidRPr="00323CAE">
        <w:rPr>
          <w:sz w:val="27"/>
          <w:szCs w:val="27"/>
        </w:rPr>
        <w:t>ấp</w:t>
      </w:r>
      <w:proofErr w:type="spellEnd"/>
      <w:r w:rsidR="00640A70" w:rsidRPr="00323CAE">
        <w:rPr>
          <w:sz w:val="27"/>
          <w:szCs w:val="27"/>
        </w:rPr>
        <w:t xml:space="preserve"> NSNN </w:t>
      </w:r>
      <w:proofErr w:type="spellStart"/>
      <w:r w:rsidR="00640A70" w:rsidRPr="00323CAE">
        <w:rPr>
          <w:sz w:val="27"/>
          <w:szCs w:val="27"/>
        </w:rPr>
        <w:t>thì</w:t>
      </w:r>
      <w:proofErr w:type="spellEnd"/>
      <w:r w:rsidR="00640A70" w:rsidRPr="00323CAE">
        <w:rPr>
          <w:sz w:val="27"/>
          <w:szCs w:val="27"/>
        </w:rPr>
        <w:t xml:space="preserve"> 43 </w:t>
      </w:r>
      <w:proofErr w:type="spellStart"/>
      <w:r w:rsidR="00640A70" w:rsidRPr="00323CAE">
        <w:rPr>
          <w:sz w:val="27"/>
          <w:szCs w:val="27"/>
        </w:rPr>
        <w:t>trường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đại</w:t>
      </w:r>
      <w:proofErr w:type="spellEnd"/>
      <w:r w:rsidR="00640A70" w:rsidRPr="00323CAE">
        <w:rPr>
          <w:sz w:val="27"/>
          <w:szCs w:val="27"/>
        </w:rPr>
        <w:t xml:space="preserve"> </w:t>
      </w:r>
      <w:proofErr w:type="spellStart"/>
      <w:r w:rsidR="00640A70" w:rsidRPr="00323CAE">
        <w:rPr>
          <w:sz w:val="27"/>
          <w:szCs w:val="27"/>
        </w:rPr>
        <w:t>học</w:t>
      </w:r>
      <w:proofErr w:type="spellEnd"/>
      <w:r w:rsidR="00640A70" w:rsidRPr="00323CAE">
        <w:rPr>
          <w:sz w:val="27"/>
          <w:szCs w:val="27"/>
        </w:rPr>
        <w:t xml:space="preserve"> NCL “</w:t>
      </w:r>
      <w:proofErr w:type="spellStart"/>
      <w:r w:rsidR="00E31674" w:rsidRPr="00323CAE">
        <w:rPr>
          <w:sz w:val="27"/>
          <w:szCs w:val="27"/>
        </w:rPr>
        <w:t>nộp</w:t>
      </w:r>
      <w:proofErr w:type="spellEnd"/>
      <w:r w:rsidR="00E31674" w:rsidRPr="00323CAE">
        <w:rPr>
          <w:sz w:val="27"/>
          <w:szCs w:val="27"/>
        </w:rPr>
        <w:t xml:space="preserve"> NSNN </w:t>
      </w:r>
      <w:proofErr w:type="spellStart"/>
      <w:r w:rsidR="00E31674" w:rsidRPr="00323CAE">
        <w:rPr>
          <w:sz w:val="27"/>
          <w:szCs w:val="27"/>
        </w:rPr>
        <w:t>đạt</w:t>
      </w:r>
      <w:proofErr w:type="spellEnd"/>
      <w:r w:rsidR="00E31674" w:rsidRPr="00323CAE">
        <w:rPr>
          <w:sz w:val="27"/>
          <w:szCs w:val="27"/>
        </w:rPr>
        <w:t xml:space="preserve"> 111 </w:t>
      </w:r>
      <w:proofErr w:type="spellStart"/>
      <w:r w:rsidR="00E31674" w:rsidRPr="00323CAE">
        <w:rPr>
          <w:sz w:val="27"/>
          <w:szCs w:val="27"/>
        </w:rPr>
        <w:t>tỷ</w:t>
      </w:r>
      <w:proofErr w:type="spellEnd"/>
      <w:r w:rsidR="00E31674" w:rsidRPr="00323CAE">
        <w:rPr>
          <w:sz w:val="27"/>
          <w:szCs w:val="27"/>
        </w:rPr>
        <w:t xml:space="preserve"> </w:t>
      </w:r>
      <w:proofErr w:type="spellStart"/>
      <w:r w:rsidR="00E31674" w:rsidRPr="00323CAE">
        <w:rPr>
          <w:sz w:val="27"/>
          <w:szCs w:val="27"/>
        </w:rPr>
        <w:t>đồng</w:t>
      </w:r>
      <w:proofErr w:type="spellEnd"/>
      <w:r w:rsidR="00640A70" w:rsidRPr="00323CAE">
        <w:rPr>
          <w:sz w:val="27"/>
          <w:szCs w:val="27"/>
        </w:rPr>
        <w:t>”</w:t>
      </w:r>
      <w:r w:rsidR="005B540F">
        <w:rPr>
          <w:sz w:val="27"/>
          <w:szCs w:val="27"/>
        </w:rPr>
        <w:t xml:space="preserve"> [</w:t>
      </w:r>
      <w:r w:rsidR="00FC16CF">
        <w:rPr>
          <w:sz w:val="27"/>
          <w:szCs w:val="27"/>
        </w:rPr>
        <w:t>2</w:t>
      </w:r>
      <w:r w:rsidR="005B540F">
        <w:rPr>
          <w:sz w:val="27"/>
          <w:szCs w:val="27"/>
        </w:rPr>
        <w:t>]</w:t>
      </w:r>
      <w:r w:rsidR="00E31674" w:rsidRPr="00323CAE">
        <w:rPr>
          <w:sz w:val="27"/>
          <w:szCs w:val="27"/>
        </w:rPr>
        <w:t>.</w:t>
      </w:r>
      <w:r w:rsidR="004E48B8" w:rsidRPr="00323CAE">
        <w:rPr>
          <w:sz w:val="27"/>
          <w:szCs w:val="27"/>
        </w:rPr>
        <w:t xml:space="preserve"> </w:t>
      </w:r>
    </w:p>
    <w:p w:rsidR="00970FC1" w:rsidRPr="00323CAE" w:rsidRDefault="00A7765E" w:rsidP="00A7765E">
      <w:pPr>
        <w:pStyle w:val="Normal1"/>
        <w:spacing w:before="240" w:after="240" w:line="240" w:lineRule="auto"/>
        <w:ind w:firstLine="720"/>
        <w:jc w:val="both"/>
        <w:rPr>
          <w:b/>
          <w:color w:val="000000"/>
          <w:sz w:val="27"/>
          <w:szCs w:val="27"/>
        </w:rPr>
      </w:pPr>
      <w:r w:rsidRPr="00323CAE">
        <w:rPr>
          <w:b/>
          <w:color w:val="000000"/>
          <w:sz w:val="27"/>
          <w:szCs w:val="27"/>
        </w:rPr>
        <w:t>2.</w:t>
      </w:r>
      <w:r w:rsidR="00640A70"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="00640A70" w:rsidRPr="00323CAE">
        <w:rPr>
          <w:b/>
          <w:color w:val="000000"/>
          <w:sz w:val="27"/>
          <w:szCs w:val="27"/>
        </w:rPr>
        <w:t>Chính</w:t>
      </w:r>
      <w:proofErr w:type="spellEnd"/>
      <w:r w:rsidR="00640A70"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="00640A70" w:rsidRPr="00323CAE">
        <w:rPr>
          <w:b/>
          <w:color w:val="000000"/>
          <w:sz w:val="27"/>
          <w:szCs w:val="27"/>
        </w:rPr>
        <w:t>sách</w:t>
      </w:r>
      <w:proofErr w:type="spellEnd"/>
      <w:r w:rsidR="00640A70"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="00640A70" w:rsidRPr="00323CAE">
        <w:rPr>
          <w:b/>
          <w:color w:val="000000"/>
          <w:sz w:val="27"/>
          <w:szCs w:val="27"/>
        </w:rPr>
        <w:t>phát</w:t>
      </w:r>
      <w:proofErr w:type="spellEnd"/>
      <w:r w:rsidR="00640A70"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="00640A70" w:rsidRPr="00323CAE">
        <w:rPr>
          <w:b/>
          <w:color w:val="000000"/>
          <w:sz w:val="27"/>
          <w:szCs w:val="27"/>
        </w:rPr>
        <w:t>triển</w:t>
      </w:r>
      <w:proofErr w:type="spellEnd"/>
      <w:r w:rsidR="00640A70"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="00640A70" w:rsidRPr="00323CAE">
        <w:rPr>
          <w:b/>
          <w:color w:val="000000"/>
          <w:sz w:val="27"/>
          <w:szCs w:val="27"/>
        </w:rPr>
        <w:t>giáo</w:t>
      </w:r>
      <w:proofErr w:type="spellEnd"/>
      <w:r w:rsidR="00640A70"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="00640A70" w:rsidRPr="00323CAE">
        <w:rPr>
          <w:b/>
          <w:color w:val="000000"/>
          <w:sz w:val="27"/>
          <w:szCs w:val="27"/>
        </w:rPr>
        <w:t>dục</w:t>
      </w:r>
      <w:proofErr w:type="spellEnd"/>
      <w:r w:rsidR="00640A70"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="00640A70" w:rsidRPr="00323CAE">
        <w:rPr>
          <w:b/>
          <w:color w:val="000000"/>
          <w:sz w:val="27"/>
          <w:szCs w:val="27"/>
        </w:rPr>
        <w:t>đại</w:t>
      </w:r>
      <w:proofErr w:type="spellEnd"/>
      <w:r w:rsidR="00640A70" w:rsidRPr="00323CAE">
        <w:rPr>
          <w:b/>
          <w:color w:val="000000"/>
          <w:sz w:val="27"/>
          <w:szCs w:val="27"/>
        </w:rPr>
        <w:t xml:space="preserve"> </w:t>
      </w:r>
      <w:proofErr w:type="spellStart"/>
      <w:r w:rsidR="00640A70" w:rsidRPr="00323CAE">
        <w:rPr>
          <w:b/>
          <w:color w:val="000000"/>
          <w:sz w:val="27"/>
          <w:szCs w:val="27"/>
        </w:rPr>
        <w:t>học</w:t>
      </w:r>
      <w:proofErr w:type="spellEnd"/>
      <w:r w:rsidR="00640A70" w:rsidRPr="00323CAE">
        <w:rPr>
          <w:b/>
          <w:color w:val="000000"/>
          <w:sz w:val="27"/>
          <w:szCs w:val="27"/>
        </w:rPr>
        <w:t xml:space="preserve"> NCL</w:t>
      </w:r>
    </w:p>
    <w:p w:rsidR="00970FC1" w:rsidRPr="00323CAE" w:rsidRDefault="00970FC1" w:rsidP="00A7765E">
      <w:pPr>
        <w:pStyle w:val="Normal1"/>
        <w:spacing w:before="240" w:after="240" w:line="240" w:lineRule="auto"/>
        <w:ind w:firstLine="720"/>
        <w:jc w:val="both"/>
        <w:rPr>
          <w:color w:val="000000"/>
          <w:sz w:val="27"/>
          <w:szCs w:val="27"/>
        </w:rPr>
      </w:pPr>
      <w:r w:rsidRPr="00323CAE">
        <w:rPr>
          <w:color w:val="000000"/>
          <w:sz w:val="27"/>
          <w:szCs w:val="27"/>
        </w:rPr>
        <w:t xml:space="preserve">2.1. </w:t>
      </w:r>
      <w:proofErr w:type="spellStart"/>
      <w:r w:rsidRPr="00323CAE">
        <w:rPr>
          <w:color w:val="000000"/>
          <w:sz w:val="27"/>
          <w:szCs w:val="27"/>
        </w:rPr>
        <w:t>Chủ</w:t>
      </w:r>
      <w:proofErr w:type="spellEnd"/>
      <w:r w:rsidRPr="00323CAE">
        <w:rPr>
          <w:color w:val="000000"/>
          <w:sz w:val="27"/>
          <w:szCs w:val="27"/>
        </w:rPr>
        <w:t xml:space="preserve"> </w:t>
      </w:r>
      <w:proofErr w:type="spellStart"/>
      <w:r w:rsidRPr="00323CAE">
        <w:rPr>
          <w:color w:val="000000"/>
          <w:sz w:val="27"/>
          <w:szCs w:val="27"/>
        </w:rPr>
        <w:t>trương</w:t>
      </w:r>
      <w:proofErr w:type="spellEnd"/>
      <w:r w:rsidRPr="00323CAE">
        <w:rPr>
          <w:color w:val="000000"/>
          <w:sz w:val="27"/>
          <w:szCs w:val="27"/>
        </w:rPr>
        <w:t xml:space="preserve"> </w:t>
      </w:r>
      <w:proofErr w:type="spellStart"/>
      <w:r w:rsidR="00003969" w:rsidRPr="00323CAE">
        <w:rPr>
          <w:color w:val="000000"/>
          <w:sz w:val="27"/>
          <w:szCs w:val="27"/>
        </w:rPr>
        <w:t>chính</w:t>
      </w:r>
      <w:proofErr w:type="spellEnd"/>
      <w:r w:rsidR="00003969" w:rsidRPr="00323CAE">
        <w:rPr>
          <w:color w:val="000000"/>
          <w:sz w:val="27"/>
          <w:szCs w:val="27"/>
        </w:rPr>
        <w:t xml:space="preserve"> </w:t>
      </w:r>
      <w:proofErr w:type="spellStart"/>
      <w:r w:rsidR="00003969" w:rsidRPr="00323CAE">
        <w:rPr>
          <w:color w:val="000000"/>
          <w:sz w:val="27"/>
          <w:szCs w:val="27"/>
        </w:rPr>
        <w:t>sách</w:t>
      </w:r>
      <w:proofErr w:type="spellEnd"/>
      <w:r w:rsidR="00003969" w:rsidRPr="00323CAE">
        <w:rPr>
          <w:color w:val="000000"/>
          <w:sz w:val="27"/>
          <w:szCs w:val="27"/>
        </w:rPr>
        <w:t xml:space="preserve"> </w:t>
      </w:r>
      <w:proofErr w:type="spellStart"/>
      <w:r w:rsidRPr="00323CAE">
        <w:rPr>
          <w:color w:val="000000"/>
          <w:sz w:val="27"/>
          <w:szCs w:val="27"/>
        </w:rPr>
        <w:t>của</w:t>
      </w:r>
      <w:proofErr w:type="spellEnd"/>
      <w:r w:rsidRPr="00323CAE">
        <w:rPr>
          <w:color w:val="000000"/>
          <w:sz w:val="27"/>
          <w:szCs w:val="27"/>
        </w:rPr>
        <w:t xml:space="preserve"> </w:t>
      </w:r>
      <w:proofErr w:type="spellStart"/>
      <w:r w:rsidRPr="00323CAE">
        <w:rPr>
          <w:color w:val="000000"/>
          <w:sz w:val="27"/>
          <w:szCs w:val="27"/>
        </w:rPr>
        <w:t>Đảng</w:t>
      </w:r>
      <w:proofErr w:type="spellEnd"/>
      <w:r w:rsidR="00003969" w:rsidRPr="00323CAE">
        <w:rPr>
          <w:color w:val="000000"/>
          <w:sz w:val="27"/>
          <w:szCs w:val="27"/>
        </w:rPr>
        <w:t xml:space="preserve"> </w:t>
      </w:r>
      <w:proofErr w:type="spellStart"/>
      <w:r w:rsidR="00003969" w:rsidRPr="00323CAE">
        <w:rPr>
          <w:color w:val="000000"/>
          <w:sz w:val="27"/>
          <w:szCs w:val="27"/>
        </w:rPr>
        <w:t>và</w:t>
      </w:r>
      <w:proofErr w:type="spellEnd"/>
      <w:r w:rsidR="00003969" w:rsidRPr="00323CAE">
        <w:rPr>
          <w:color w:val="000000"/>
          <w:sz w:val="27"/>
          <w:szCs w:val="27"/>
        </w:rPr>
        <w:t xml:space="preserve"> </w:t>
      </w:r>
      <w:proofErr w:type="spellStart"/>
      <w:r w:rsidRPr="00323CAE">
        <w:rPr>
          <w:color w:val="000000"/>
          <w:sz w:val="27"/>
          <w:szCs w:val="27"/>
        </w:rPr>
        <w:t>Nhà</w:t>
      </w:r>
      <w:proofErr w:type="spellEnd"/>
      <w:r w:rsidRPr="00323CAE">
        <w:rPr>
          <w:color w:val="000000"/>
          <w:sz w:val="27"/>
          <w:szCs w:val="27"/>
        </w:rPr>
        <w:t xml:space="preserve"> </w:t>
      </w:r>
      <w:proofErr w:type="spellStart"/>
      <w:r w:rsidRPr="00323CAE">
        <w:rPr>
          <w:color w:val="000000"/>
          <w:sz w:val="27"/>
          <w:szCs w:val="27"/>
        </w:rPr>
        <w:t>nước</w:t>
      </w:r>
      <w:proofErr w:type="spellEnd"/>
      <w:r w:rsidR="00200221">
        <w:rPr>
          <w:color w:val="000000"/>
          <w:sz w:val="27"/>
          <w:szCs w:val="27"/>
        </w:rPr>
        <w:t xml:space="preserve">. </w:t>
      </w:r>
      <w:proofErr w:type="spellStart"/>
      <w:r w:rsidR="000341C1">
        <w:rPr>
          <w:color w:val="000000"/>
          <w:sz w:val="27"/>
          <w:szCs w:val="27"/>
        </w:rPr>
        <w:t>Đã</w:t>
      </w:r>
      <w:proofErr w:type="spellEnd"/>
      <w:r w:rsidR="000341C1">
        <w:rPr>
          <w:color w:val="000000"/>
          <w:sz w:val="27"/>
          <w:szCs w:val="27"/>
        </w:rPr>
        <w:t xml:space="preserve"> </w:t>
      </w:r>
      <w:proofErr w:type="spellStart"/>
      <w:r w:rsidR="000341C1">
        <w:rPr>
          <w:color w:val="000000"/>
          <w:sz w:val="27"/>
          <w:szCs w:val="27"/>
        </w:rPr>
        <w:t>c</w:t>
      </w:r>
      <w:r w:rsidR="006A6A10">
        <w:rPr>
          <w:color w:val="000000"/>
          <w:sz w:val="27"/>
          <w:szCs w:val="27"/>
        </w:rPr>
        <w:t>ó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nhiều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cơ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chế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chính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s</w:t>
      </w:r>
      <w:r w:rsidR="000B0BBB">
        <w:rPr>
          <w:color w:val="000000"/>
          <w:sz w:val="27"/>
          <w:szCs w:val="27"/>
        </w:rPr>
        <w:t>á</w:t>
      </w:r>
      <w:r w:rsidR="006A6A10">
        <w:rPr>
          <w:color w:val="000000"/>
          <w:sz w:val="27"/>
          <w:szCs w:val="27"/>
        </w:rPr>
        <w:t>ch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của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Đảng</w:t>
      </w:r>
      <w:proofErr w:type="spellEnd"/>
      <w:r w:rsidR="006A6A10">
        <w:rPr>
          <w:color w:val="000000"/>
          <w:sz w:val="27"/>
          <w:szCs w:val="27"/>
        </w:rPr>
        <w:t xml:space="preserve">, </w:t>
      </w:r>
      <w:proofErr w:type="spellStart"/>
      <w:r w:rsidR="006A6A10">
        <w:rPr>
          <w:color w:val="000000"/>
          <w:sz w:val="27"/>
          <w:szCs w:val="27"/>
        </w:rPr>
        <w:t>Nhà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nước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về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giáo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6A6A10">
        <w:rPr>
          <w:color w:val="000000"/>
          <w:sz w:val="27"/>
          <w:szCs w:val="27"/>
        </w:rPr>
        <w:t>dục</w:t>
      </w:r>
      <w:proofErr w:type="spellEnd"/>
      <w:r w:rsidR="006A6A10">
        <w:rPr>
          <w:color w:val="000000"/>
          <w:sz w:val="27"/>
          <w:szCs w:val="27"/>
        </w:rPr>
        <w:t xml:space="preserve">. </w:t>
      </w:r>
      <w:proofErr w:type="spellStart"/>
      <w:r w:rsidR="006A6A10">
        <w:rPr>
          <w:color w:val="000000"/>
          <w:sz w:val="27"/>
          <w:szCs w:val="27"/>
        </w:rPr>
        <w:t>Đáng</w:t>
      </w:r>
      <w:proofErr w:type="spellEnd"/>
      <w:r w:rsidR="006A6A10">
        <w:rPr>
          <w:color w:val="000000"/>
          <w:sz w:val="27"/>
          <w:szCs w:val="27"/>
        </w:rPr>
        <w:t xml:space="preserve"> </w:t>
      </w:r>
      <w:proofErr w:type="spellStart"/>
      <w:r w:rsidR="00200221">
        <w:rPr>
          <w:color w:val="000000"/>
          <w:sz w:val="27"/>
          <w:szCs w:val="27"/>
        </w:rPr>
        <w:t>chú</w:t>
      </w:r>
      <w:proofErr w:type="spellEnd"/>
      <w:r w:rsidR="00200221">
        <w:rPr>
          <w:color w:val="000000"/>
          <w:sz w:val="27"/>
          <w:szCs w:val="27"/>
        </w:rPr>
        <w:t xml:space="preserve"> ý </w:t>
      </w:r>
      <w:proofErr w:type="spellStart"/>
      <w:r w:rsidR="00200221">
        <w:rPr>
          <w:color w:val="000000"/>
          <w:sz w:val="27"/>
          <w:szCs w:val="27"/>
        </w:rPr>
        <w:t>là</w:t>
      </w:r>
      <w:proofErr w:type="spellEnd"/>
      <w:r w:rsidR="00200221">
        <w:rPr>
          <w:color w:val="000000"/>
          <w:sz w:val="27"/>
          <w:szCs w:val="27"/>
        </w:rPr>
        <w:t>:</w:t>
      </w:r>
      <w:r w:rsidRPr="00323CAE">
        <w:rPr>
          <w:color w:val="000000"/>
          <w:sz w:val="27"/>
          <w:szCs w:val="27"/>
        </w:rPr>
        <w:t xml:space="preserve"> </w:t>
      </w:r>
    </w:p>
    <w:p w:rsidR="0044071C" w:rsidRPr="00323CAE" w:rsidRDefault="006A6A10" w:rsidP="00C82C28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Những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nghị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quyết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của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Trung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ương</w:t>
      </w:r>
      <w:proofErr w:type="spellEnd"/>
      <w:r>
        <w:rPr>
          <w:sz w:val="27"/>
          <w:szCs w:val="27"/>
        </w:rPr>
        <w:t xml:space="preserve"> (NQTW) </w:t>
      </w:r>
      <w:proofErr w:type="spellStart"/>
      <w:r w:rsidR="000B0BBB">
        <w:rPr>
          <w:sz w:val="27"/>
          <w:szCs w:val="27"/>
        </w:rPr>
        <w:t>Đ</w:t>
      </w:r>
      <w:r>
        <w:rPr>
          <w:sz w:val="27"/>
          <w:szCs w:val="27"/>
        </w:rPr>
        <w:t>ảng</w:t>
      </w:r>
      <w:proofErr w:type="spellEnd"/>
      <w:r>
        <w:rPr>
          <w:sz w:val="27"/>
          <w:szCs w:val="27"/>
        </w:rPr>
        <w:t xml:space="preserve"> (NQTW</w:t>
      </w:r>
      <w:r w:rsidR="0044071C" w:rsidRPr="00323CAE">
        <w:rPr>
          <w:sz w:val="27"/>
          <w:szCs w:val="27"/>
        </w:rPr>
        <w:t xml:space="preserve"> 4 </w:t>
      </w:r>
      <w:proofErr w:type="spellStart"/>
      <w:r w:rsidR="0044071C" w:rsidRPr="00323CAE">
        <w:rPr>
          <w:sz w:val="27"/>
          <w:szCs w:val="27"/>
        </w:rPr>
        <w:t>khóa</w:t>
      </w:r>
      <w:proofErr w:type="spellEnd"/>
      <w:r w:rsidR="0044071C" w:rsidRPr="00323CAE">
        <w:rPr>
          <w:sz w:val="27"/>
          <w:szCs w:val="27"/>
        </w:rPr>
        <w:t xml:space="preserve"> VII</w:t>
      </w:r>
      <w:r>
        <w:rPr>
          <w:sz w:val="27"/>
          <w:szCs w:val="27"/>
        </w:rPr>
        <w:t>;</w:t>
      </w:r>
      <w:r w:rsidR="0044071C" w:rsidRPr="00323CAE">
        <w:rPr>
          <w:sz w:val="27"/>
          <w:szCs w:val="27"/>
        </w:rPr>
        <w:t xml:space="preserve"> N</w:t>
      </w:r>
      <w:r>
        <w:rPr>
          <w:sz w:val="27"/>
          <w:szCs w:val="27"/>
        </w:rPr>
        <w:t>QTW</w:t>
      </w:r>
      <w:r w:rsidR="0044071C" w:rsidRPr="00323CAE">
        <w:rPr>
          <w:sz w:val="27"/>
          <w:szCs w:val="27"/>
        </w:rPr>
        <w:t xml:space="preserve"> 2 </w:t>
      </w:r>
      <w:proofErr w:type="spellStart"/>
      <w:r w:rsidR="0044071C" w:rsidRPr="00323CAE">
        <w:rPr>
          <w:sz w:val="27"/>
          <w:szCs w:val="27"/>
        </w:rPr>
        <w:t>khóa</w:t>
      </w:r>
      <w:proofErr w:type="spellEnd"/>
      <w:r w:rsidR="0044071C" w:rsidRPr="00323CAE">
        <w:rPr>
          <w:sz w:val="27"/>
          <w:szCs w:val="27"/>
        </w:rPr>
        <w:t xml:space="preserve"> </w:t>
      </w:r>
      <w:proofErr w:type="gramStart"/>
      <w:r w:rsidR="0044071C" w:rsidRPr="00323CAE">
        <w:rPr>
          <w:sz w:val="27"/>
          <w:szCs w:val="27"/>
        </w:rPr>
        <w:t>VIII</w:t>
      </w:r>
      <w:r>
        <w:rPr>
          <w:sz w:val="27"/>
          <w:szCs w:val="27"/>
        </w:rPr>
        <w:t xml:space="preserve">; </w:t>
      </w:r>
      <w:r w:rsidR="0044071C" w:rsidRPr="00323CAE">
        <w:rPr>
          <w:sz w:val="27"/>
          <w:szCs w:val="27"/>
        </w:rPr>
        <w:t xml:space="preserve"> N</w:t>
      </w:r>
      <w:r>
        <w:rPr>
          <w:sz w:val="27"/>
          <w:szCs w:val="27"/>
        </w:rPr>
        <w:t>QTW</w:t>
      </w:r>
      <w:proofErr w:type="gramEnd"/>
      <w:r>
        <w:rPr>
          <w:sz w:val="27"/>
          <w:szCs w:val="27"/>
        </w:rPr>
        <w:t>-</w:t>
      </w:r>
      <w:r w:rsidR="0044071C" w:rsidRPr="00323CAE">
        <w:rPr>
          <w:sz w:val="27"/>
          <w:szCs w:val="27"/>
        </w:rPr>
        <w:t xml:space="preserve">29 </w:t>
      </w:r>
      <w:proofErr w:type="spellStart"/>
      <w:r w:rsidR="0044071C" w:rsidRPr="00323CAE">
        <w:rPr>
          <w:sz w:val="27"/>
          <w:szCs w:val="27"/>
        </w:rPr>
        <w:t>Khóa</w:t>
      </w:r>
      <w:proofErr w:type="spellEnd"/>
      <w:r w:rsidR="0044071C" w:rsidRPr="00323CAE">
        <w:rPr>
          <w:sz w:val="27"/>
          <w:szCs w:val="27"/>
        </w:rPr>
        <w:t xml:space="preserve"> XI</w:t>
      </w:r>
      <w:r w:rsidR="00200221">
        <w:rPr>
          <w:sz w:val="27"/>
          <w:szCs w:val="27"/>
        </w:rPr>
        <w:t xml:space="preserve">). </w:t>
      </w:r>
      <w:proofErr w:type="spellStart"/>
      <w:r>
        <w:rPr>
          <w:sz w:val="27"/>
          <w:szCs w:val="27"/>
        </w:rPr>
        <w:t>Những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luật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chuyên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ngành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dục</w:t>
      </w:r>
      <w:proofErr w:type="spellEnd"/>
      <w:r w:rsidR="00200221">
        <w:rPr>
          <w:sz w:val="27"/>
          <w:szCs w:val="27"/>
        </w:rPr>
        <w:t xml:space="preserve"> (</w:t>
      </w:r>
      <w:proofErr w:type="spellStart"/>
      <w:r w:rsidR="00200221">
        <w:rPr>
          <w:sz w:val="27"/>
          <w:szCs w:val="27"/>
        </w:rPr>
        <w:t>L</w:t>
      </w:r>
      <w:r w:rsidR="00054FF7" w:rsidRPr="00323CAE">
        <w:rPr>
          <w:sz w:val="27"/>
          <w:szCs w:val="27"/>
        </w:rPr>
        <w:t>uật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Giáo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dục</w:t>
      </w:r>
      <w:proofErr w:type="spellEnd"/>
      <w:r w:rsidR="00054FF7" w:rsidRPr="00323CAE">
        <w:rPr>
          <w:sz w:val="27"/>
          <w:szCs w:val="27"/>
        </w:rPr>
        <w:t xml:space="preserve"> 1989, </w:t>
      </w:r>
      <w:proofErr w:type="spellStart"/>
      <w:r w:rsidR="00054FF7" w:rsidRPr="00323CAE">
        <w:rPr>
          <w:sz w:val="27"/>
          <w:szCs w:val="27"/>
        </w:rPr>
        <w:t>Luật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Giáo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dục</w:t>
      </w:r>
      <w:proofErr w:type="spellEnd"/>
      <w:r w:rsidR="00054FF7" w:rsidRPr="00323CAE">
        <w:rPr>
          <w:sz w:val="27"/>
          <w:szCs w:val="27"/>
        </w:rPr>
        <w:t xml:space="preserve"> 2005, </w:t>
      </w:r>
      <w:proofErr w:type="spellStart"/>
      <w:r w:rsidR="00054FF7" w:rsidRPr="00323CAE">
        <w:rPr>
          <w:sz w:val="27"/>
          <w:szCs w:val="27"/>
        </w:rPr>
        <w:t>Luật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Giáo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dục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Đại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học</w:t>
      </w:r>
      <w:proofErr w:type="spellEnd"/>
      <w:r w:rsidR="00054FF7" w:rsidRPr="00323CAE">
        <w:rPr>
          <w:sz w:val="27"/>
          <w:szCs w:val="27"/>
        </w:rPr>
        <w:t xml:space="preserve"> 2012, </w:t>
      </w:r>
      <w:proofErr w:type="spellStart"/>
      <w:r w:rsidR="00054FF7" w:rsidRPr="00323CAE">
        <w:rPr>
          <w:sz w:val="27"/>
          <w:szCs w:val="27"/>
        </w:rPr>
        <w:t>Luật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Giáo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dục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Đại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học</w:t>
      </w:r>
      <w:proofErr w:type="spellEnd"/>
      <w:r w:rsidR="00054FF7" w:rsidRPr="00323CAE">
        <w:rPr>
          <w:sz w:val="27"/>
          <w:szCs w:val="27"/>
        </w:rPr>
        <w:t xml:space="preserve"> 2018</w:t>
      </w:r>
      <w:r w:rsidR="00200221">
        <w:rPr>
          <w:sz w:val="27"/>
          <w:szCs w:val="27"/>
        </w:rPr>
        <w:t>)</w:t>
      </w:r>
      <w:r w:rsidR="00054FF7" w:rsidRPr="00323CAE">
        <w:rPr>
          <w:sz w:val="27"/>
          <w:szCs w:val="27"/>
        </w:rPr>
        <w:t>.</w:t>
      </w:r>
      <w:r w:rsidR="00C82C28" w:rsidRPr="00323CAE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Những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nghị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quyết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của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Chính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phủ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khẳng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định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chủ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trương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xã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hội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hóa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giáo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dục</w:t>
      </w:r>
      <w:proofErr w:type="spellEnd"/>
      <w:r w:rsidR="00200221">
        <w:rPr>
          <w:sz w:val="27"/>
          <w:szCs w:val="27"/>
        </w:rPr>
        <w:t xml:space="preserve"> (</w:t>
      </w:r>
      <w:r w:rsidR="00CC3A61" w:rsidRPr="00323CAE">
        <w:rPr>
          <w:sz w:val="27"/>
          <w:szCs w:val="27"/>
        </w:rPr>
        <w:t>N</w:t>
      </w:r>
      <w:r w:rsidR="00C82C28" w:rsidRPr="00323CAE">
        <w:rPr>
          <w:sz w:val="27"/>
          <w:szCs w:val="27"/>
        </w:rPr>
        <w:t>Q-</w:t>
      </w:r>
      <w:r w:rsidR="00CC3A61" w:rsidRPr="00323CAE">
        <w:rPr>
          <w:sz w:val="27"/>
          <w:szCs w:val="27"/>
        </w:rPr>
        <w:t xml:space="preserve"> 90 </w:t>
      </w:r>
      <w:proofErr w:type="spellStart"/>
      <w:r w:rsidR="00CC3A61" w:rsidRPr="00323CAE">
        <w:rPr>
          <w:sz w:val="27"/>
          <w:szCs w:val="27"/>
        </w:rPr>
        <w:t>năm</w:t>
      </w:r>
      <w:proofErr w:type="spellEnd"/>
      <w:r w:rsidR="00CC3A61" w:rsidRPr="00323CAE">
        <w:rPr>
          <w:sz w:val="27"/>
          <w:szCs w:val="27"/>
        </w:rPr>
        <w:t xml:space="preserve"> </w:t>
      </w:r>
      <w:r w:rsidR="00AF5534">
        <w:rPr>
          <w:sz w:val="27"/>
          <w:szCs w:val="27"/>
        </w:rPr>
        <w:t>1997</w:t>
      </w:r>
      <w:r w:rsidR="00CC3A61" w:rsidRPr="00323CAE">
        <w:rPr>
          <w:sz w:val="27"/>
          <w:szCs w:val="27"/>
        </w:rPr>
        <w:t>, N</w:t>
      </w:r>
      <w:r w:rsidR="00C82C28" w:rsidRPr="00323CAE">
        <w:rPr>
          <w:sz w:val="27"/>
          <w:szCs w:val="27"/>
        </w:rPr>
        <w:t xml:space="preserve">Q-05 </w:t>
      </w:r>
      <w:proofErr w:type="spellStart"/>
      <w:r w:rsidR="00C82C28" w:rsidRPr="00323CAE">
        <w:rPr>
          <w:sz w:val="27"/>
          <w:szCs w:val="27"/>
        </w:rPr>
        <w:t>n</w:t>
      </w:r>
      <w:r w:rsidR="00CC3A61" w:rsidRPr="00323CAE">
        <w:rPr>
          <w:sz w:val="27"/>
          <w:szCs w:val="27"/>
        </w:rPr>
        <w:t>ăm</w:t>
      </w:r>
      <w:proofErr w:type="spellEnd"/>
      <w:r w:rsidR="00CC3A61" w:rsidRPr="00323CAE">
        <w:rPr>
          <w:sz w:val="27"/>
          <w:szCs w:val="27"/>
        </w:rPr>
        <w:t xml:space="preserve"> 2005, N</w:t>
      </w:r>
      <w:r w:rsidR="00C82C28" w:rsidRPr="00323CAE">
        <w:rPr>
          <w:sz w:val="27"/>
          <w:szCs w:val="27"/>
        </w:rPr>
        <w:t xml:space="preserve">Q-14 </w:t>
      </w:r>
      <w:proofErr w:type="spellStart"/>
      <w:r w:rsidR="00C82C28" w:rsidRPr="00323CAE">
        <w:rPr>
          <w:sz w:val="27"/>
          <w:szCs w:val="27"/>
        </w:rPr>
        <w:t>năm</w:t>
      </w:r>
      <w:proofErr w:type="spellEnd"/>
      <w:r w:rsidR="00C82C28" w:rsidRPr="00323CAE">
        <w:rPr>
          <w:sz w:val="27"/>
          <w:szCs w:val="27"/>
        </w:rPr>
        <w:t xml:space="preserve"> </w:t>
      </w:r>
      <w:r w:rsidR="00CC3A61" w:rsidRPr="00323CAE">
        <w:rPr>
          <w:sz w:val="27"/>
          <w:szCs w:val="27"/>
        </w:rPr>
        <w:t>2005</w:t>
      </w:r>
      <w:r w:rsidR="00200221">
        <w:rPr>
          <w:sz w:val="27"/>
          <w:szCs w:val="27"/>
        </w:rPr>
        <w:t>).</w:t>
      </w:r>
      <w:r w:rsidR="00C82C28" w:rsidRPr="00323CAE">
        <w:rPr>
          <w:sz w:val="27"/>
          <w:szCs w:val="27"/>
        </w:rPr>
        <w:t xml:space="preserve"> </w:t>
      </w:r>
      <w:proofErr w:type="spellStart"/>
      <w:r w:rsidR="002E0284">
        <w:rPr>
          <w:sz w:val="27"/>
          <w:szCs w:val="27"/>
        </w:rPr>
        <w:t>Những</w:t>
      </w:r>
      <w:proofErr w:type="spellEnd"/>
      <w:r w:rsidR="002E0284">
        <w:rPr>
          <w:sz w:val="27"/>
          <w:szCs w:val="27"/>
        </w:rPr>
        <w:t xml:space="preserve"> </w:t>
      </w:r>
      <w:proofErr w:type="spellStart"/>
      <w:r w:rsidR="002E0284">
        <w:rPr>
          <w:sz w:val="27"/>
          <w:szCs w:val="27"/>
        </w:rPr>
        <w:t>nghị</w:t>
      </w:r>
      <w:proofErr w:type="spellEnd"/>
      <w:r w:rsidR="002E0284">
        <w:rPr>
          <w:sz w:val="27"/>
          <w:szCs w:val="27"/>
        </w:rPr>
        <w:t xml:space="preserve"> </w:t>
      </w:r>
      <w:proofErr w:type="spellStart"/>
      <w:r w:rsidR="002E0284">
        <w:rPr>
          <w:sz w:val="27"/>
          <w:szCs w:val="27"/>
        </w:rPr>
        <w:t>định</w:t>
      </w:r>
      <w:proofErr w:type="spellEnd"/>
      <w:r w:rsidR="002E0284">
        <w:rPr>
          <w:sz w:val="27"/>
          <w:szCs w:val="27"/>
        </w:rPr>
        <w:t xml:space="preserve"> </w:t>
      </w:r>
      <w:proofErr w:type="spellStart"/>
      <w:r w:rsidR="002E0284">
        <w:rPr>
          <w:sz w:val="27"/>
          <w:szCs w:val="27"/>
        </w:rPr>
        <w:t>của</w:t>
      </w:r>
      <w:proofErr w:type="spellEnd"/>
      <w:r w:rsidR="002E0284">
        <w:rPr>
          <w:sz w:val="27"/>
          <w:szCs w:val="27"/>
        </w:rPr>
        <w:t xml:space="preserve"> </w:t>
      </w:r>
      <w:proofErr w:type="spellStart"/>
      <w:r w:rsidR="002E0284">
        <w:rPr>
          <w:sz w:val="27"/>
          <w:szCs w:val="27"/>
        </w:rPr>
        <w:t>Chính</w:t>
      </w:r>
      <w:proofErr w:type="spellEnd"/>
      <w:r w:rsidR="002E0284">
        <w:rPr>
          <w:sz w:val="27"/>
          <w:szCs w:val="27"/>
        </w:rPr>
        <w:t xml:space="preserve"> </w:t>
      </w:r>
      <w:proofErr w:type="spellStart"/>
      <w:r w:rsidR="002E0284">
        <w:rPr>
          <w:sz w:val="27"/>
          <w:szCs w:val="27"/>
        </w:rPr>
        <w:t>phủ</w:t>
      </w:r>
      <w:proofErr w:type="spellEnd"/>
      <w:r w:rsidR="002E0284">
        <w:rPr>
          <w:sz w:val="27"/>
          <w:szCs w:val="27"/>
        </w:rPr>
        <w:t xml:space="preserve"> (NĐ)</w:t>
      </w:r>
      <w:r w:rsidR="00200221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về</w:t>
      </w:r>
      <w:proofErr w:type="spellEnd"/>
      <w:r w:rsidR="00CC3A61" w:rsidRPr="00323CAE">
        <w:rPr>
          <w:i/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cơ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chế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chính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sách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khuyến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khích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xã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hội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hóa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phát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triển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giáo</w:t>
      </w:r>
      <w:proofErr w:type="spellEnd"/>
      <w:r w:rsidR="00CC3A61" w:rsidRPr="00323CAE">
        <w:rPr>
          <w:sz w:val="27"/>
          <w:szCs w:val="27"/>
        </w:rPr>
        <w:t xml:space="preserve"> </w:t>
      </w:r>
      <w:proofErr w:type="spellStart"/>
      <w:r w:rsidR="00CC3A61" w:rsidRPr="00323CAE">
        <w:rPr>
          <w:sz w:val="27"/>
          <w:szCs w:val="27"/>
        </w:rPr>
        <w:t>dục</w:t>
      </w:r>
      <w:proofErr w:type="spellEnd"/>
      <w:r w:rsidR="00200221">
        <w:rPr>
          <w:sz w:val="27"/>
          <w:szCs w:val="27"/>
        </w:rPr>
        <w:t xml:space="preserve"> (</w:t>
      </w:r>
      <w:r w:rsidR="00CC3A61" w:rsidRPr="00323CAE">
        <w:rPr>
          <w:sz w:val="27"/>
          <w:szCs w:val="27"/>
        </w:rPr>
        <w:t>N</w:t>
      </w:r>
      <w:r w:rsidR="00C82C28" w:rsidRPr="00323CAE">
        <w:rPr>
          <w:sz w:val="27"/>
          <w:szCs w:val="27"/>
        </w:rPr>
        <w:t xml:space="preserve">Đ-73 </w:t>
      </w:r>
      <w:proofErr w:type="spellStart"/>
      <w:r w:rsidR="00C82C28" w:rsidRPr="00323CAE">
        <w:rPr>
          <w:sz w:val="27"/>
          <w:szCs w:val="27"/>
        </w:rPr>
        <w:t>năm</w:t>
      </w:r>
      <w:proofErr w:type="spellEnd"/>
      <w:r w:rsidR="00C82C28" w:rsidRPr="00323CAE">
        <w:rPr>
          <w:sz w:val="27"/>
          <w:szCs w:val="27"/>
        </w:rPr>
        <w:t xml:space="preserve"> 1999</w:t>
      </w:r>
      <w:r w:rsidR="00CC3A61" w:rsidRPr="00323CAE">
        <w:rPr>
          <w:sz w:val="27"/>
          <w:szCs w:val="27"/>
        </w:rPr>
        <w:t>, N</w:t>
      </w:r>
      <w:r w:rsidR="00C82C28" w:rsidRPr="00323CAE">
        <w:rPr>
          <w:sz w:val="27"/>
          <w:szCs w:val="27"/>
        </w:rPr>
        <w:t xml:space="preserve">Đ-69 </w:t>
      </w:r>
      <w:proofErr w:type="spellStart"/>
      <w:r w:rsidR="00C82C28" w:rsidRPr="00323CAE">
        <w:rPr>
          <w:sz w:val="27"/>
          <w:szCs w:val="27"/>
        </w:rPr>
        <w:t>năm</w:t>
      </w:r>
      <w:proofErr w:type="spellEnd"/>
      <w:r w:rsidR="00C82C28" w:rsidRPr="00323CAE">
        <w:rPr>
          <w:sz w:val="27"/>
          <w:szCs w:val="27"/>
        </w:rPr>
        <w:t xml:space="preserve"> 2008</w:t>
      </w:r>
      <w:r w:rsidR="002E0284">
        <w:rPr>
          <w:sz w:val="27"/>
          <w:szCs w:val="27"/>
        </w:rPr>
        <w:t>,</w:t>
      </w:r>
      <w:r w:rsidR="00C82C28" w:rsidRPr="00323CAE">
        <w:rPr>
          <w:sz w:val="27"/>
          <w:szCs w:val="27"/>
        </w:rPr>
        <w:t xml:space="preserve"> NĐ-59 </w:t>
      </w:r>
      <w:proofErr w:type="spellStart"/>
      <w:r w:rsidR="00C82C28" w:rsidRPr="00323CAE">
        <w:rPr>
          <w:sz w:val="27"/>
          <w:szCs w:val="27"/>
        </w:rPr>
        <w:t>năm</w:t>
      </w:r>
      <w:proofErr w:type="spellEnd"/>
      <w:r w:rsidR="00C82C28" w:rsidRPr="00323CAE">
        <w:rPr>
          <w:sz w:val="27"/>
          <w:szCs w:val="27"/>
        </w:rPr>
        <w:t xml:space="preserve"> 2014</w:t>
      </w:r>
      <w:r w:rsidR="00200221">
        <w:rPr>
          <w:sz w:val="27"/>
          <w:szCs w:val="27"/>
        </w:rPr>
        <w:t>)</w:t>
      </w:r>
      <w:r w:rsidR="00C82C28" w:rsidRPr="00323CAE">
        <w:rPr>
          <w:sz w:val="27"/>
          <w:szCs w:val="27"/>
        </w:rPr>
        <w:t xml:space="preserve">. </w:t>
      </w:r>
      <w:proofErr w:type="spellStart"/>
      <w:r w:rsidR="002E0284">
        <w:rPr>
          <w:sz w:val="27"/>
          <w:szCs w:val="27"/>
        </w:rPr>
        <w:t>Những</w:t>
      </w:r>
      <w:proofErr w:type="spellEnd"/>
      <w:r w:rsidR="002E0284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quyết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định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của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Thủ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tướng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Chính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phủ</w:t>
      </w:r>
      <w:proofErr w:type="spellEnd"/>
      <w:r w:rsidR="00003969" w:rsidRPr="00323CAE">
        <w:rPr>
          <w:sz w:val="27"/>
          <w:szCs w:val="27"/>
        </w:rPr>
        <w:t xml:space="preserve"> ban </w:t>
      </w:r>
      <w:proofErr w:type="spellStart"/>
      <w:r w:rsidR="00003969" w:rsidRPr="00323CAE">
        <w:rPr>
          <w:sz w:val="27"/>
          <w:szCs w:val="27"/>
        </w:rPr>
        <w:t>hành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quy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chế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tổ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chức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và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hoạt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động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của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AF5534">
        <w:rPr>
          <w:sz w:val="27"/>
          <w:szCs w:val="27"/>
        </w:rPr>
        <w:t>trường</w:t>
      </w:r>
      <w:proofErr w:type="spellEnd"/>
      <w:r w:rsidR="00AF5534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đại</w:t>
      </w:r>
      <w:proofErr w:type="spellEnd"/>
      <w:r w:rsidR="00003969" w:rsidRPr="00323CAE">
        <w:rPr>
          <w:sz w:val="27"/>
          <w:szCs w:val="27"/>
        </w:rPr>
        <w:t xml:space="preserve"> </w:t>
      </w:r>
      <w:proofErr w:type="spellStart"/>
      <w:r w:rsidR="00003969" w:rsidRPr="00323CAE">
        <w:rPr>
          <w:sz w:val="27"/>
          <w:szCs w:val="27"/>
        </w:rPr>
        <w:t>học</w:t>
      </w:r>
      <w:proofErr w:type="spellEnd"/>
      <w:r w:rsidR="00003969" w:rsidRPr="00323CAE">
        <w:rPr>
          <w:sz w:val="27"/>
          <w:szCs w:val="27"/>
        </w:rPr>
        <w:t xml:space="preserve"> NCL</w:t>
      </w:r>
      <w:r w:rsidR="00200221">
        <w:rPr>
          <w:sz w:val="27"/>
          <w:szCs w:val="27"/>
        </w:rPr>
        <w:t xml:space="preserve"> (</w:t>
      </w:r>
      <w:r w:rsidR="00CC3A61" w:rsidRPr="00323CAE">
        <w:rPr>
          <w:sz w:val="27"/>
          <w:szCs w:val="27"/>
        </w:rPr>
        <w:t>Q</w:t>
      </w:r>
      <w:r w:rsidR="00054FF7" w:rsidRPr="00323CAE">
        <w:rPr>
          <w:sz w:val="27"/>
          <w:szCs w:val="27"/>
        </w:rPr>
        <w:t>Đ</w:t>
      </w:r>
      <w:r w:rsidR="00CC3A61" w:rsidRPr="00323CAE">
        <w:rPr>
          <w:sz w:val="27"/>
          <w:szCs w:val="27"/>
        </w:rPr>
        <w:t xml:space="preserve">-240 </w:t>
      </w:r>
      <w:proofErr w:type="spellStart"/>
      <w:r w:rsidR="00CC3A61" w:rsidRPr="00323CAE">
        <w:rPr>
          <w:sz w:val="27"/>
          <w:szCs w:val="27"/>
        </w:rPr>
        <w:t>năm</w:t>
      </w:r>
      <w:proofErr w:type="spellEnd"/>
      <w:r w:rsidR="00CC3A61" w:rsidRPr="00323CAE">
        <w:rPr>
          <w:sz w:val="27"/>
          <w:szCs w:val="27"/>
        </w:rPr>
        <w:t xml:space="preserve"> 1993</w:t>
      </w:r>
      <w:r w:rsidR="002E0284">
        <w:rPr>
          <w:sz w:val="27"/>
          <w:szCs w:val="27"/>
        </w:rPr>
        <w:t>;</w:t>
      </w:r>
      <w:r w:rsidR="00054FF7" w:rsidRPr="00323CAE">
        <w:rPr>
          <w:sz w:val="27"/>
          <w:szCs w:val="27"/>
        </w:rPr>
        <w:t xml:space="preserve"> QĐ-86 </w:t>
      </w:r>
      <w:proofErr w:type="spellStart"/>
      <w:r w:rsidR="00054FF7" w:rsidRPr="00323CAE">
        <w:rPr>
          <w:sz w:val="27"/>
          <w:szCs w:val="27"/>
        </w:rPr>
        <w:t>năm</w:t>
      </w:r>
      <w:proofErr w:type="spellEnd"/>
      <w:r w:rsidR="00054FF7" w:rsidRPr="00323CAE">
        <w:rPr>
          <w:sz w:val="27"/>
          <w:szCs w:val="27"/>
        </w:rPr>
        <w:t xml:space="preserve"> 2000</w:t>
      </w:r>
      <w:r w:rsidR="002E0284">
        <w:rPr>
          <w:sz w:val="27"/>
          <w:szCs w:val="27"/>
        </w:rPr>
        <w:t>;</w:t>
      </w:r>
      <w:r w:rsidR="00054FF7" w:rsidRPr="00323CAE">
        <w:rPr>
          <w:sz w:val="27"/>
          <w:szCs w:val="27"/>
        </w:rPr>
        <w:t xml:space="preserve"> QĐ-14 </w:t>
      </w:r>
      <w:proofErr w:type="spellStart"/>
      <w:r w:rsidR="00054FF7" w:rsidRPr="00323CAE">
        <w:rPr>
          <w:sz w:val="27"/>
          <w:szCs w:val="27"/>
        </w:rPr>
        <w:t>năm</w:t>
      </w:r>
      <w:proofErr w:type="spellEnd"/>
      <w:r w:rsidR="00054FF7" w:rsidRPr="00323CAE">
        <w:rPr>
          <w:sz w:val="27"/>
          <w:szCs w:val="27"/>
        </w:rPr>
        <w:t xml:space="preserve"> 2005</w:t>
      </w:r>
      <w:r w:rsidR="002E0284">
        <w:rPr>
          <w:sz w:val="27"/>
          <w:szCs w:val="27"/>
        </w:rPr>
        <w:t>;</w:t>
      </w:r>
      <w:r w:rsidR="00054FF7" w:rsidRPr="00323CAE">
        <w:rPr>
          <w:sz w:val="27"/>
          <w:szCs w:val="27"/>
        </w:rPr>
        <w:t xml:space="preserve"> QĐ-61 </w:t>
      </w:r>
      <w:proofErr w:type="spellStart"/>
      <w:r w:rsidR="00054FF7" w:rsidRPr="00323CAE">
        <w:rPr>
          <w:sz w:val="27"/>
          <w:szCs w:val="27"/>
        </w:rPr>
        <w:t>năm</w:t>
      </w:r>
      <w:proofErr w:type="spellEnd"/>
      <w:r w:rsidR="00054FF7" w:rsidRPr="00323CAE">
        <w:rPr>
          <w:color w:val="FF0000"/>
          <w:sz w:val="27"/>
          <w:szCs w:val="27"/>
        </w:rPr>
        <w:t xml:space="preserve"> </w:t>
      </w:r>
      <w:r w:rsidR="00003969" w:rsidRPr="00323CAE">
        <w:rPr>
          <w:sz w:val="27"/>
          <w:szCs w:val="27"/>
        </w:rPr>
        <w:t>2009</w:t>
      </w:r>
      <w:r w:rsidR="002E0284">
        <w:rPr>
          <w:sz w:val="27"/>
          <w:szCs w:val="27"/>
        </w:rPr>
        <w:t>; QĐ</w:t>
      </w:r>
      <w:r w:rsidR="00054FF7" w:rsidRPr="00323CAE">
        <w:rPr>
          <w:sz w:val="27"/>
          <w:szCs w:val="27"/>
        </w:rPr>
        <w:t xml:space="preserve">-63 </w:t>
      </w:r>
      <w:proofErr w:type="spellStart"/>
      <w:r w:rsidR="00054FF7" w:rsidRPr="00323CAE">
        <w:rPr>
          <w:sz w:val="27"/>
          <w:szCs w:val="27"/>
        </w:rPr>
        <w:t>năm</w:t>
      </w:r>
      <w:proofErr w:type="spellEnd"/>
      <w:r w:rsidR="00054FF7" w:rsidRPr="00323CAE">
        <w:rPr>
          <w:sz w:val="27"/>
          <w:szCs w:val="27"/>
        </w:rPr>
        <w:t xml:space="preserve"> 2011</w:t>
      </w:r>
      <w:r w:rsidR="002E0284">
        <w:rPr>
          <w:sz w:val="27"/>
          <w:szCs w:val="27"/>
        </w:rPr>
        <w:t>;</w:t>
      </w:r>
      <w:r w:rsidR="00054FF7" w:rsidRPr="00323CAE">
        <w:rPr>
          <w:sz w:val="27"/>
          <w:szCs w:val="27"/>
        </w:rPr>
        <w:t xml:space="preserve"> QĐ-70 </w:t>
      </w:r>
      <w:proofErr w:type="spellStart"/>
      <w:r w:rsidR="00054FF7" w:rsidRPr="00323CAE">
        <w:rPr>
          <w:sz w:val="27"/>
          <w:szCs w:val="27"/>
        </w:rPr>
        <w:t>năm</w:t>
      </w:r>
      <w:proofErr w:type="spellEnd"/>
      <w:r w:rsidR="00054FF7" w:rsidRPr="00323CAE">
        <w:rPr>
          <w:sz w:val="27"/>
          <w:szCs w:val="27"/>
        </w:rPr>
        <w:t xml:space="preserve"> 2014</w:t>
      </w:r>
      <w:r w:rsidR="00200221">
        <w:rPr>
          <w:sz w:val="27"/>
          <w:szCs w:val="27"/>
        </w:rPr>
        <w:t xml:space="preserve">) </w:t>
      </w:r>
      <w:proofErr w:type="spellStart"/>
      <w:r w:rsidR="00200221">
        <w:rPr>
          <w:sz w:val="27"/>
          <w:szCs w:val="27"/>
        </w:rPr>
        <w:t>và</w:t>
      </w:r>
      <w:proofErr w:type="spellEnd"/>
      <w:r w:rsidR="00200221">
        <w:rPr>
          <w:sz w:val="27"/>
          <w:szCs w:val="27"/>
        </w:rPr>
        <w:t xml:space="preserve"> </w:t>
      </w:r>
      <w:r w:rsidR="00054FF7" w:rsidRPr="00323CAE">
        <w:rPr>
          <w:sz w:val="27"/>
          <w:szCs w:val="27"/>
        </w:rPr>
        <w:t>“</w:t>
      </w:r>
      <w:proofErr w:type="spellStart"/>
      <w:r w:rsidR="00054FF7" w:rsidRPr="00323CAE">
        <w:rPr>
          <w:sz w:val="27"/>
          <w:szCs w:val="27"/>
        </w:rPr>
        <w:t>Quy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chế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tạm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thời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Đại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học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dân</w:t>
      </w:r>
      <w:proofErr w:type="spellEnd"/>
      <w:r w:rsidR="00054FF7" w:rsidRPr="00323CAE">
        <w:rPr>
          <w:sz w:val="27"/>
          <w:szCs w:val="27"/>
        </w:rPr>
        <w:t xml:space="preserve"> </w:t>
      </w:r>
      <w:proofErr w:type="spellStart"/>
      <w:r w:rsidR="00054FF7" w:rsidRPr="00323CAE">
        <w:rPr>
          <w:sz w:val="27"/>
          <w:szCs w:val="27"/>
        </w:rPr>
        <w:t>lập</w:t>
      </w:r>
      <w:proofErr w:type="spellEnd"/>
      <w:r w:rsidR="00054FF7" w:rsidRPr="00323CAE">
        <w:rPr>
          <w:sz w:val="27"/>
          <w:szCs w:val="27"/>
        </w:rPr>
        <w:t xml:space="preserve">” </w:t>
      </w:r>
      <w:proofErr w:type="spellStart"/>
      <w:r w:rsidR="00054FF7" w:rsidRPr="00323CAE">
        <w:rPr>
          <w:sz w:val="27"/>
          <w:szCs w:val="27"/>
        </w:rPr>
        <w:t>năm</w:t>
      </w:r>
      <w:proofErr w:type="spellEnd"/>
      <w:r w:rsidR="00054FF7" w:rsidRPr="00323CAE">
        <w:rPr>
          <w:sz w:val="27"/>
          <w:szCs w:val="27"/>
        </w:rPr>
        <w:t xml:space="preserve"> 1994 do </w:t>
      </w:r>
      <w:proofErr w:type="spellStart"/>
      <w:r w:rsidR="0044071C" w:rsidRPr="00323CAE">
        <w:rPr>
          <w:sz w:val="27"/>
          <w:szCs w:val="27"/>
        </w:rPr>
        <w:t>Bộ</w:t>
      </w:r>
      <w:proofErr w:type="spellEnd"/>
      <w:r w:rsidR="0044071C" w:rsidRPr="00323CAE">
        <w:rPr>
          <w:sz w:val="27"/>
          <w:szCs w:val="27"/>
        </w:rPr>
        <w:t xml:space="preserve"> </w:t>
      </w:r>
      <w:proofErr w:type="spellStart"/>
      <w:r w:rsidR="0044071C" w:rsidRPr="00323CAE">
        <w:rPr>
          <w:sz w:val="27"/>
          <w:szCs w:val="27"/>
        </w:rPr>
        <w:t>trưởng</w:t>
      </w:r>
      <w:proofErr w:type="spellEnd"/>
      <w:r w:rsidR="0044071C" w:rsidRPr="00323CAE">
        <w:rPr>
          <w:sz w:val="27"/>
          <w:szCs w:val="27"/>
        </w:rPr>
        <w:t xml:space="preserve"> </w:t>
      </w:r>
      <w:proofErr w:type="spellStart"/>
      <w:r w:rsidR="0044071C" w:rsidRPr="00323CAE">
        <w:rPr>
          <w:sz w:val="27"/>
          <w:szCs w:val="27"/>
        </w:rPr>
        <w:t>Bộ</w:t>
      </w:r>
      <w:proofErr w:type="spellEnd"/>
      <w:r w:rsidR="0044071C" w:rsidRPr="00323CAE">
        <w:rPr>
          <w:sz w:val="27"/>
          <w:szCs w:val="27"/>
        </w:rPr>
        <w:t xml:space="preserve"> GD&amp;ĐT </w:t>
      </w:r>
      <w:r w:rsidR="00200221">
        <w:rPr>
          <w:sz w:val="27"/>
          <w:szCs w:val="27"/>
        </w:rPr>
        <w:t xml:space="preserve">ban </w:t>
      </w:r>
      <w:proofErr w:type="spellStart"/>
      <w:r w:rsidR="00200221">
        <w:rPr>
          <w:sz w:val="27"/>
          <w:szCs w:val="27"/>
        </w:rPr>
        <w:t>hành</w:t>
      </w:r>
      <w:proofErr w:type="spellEnd"/>
      <w:r w:rsidR="00200221">
        <w:rPr>
          <w:sz w:val="27"/>
          <w:szCs w:val="27"/>
        </w:rPr>
        <w:t>.</w:t>
      </w:r>
    </w:p>
    <w:p w:rsidR="00A7765E" w:rsidRPr="00323CAE" w:rsidRDefault="0044071C" w:rsidP="00003969">
      <w:pPr>
        <w:pStyle w:val="Normal1"/>
        <w:shd w:val="clear" w:color="auto" w:fill="FFFFFF"/>
        <w:spacing w:before="240" w:after="240" w:line="240" w:lineRule="auto"/>
        <w:jc w:val="both"/>
        <w:rPr>
          <w:color w:val="000000"/>
          <w:sz w:val="27"/>
          <w:szCs w:val="27"/>
        </w:rPr>
      </w:pPr>
      <w:r w:rsidRPr="00323CAE">
        <w:rPr>
          <w:sz w:val="27"/>
          <w:szCs w:val="27"/>
        </w:rPr>
        <w:t xml:space="preserve"> </w:t>
      </w:r>
      <w:r w:rsidR="00003969" w:rsidRPr="00323CAE">
        <w:rPr>
          <w:sz w:val="27"/>
          <w:szCs w:val="27"/>
        </w:rPr>
        <w:tab/>
        <w:t xml:space="preserve">2.2. </w:t>
      </w:r>
      <w:proofErr w:type="spellStart"/>
      <w:r w:rsidR="00A7765E" w:rsidRPr="00323CAE">
        <w:rPr>
          <w:i/>
          <w:color w:val="000000"/>
          <w:sz w:val="27"/>
          <w:szCs w:val="27"/>
        </w:rPr>
        <w:t>Các</w:t>
      </w:r>
      <w:proofErr w:type="spellEnd"/>
      <w:r w:rsidR="00A7765E" w:rsidRPr="00323CAE">
        <w:rPr>
          <w:i/>
          <w:color w:val="000000"/>
          <w:sz w:val="27"/>
          <w:szCs w:val="27"/>
        </w:rPr>
        <w:t xml:space="preserve"> </w:t>
      </w:r>
      <w:proofErr w:type="spellStart"/>
      <w:r w:rsidR="00A7765E" w:rsidRPr="00323CAE">
        <w:rPr>
          <w:i/>
          <w:color w:val="000000"/>
          <w:sz w:val="27"/>
          <w:szCs w:val="27"/>
        </w:rPr>
        <w:t>mô</w:t>
      </w:r>
      <w:proofErr w:type="spellEnd"/>
      <w:r w:rsidR="00A7765E" w:rsidRPr="00323CAE">
        <w:rPr>
          <w:i/>
          <w:color w:val="000000"/>
          <w:sz w:val="27"/>
          <w:szCs w:val="27"/>
        </w:rPr>
        <w:t xml:space="preserve"> </w:t>
      </w:r>
      <w:proofErr w:type="spellStart"/>
      <w:r w:rsidR="00A7765E" w:rsidRPr="00323CAE">
        <w:rPr>
          <w:i/>
          <w:color w:val="000000"/>
          <w:sz w:val="27"/>
          <w:szCs w:val="27"/>
        </w:rPr>
        <w:t>hình</w:t>
      </w:r>
      <w:proofErr w:type="spellEnd"/>
      <w:r w:rsidR="00A7765E" w:rsidRPr="00323CAE">
        <w:rPr>
          <w:i/>
          <w:color w:val="000000"/>
          <w:sz w:val="27"/>
          <w:szCs w:val="27"/>
        </w:rPr>
        <w:t xml:space="preserve"> </w:t>
      </w:r>
      <w:proofErr w:type="spellStart"/>
      <w:r w:rsidR="00A7765E" w:rsidRPr="00323CAE">
        <w:rPr>
          <w:i/>
          <w:color w:val="000000"/>
          <w:sz w:val="27"/>
          <w:szCs w:val="27"/>
        </w:rPr>
        <w:t>đại</w:t>
      </w:r>
      <w:proofErr w:type="spellEnd"/>
      <w:r w:rsidR="00A7765E" w:rsidRPr="00323CAE">
        <w:rPr>
          <w:i/>
          <w:color w:val="000000"/>
          <w:sz w:val="27"/>
          <w:szCs w:val="27"/>
        </w:rPr>
        <w:t xml:space="preserve"> </w:t>
      </w:r>
      <w:proofErr w:type="spellStart"/>
      <w:r w:rsidR="00A7765E" w:rsidRPr="00323CAE">
        <w:rPr>
          <w:i/>
          <w:color w:val="000000"/>
          <w:sz w:val="27"/>
          <w:szCs w:val="27"/>
        </w:rPr>
        <w:t>học</w:t>
      </w:r>
      <w:proofErr w:type="spellEnd"/>
      <w:r w:rsidR="00A7765E" w:rsidRPr="00323CAE">
        <w:rPr>
          <w:i/>
          <w:color w:val="000000"/>
          <w:sz w:val="27"/>
          <w:szCs w:val="27"/>
        </w:rPr>
        <w:t xml:space="preserve"> NCL</w:t>
      </w:r>
      <w:r w:rsidR="000B0BBB">
        <w:rPr>
          <w:i/>
          <w:color w:val="000000"/>
          <w:sz w:val="27"/>
          <w:szCs w:val="27"/>
        </w:rPr>
        <w:t xml:space="preserve"> </w:t>
      </w:r>
      <w:proofErr w:type="spellStart"/>
      <w:r w:rsidR="00A7765E" w:rsidRPr="00323CAE">
        <w:rPr>
          <w:i/>
          <w:color w:val="000000"/>
          <w:sz w:val="27"/>
          <w:szCs w:val="27"/>
        </w:rPr>
        <w:t>Việt</w:t>
      </w:r>
      <w:proofErr w:type="spellEnd"/>
      <w:r w:rsidR="00A7765E" w:rsidRPr="00323CAE">
        <w:rPr>
          <w:i/>
          <w:color w:val="000000"/>
          <w:sz w:val="27"/>
          <w:szCs w:val="27"/>
        </w:rPr>
        <w:t xml:space="preserve"> Nam </w:t>
      </w:r>
      <w:proofErr w:type="spellStart"/>
      <w:r w:rsidR="00A7765E" w:rsidRPr="00323CAE">
        <w:rPr>
          <w:i/>
          <w:color w:val="000000"/>
          <w:sz w:val="27"/>
          <w:szCs w:val="27"/>
        </w:rPr>
        <w:t>và</w:t>
      </w:r>
      <w:proofErr w:type="spellEnd"/>
      <w:r w:rsidR="00A7765E" w:rsidRPr="00323CAE">
        <w:rPr>
          <w:i/>
          <w:color w:val="000000"/>
          <w:sz w:val="27"/>
          <w:szCs w:val="27"/>
        </w:rPr>
        <w:t xml:space="preserve"> </w:t>
      </w:r>
      <w:proofErr w:type="spellStart"/>
      <w:r w:rsidR="00A7765E" w:rsidRPr="00323CAE">
        <w:rPr>
          <w:i/>
          <w:color w:val="000000"/>
          <w:sz w:val="27"/>
          <w:szCs w:val="27"/>
        </w:rPr>
        <w:t>đặc</w:t>
      </w:r>
      <w:proofErr w:type="spellEnd"/>
      <w:r w:rsidR="00A7765E" w:rsidRPr="00323CAE">
        <w:rPr>
          <w:i/>
          <w:color w:val="000000"/>
          <w:sz w:val="27"/>
          <w:szCs w:val="27"/>
        </w:rPr>
        <w:t xml:space="preserve"> </w:t>
      </w:r>
      <w:proofErr w:type="spellStart"/>
      <w:r w:rsidR="00A7765E" w:rsidRPr="00323CAE">
        <w:rPr>
          <w:i/>
          <w:color w:val="000000"/>
          <w:sz w:val="27"/>
          <w:szCs w:val="27"/>
        </w:rPr>
        <w:t>điểm</w:t>
      </w:r>
      <w:proofErr w:type="spellEnd"/>
      <w:r w:rsidR="00A7765E" w:rsidRPr="00323CAE">
        <w:rPr>
          <w:i/>
          <w:color w:val="000000"/>
          <w:sz w:val="27"/>
          <w:szCs w:val="27"/>
        </w:rPr>
        <w:t xml:space="preserve"> </w:t>
      </w:r>
      <w:proofErr w:type="spellStart"/>
      <w:r w:rsidR="00A7765E" w:rsidRPr="00323CAE">
        <w:rPr>
          <w:i/>
          <w:color w:val="000000"/>
          <w:sz w:val="27"/>
          <w:szCs w:val="27"/>
        </w:rPr>
        <w:t>của</w:t>
      </w:r>
      <w:proofErr w:type="spellEnd"/>
      <w:r w:rsidR="00A7765E" w:rsidRPr="00323CAE">
        <w:rPr>
          <w:i/>
          <w:color w:val="000000"/>
          <w:sz w:val="27"/>
          <w:szCs w:val="27"/>
        </w:rPr>
        <w:t xml:space="preserve"> </w:t>
      </w:r>
      <w:proofErr w:type="spellStart"/>
      <w:r w:rsidR="00A7765E" w:rsidRPr="00323CAE">
        <w:rPr>
          <w:i/>
          <w:color w:val="000000"/>
          <w:sz w:val="27"/>
          <w:szCs w:val="27"/>
        </w:rPr>
        <w:t>chúng</w:t>
      </w:r>
      <w:proofErr w:type="spellEnd"/>
    </w:p>
    <w:p w:rsidR="00323CAE" w:rsidRDefault="000341C1" w:rsidP="00323CAE">
      <w:pPr>
        <w:pStyle w:val="Normal1"/>
        <w:spacing w:before="240" w:after="240" w:line="240" w:lineRule="auto"/>
        <w:ind w:firstLine="7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Những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trương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cơ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chính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sách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của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Đảng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nước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phép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hình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thành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mô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hình</w:t>
      </w:r>
      <w:proofErr w:type="spellEnd"/>
      <w:r w:rsidR="00A7765E" w:rsidRPr="00323CAE">
        <w:rPr>
          <w:sz w:val="27"/>
          <w:szCs w:val="27"/>
        </w:rPr>
        <w:t xml:space="preserve"> ĐHDL </w:t>
      </w:r>
      <w:proofErr w:type="spellStart"/>
      <w:r w:rsidR="00A7765E" w:rsidRPr="00323CAE">
        <w:rPr>
          <w:sz w:val="27"/>
          <w:szCs w:val="27"/>
        </w:rPr>
        <w:t>và</w:t>
      </w:r>
      <w:proofErr w:type="spellEnd"/>
      <w:r w:rsidR="00A7765E" w:rsidRPr="00323CAE">
        <w:rPr>
          <w:sz w:val="27"/>
          <w:szCs w:val="27"/>
        </w:rPr>
        <w:t xml:space="preserve"> ĐHTT. </w:t>
      </w:r>
      <w:proofErr w:type="spellStart"/>
      <w:r>
        <w:rPr>
          <w:sz w:val="27"/>
          <w:szCs w:val="27"/>
        </w:rPr>
        <w:t>K</w:t>
      </w:r>
      <w:r w:rsidR="00A7765E" w:rsidRPr="00323CAE">
        <w:rPr>
          <w:sz w:val="27"/>
          <w:szCs w:val="27"/>
        </w:rPr>
        <w:t>hác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biệt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chính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giữa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hai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mô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hình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trên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200221">
        <w:rPr>
          <w:sz w:val="27"/>
          <w:szCs w:val="27"/>
        </w:rPr>
        <w:t>là</w:t>
      </w:r>
      <w:proofErr w:type="spellEnd"/>
      <w:r w:rsidR="00200221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cách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đầu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tư</w:t>
      </w:r>
      <w:proofErr w:type="spellEnd"/>
      <w:r w:rsidR="00A7765E" w:rsidRPr="00323CAE">
        <w:rPr>
          <w:sz w:val="27"/>
          <w:szCs w:val="27"/>
        </w:rPr>
        <w:t xml:space="preserve">, </w:t>
      </w:r>
      <w:proofErr w:type="spellStart"/>
      <w:r w:rsidR="00A7765E" w:rsidRPr="00323CAE">
        <w:rPr>
          <w:sz w:val="27"/>
          <w:szCs w:val="27"/>
        </w:rPr>
        <w:t>tính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chất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sở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hữu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và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nguyên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tắc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quản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trị</w:t>
      </w:r>
      <w:proofErr w:type="spellEnd"/>
      <w:r w:rsidR="00A7765E" w:rsidRPr="00323CAE">
        <w:rPr>
          <w:sz w:val="27"/>
          <w:szCs w:val="27"/>
        </w:rPr>
        <w:t xml:space="preserve"> </w:t>
      </w:r>
      <w:proofErr w:type="spellStart"/>
      <w:r w:rsidR="000C6ADD">
        <w:rPr>
          <w:sz w:val="27"/>
          <w:szCs w:val="27"/>
        </w:rPr>
        <w:t>được</w:t>
      </w:r>
      <w:proofErr w:type="spellEnd"/>
      <w:r w:rsidR="000C6ADD">
        <w:rPr>
          <w:sz w:val="27"/>
          <w:szCs w:val="27"/>
        </w:rPr>
        <w:t xml:space="preserve"> </w:t>
      </w:r>
      <w:proofErr w:type="spellStart"/>
      <w:r w:rsidR="000C6ADD">
        <w:rPr>
          <w:sz w:val="27"/>
          <w:szCs w:val="27"/>
        </w:rPr>
        <w:t>tóm</w:t>
      </w:r>
      <w:proofErr w:type="spellEnd"/>
      <w:r w:rsidR="000C6ADD">
        <w:rPr>
          <w:sz w:val="27"/>
          <w:szCs w:val="27"/>
        </w:rPr>
        <w:t xml:space="preserve"> </w:t>
      </w:r>
      <w:proofErr w:type="spellStart"/>
      <w:r w:rsidR="000C6ADD">
        <w:rPr>
          <w:sz w:val="27"/>
          <w:szCs w:val="27"/>
        </w:rPr>
        <w:t>tắt</w:t>
      </w:r>
      <w:proofErr w:type="spellEnd"/>
      <w:r w:rsidR="000C6ADD">
        <w:rPr>
          <w:sz w:val="27"/>
          <w:szCs w:val="27"/>
        </w:rPr>
        <w:t xml:space="preserve"> ở</w:t>
      </w:r>
      <w:r w:rsidR="00A7765E" w:rsidRPr="00323CAE">
        <w:rPr>
          <w:sz w:val="27"/>
          <w:szCs w:val="27"/>
        </w:rPr>
        <w:t xml:space="preserve"> </w:t>
      </w:r>
      <w:proofErr w:type="spellStart"/>
      <w:r w:rsidR="00A7765E" w:rsidRPr="00323CAE">
        <w:rPr>
          <w:sz w:val="27"/>
          <w:szCs w:val="27"/>
        </w:rPr>
        <w:t>Bảng</w:t>
      </w:r>
      <w:proofErr w:type="spellEnd"/>
      <w:r w:rsidR="00A7765E" w:rsidRPr="00323CAE">
        <w:rPr>
          <w:sz w:val="27"/>
          <w:szCs w:val="27"/>
        </w:rPr>
        <w:t xml:space="preserve"> 1.</w:t>
      </w:r>
    </w:p>
    <w:p w:rsidR="00A7765E" w:rsidRPr="00CA7BF8" w:rsidRDefault="00C53510" w:rsidP="00323CAE">
      <w:pPr>
        <w:pStyle w:val="Normal1"/>
        <w:spacing w:before="240" w:after="240" w:line="240" w:lineRule="auto"/>
        <w:ind w:firstLine="720"/>
        <w:jc w:val="both"/>
        <w:rPr>
          <w:sz w:val="26"/>
          <w:szCs w:val="26"/>
        </w:rPr>
      </w:pPr>
      <w:r w:rsidRPr="00323CAE">
        <w:rPr>
          <w:sz w:val="27"/>
          <w:szCs w:val="27"/>
        </w:rPr>
        <w:t xml:space="preserve">   </w:t>
      </w:r>
      <w:proofErr w:type="spellStart"/>
      <w:r w:rsidR="00A7765E" w:rsidRPr="00CA7BF8">
        <w:rPr>
          <w:sz w:val="26"/>
          <w:szCs w:val="26"/>
        </w:rPr>
        <w:t>Bảng</w:t>
      </w:r>
      <w:proofErr w:type="spellEnd"/>
      <w:r w:rsidR="00A7765E" w:rsidRPr="00CA7BF8">
        <w:rPr>
          <w:sz w:val="26"/>
          <w:szCs w:val="26"/>
        </w:rPr>
        <w:t xml:space="preserve"> 1. </w:t>
      </w:r>
      <w:proofErr w:type="spellStart"/>
      <w:r w:rsidR="00A7765E" w:rsidRPr="00CA7BF8">
        <w:rPr>
          <w:sz w:val="26"/>
          <w:szCs w:val="26"/>
        </w:rPr>
        <w:t>Sự</w:t>
      </w:r>
      <w:proofErr w:type="spellEnd"/>
      <w:r w:rsidR="00A7765E" w:rsidRPr="00CA7BF8">
        <w:rPr>
          <w:sz w:val="26"/>
          <w:szCs w:val="26"/>
        </w:rPr>
        <w:t xml:space="preserve"> </w:t>
      </w:r>
      <w:proofErr w:type="spellStart"/>
      <w:r w:rsidR="00A7765E" w:rsidRPr="00CA7BF8">
        <w:rPr>
          <w:sz w:val="26"/>
          <w:szCs w:val="26"/>
        </w:rPr>
        <w:t>khác</w:t>
      </w:r>
      <w:proofErr w:type="spellEnd"/>
      <w:r w:rsidR="00A7765E" w:rsidRPr="00CA7BF8">
        <w:rPr>
          <w:sz w:val="26"/>
          <w:szCs w:val="26"/>
        </w:rPr>
        <w:t xml:space="preserve"> </w:t>
      </w:r>
      <w:proofErr w:type="spellStart"/>
      <w:r w:rsidR="00A7765E" w:rsidRPr="00CA7BF8">
        <w:rPr>
          <w:sz w:val="26"/>
          <w:szCs w:val="26"/>
        </w:rPr>
        <w:t>biệt</w:t>
      </w:r>
      <w:proofErr w:type="spellEnd"/>
      <w:r w:rsidR="00A7765E" w:rsidRPr="00CA7BF8">
        <w:rPr>
          <w:sz w:val="26"/>
          <w:szCs w:val="26"/>
        </w:rPr>
        <w:t xml:space="preserve"> </w:t>
      </w:r>
      <w:proofErr w:type="spellStart"/>
      <w:r w:rsidR="00A7765E" w:rsidRPr="00CA7BF8">
        <w:rPr>
          <w:sz w:val="26"/>
          <w:szCs w:val="26"/>
        </w:rPr>
        <w:t>giữa</w:t>
      </w:r>
      <w:proofErr w:type="spellEnd"/>
      <w:r w:rsidR="00A7765E" w:rsidRPr="00CA7BF8">
        <w:rPr>
          <w:sz w:val="26"/>
          <w:szCs w:val="26"/>
        </w:rPr>
        <w:t xml:space="preserve"> </w:t>
      </w:r>
      <w:proofErr w:type="spellStart"/>
      <w:r w:rsidR="00A7765E" w:rsidRPr="00CA7BF8">
        <w:rPr>
          <w:sz w:val="26"/>
          <w:szCs w:val="26"/>
        </w:rPr>
        <w:t>mô</w:t>
      </w:r>
      <w:proofErr w:type="spellEnd"/>
      <w:r w:rsidR="00A7765E" w:rsidRPr="00CA7BF8">
        <w:rPr>
          <w:sz w:val="26"/>
          <w:szCs w:val="26"/>
        </w:rPr>
        <w:t xml:space="preserve"> </w:t>
      </w:r>
      <w:proofErr w:type="spellStart"/>
      <w:r w:rsidR="00A7765E" w:rsidRPr="00CA7BF8">
        <w:rPr>
          <w:sz w:val="26"/>
          <w:szCs w:val="26"/>
        </w:rPr>
        <w:t>hình</w:t>
      </w:r>
      <w:proofErr w:type="spellEnd"/>
      <w:r w:rsidR="00A7765E" w:rsidRPr="00CA7BF8">
        <w:rPr>
          <w:sz w:val="26"/>
          <w:szCs w:val="26"/>
        </w:rPr>
        <w:t xml:space="preserve"> ĐHDL </w:t>
      </w:r>
      <w:proofErr w:type="spellStart"/>
      <w:r w:rsidR="00A7765E" w:rsidRPr="00CA7BF8">
        <w:rPr>
          <w:sz w:val="26"/>
          <w:szCs w:val="26"/>
        </w:rPr>
        <w:t>với</w:t>
      </w:r>
      <w:proofErr w:type="spellEnd"/>
      <w:r w:rsidR="00A7765E" w:rsidRPr="00CA7BF8">
        <w:rPr>
          <w:sz w:val="26"/>
          <w:szCs w:val="26"/>
        </w:rPr>
        <w:t xml:space="preserve"> </w:t>
      </w:r>
      <w:proofErr w:type="spellStart"/>
      <w:r w:rsidR="00A7765E" w:rsidRPr="00CA7BF8">
        <w:rPr>
          <w:sz w:val="26"/>
          <w:szCs w:val="26"/>
        </w:rPr>
        <w:t>mô</w:t>
      </w:r>
      <w:proofErr w:type="spellEnd"/>
      <w:r w:rsidR="00A7765E" w:rsidRPr="00CA7BF8">
        <w:rPr>
          <w:sz w:val="26"/>
          <w:szCs w:val="26"/>
        </w:rPr>
        <w:t xml:space="preserve"> </w:t>
      </w:r>
      <w:proofErr w:type="spellStart"/>
      <w:r w:rsidR="00A7765E" w:rsidRPr="00CA7BF8">
        <w:rPr>
          <w:sz w:val="26"/>
          <w:szCs w:val="26"/>
        </w:rPr>
        <w:t>hình</w:t>
      </w:r>
      <w:proofErr w:type="spellEnd"/>
      <w:r w:rsidR="00A7765E" w:rsidRPr="00CA7BF8">
        <w:rPr>
          <w:sz w:val="26"/>
          <w:szCs w:val="26"/>
        </w:rPr>
        <w:t xml:space="preserve"> ĐHTT</w:t>
      </w:r>
    </w:p>
    <w:tbl>
      <w:tblPr>
        <w:tblW w:w="892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441"/>
        <w:gridCol w:w="3208"/>
        <w:gridCol w:w="3810"/>
      </w:tblGrid>
      <w:tr w:rsidR="00A7765E" w:rsidRPr="000C6ADD" w:rsidTr="00A7765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center"/>
            </w:pPr>
            <w:proofErr w:type="spellStart"/>
            <w:r w:rsidRPr="000C6ADD">
              <w:t>Tiêu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chí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center"/>
            </w:pPr>
            <w:proofErr w:type="spellStart"/>
            <w:r w:rsidRPr="000C6ADD">
              <w:t>Mô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hình</w:t>
            </w:r>
            <w:proofErr w:type="spellEnd"/>
            <w:r w:rsidRPr="000C6ADD">
              <w:t xml:space="preserve"> ĐHDL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center"/>
            </w:pPr>
            <w:proofErr w:type="spellStart"/>
            <w:r w:rsidRPr="000C6ADD">
              <w:t>Mô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hình</w:t>
            </w:r>
            <w:proofErr w:type="spellEnd"/>
            <w:r w:rsidRPr="000C6ADD">
              <w:t xml:space="preserve"> ĐHTT</w:t>
            </w:r>
          </w:p>
        </w:tc>
      </w:tr>
      <w:tr w:rsidR="00A7765E" w:rsidRPr="000C6ADD" w:rsidTr="00A7765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r w:rsidRPr="000C6ADD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</w:pPr>
            <w:proofErr w:type="spellStart"/>
            <w:r w:rsidRPr="000C6ADD">
              <w:t>Đặc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điểm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huy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động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vốn</w:t>
            </w:r>
            <w:proofErr w:type="spellEnd"/>
            <w:r w:rsidRPr="000C6ADD"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Huy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động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vốn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có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điều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kiện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của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cá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nhân</w:t>
            </w:r>
            <w:proofErr w:type="spellEnd"/>
            <w:r w:rsidRPr="000C6ADD">
              <w:t xml:space="preserve">, </w:t>
            </w:r>
            <w:proofErr w:type="spellStart"/>
            <w:r w:rsidRPr="000C6ADD">
              <w:t>tổ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chức</w:t>
            </w:r>
            <w:proofErr w:type="spellEnd"/>
            <w:r w:rsidRPr="000C6ADD">
              <w:t xml:space="preserve"> (</w:t>
            </w:r>
            <w:proofErr w:type="spellStart"/>
            <w:r w:rsidRPr="000C6ADD">
              <w:t>vay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vốn</w:t>
            </w:r>
            <w:proofErr w:type="spellEnd"/>
            <w:r w:rsidRPr="000C6ADD">
              <w:t>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Đầu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tư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theo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phần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vốn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góp</w:t>
            </w:r>
            <w:proofErr w:type="spellEnd"/>
            <w:r w:rsidRPr="000C6ADD">
              <w:t xml:space="preserve"> (</w:t>
            </w:r>
            <w:proofErr w:type="spellStart"/>
            <w:r w:rsidRPr="000C6ADD">
              <w:t>theo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kiểu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đầu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tư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vào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doanh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nghi</w:t>
            </w:r>
            <w:r w:rsidRPr="000C6ADD">
              <w:rPr>
                <w:color w:val="FF0000"/>
              </w:rPr>
              <w:t>ệ</w:t>
            </w:r>
            <w:r w:rsidRPr="000C6ADD">
              <w:t>p</w:t>
            </w:r>
            <w:proofErr w:type="spellEnd"/>
            <w:r w:rsidRPr="000C6ADD">
              <w:t>).</w:t>
            </w:r>
          </w:p>
        </w:tc>
      </w:tr>
      <w:tr w:rsidR="00A7765E" w:rsidRPr="000C6ADD" w:rsidTr="00A7765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r w:rsidRPr="000C6ADD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Sở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hữu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Sở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hữu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tập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thể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đối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với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vốn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được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huy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động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và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tài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sản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tăng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lên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trong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quá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trình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hoạt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động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của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nhà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trường</w:t>
            </w:r>
            <w:proofErr w:type="spellEnd"/>
            <w:r w:rsidRPr="000C6ADD">
              <w:t>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Sở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hữu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tư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nhân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đối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với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phần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vốn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góp</w:t>
            </w:r>
            <w:proofErr w:type="spellEnd"/>
            <w:r w:rsidRPr="000C6ADD">
              <w:t xml:space="preserve">; </w:t>
            </w:r>
            <w:proofErr w:type="spellStart"/>
            <w:r w:rsidRPr="000C6ADD">
              <w:t>sở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hữu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chung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không</w:t>
            </w:r>
            <w:proofErr w:type="spellEnd"/>
            <w:r w:rsidRPr="000C6ADD">
              <w:t xml:space="preserve"> chia </w:t>
            </w:r>
            <w:proofErr w:type="spellStart"/>
            <w:r w:rsidRPr="000C6ADD">
              <w:t>đối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với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tài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sản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tăng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trong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quá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trình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hoạt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động</w:t>
            </w:r>
            <w:proofErr w:type="spellEnd"/>
            <w:r w:rsidRPr="000C6ADD">
              <w:t xml:space="preserve"> (</w:t>
            </w:r>
            <w:proofErr w:type="spellStart"/>
            <w:r w:rsidRPr="000C6ADD">
              <w:t>kể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cả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ít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nhất</w:t>
            </w:r>
            <w:proofErr w:type="spellEnd"/>
            <w:r w:rsidRPr="000C6ADD">
              <w:t xml:space="preserve"> 25% </w:t>
            </w:r>
            <w:proofErr w:type="spellStart"/>
            <w:r w:rsidRPr="000C6ADD">
              <w:t>chênh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lệch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thu</w:t>
            </w:r>
            <w:proofErr w:type="spellEnd"/>
            <w:r w:rsidRPr="000C6ADD">
              <w:t xml:space="preserve"> chi </w:t>
            </w:r>
            <w:proofErr w:type="spellStart"/>
            <w:r w:rsidRPr="000C6ADD">
              <w:t>trước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thuế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và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nhập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khác</w:t>
            </w:r>
            <w:proofErr w:type="spellEnd"/>
            <w:r w:rsidRPr="000C6ADD">
              <w:t xml:space="preserve">). </w:t>
            </w:r>
          </w:p>
        </w:tc>
      </w:tr>
      <w:tr w:rsidR="00A7765E" w:rsidRPr="000C6ADD" w:rsidTr="00A7765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r w:rsidRPr="000C6ADD"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Quản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trị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Đối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nhân</w:t>
            </w:r>
            <w:proofErr w:type="spellEnd"/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Pha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trộn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đối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vốn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với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đối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nhân</w:t>
            </w:r>
            <w:proofErr w:type="spellEnd"/>
            <w:r w:rsidRPr="000C6ADD">
              <w:t xml:space="preserve"> </w:t>
            </w:r>
          </w:p>
        </w:tc>
      </w:tr>
      <w:tr w:rsidR="00A7765E" w:rsidRPr="000C6ADD" w:rsidTr="00A7765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r w:rsidRPr="000C6ADD"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</w:pPr>
            <w:proofErr w:type="spellStart"/>
            <w:r w:rsidRPr="000C6ADD">
              <w:t>Hạch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toán</w:t>
            </w:r>
            <w:proofErr w:type="spellEnd"/>
            <w:r w:rsidRPr="000C6ADD"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 w:rsidP="000C6ADD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Lãi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suất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tính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vào</w:t>
            </w:r>
            <w:proofErr w:type="spellEnd"/>
            <w:r w:rsidRPr="000C6ADD">
              <w:t xml:space="preserve"> chi </w:t>
            </w:r>
            <w:proofErr w:type="spellStart"/>
            <w:r w:rsidRPr="000C6ADD">
              <w:t>phí</w:t>
            </w:r>
            <w:proofErr w:type="spellEnd"/>
            <w:r w:rsidRPr="000C6ADD">
              <w:rPr>
                <w:vertAlign w:val="superscript"/>
              </w:rPr>
              <w:footnoteReference w:id="1"/>
            </w:r>
            <w:r w:rsidR="00A32F94">
              <w:t xml:space="preserve"> [3]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Hạch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toán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theo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cơ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chế</w:t>
            </w:r>
            <w:proofErr w:type="spellEnd"/>
            <w:r w:rsidRPr="000C6ADD">
              <w:t xml:space="preserve"> DN</w:t>
            </w:r>
          </w:p>
        </w:tc>
      </w:tr>
      <w:tr w:rsidR="00A7765E" w:rsidRPr="000C6ADD" w:rsidTr="00A7765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r w:rsidRPr="000C6ADD"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</w:pPr>
            <w:proofErr w:type="spellStart"/>
            <w:r w:rsidRPr="000C6ADD">
              <w:t>Quyền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lợi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nhà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đầu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tư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Nhận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lãi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theo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điều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kiện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huy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động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vốn</w:t>
            </w:r>
            <w:proofErr w:type="spellEnd"/>
            <w:r w:rsidRPr="000C6ADD">
              <w:t xml:space="preserve">;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Nhận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lợi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tức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sau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thuế</w:t>
            </w:r>
            <w:proofErr w:type="spellEnd"/>
            <w:r w:rsidRPr="000C6ADD">
              <w:t xml:space="preserve">; </w:t>
            </w:r>
            <w:proofErr w:type="spellStart"/>
            <w:r w:rsidRPr="000C6ADD">
              <w:t>phụ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thuộc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vào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hiệu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quả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hoạt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động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của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nhà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trường</w:t>
            </w:r>
            <w:proofErr w:type="spellEnd"/>
            <w:r w:rsidRPr="000C6ADD">
              <w:t>.</w:t>
            </w:r>
          </w:p>
        </w:tc>
      </w:tr>
      <w:tr w:rsidR="00A7765E" w:rsidRPr="000C6ADD" w:rsidTr="00A7765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r w:rsidRPr="000C6ADD"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</w:pPr>
            <w:proofErr w:type="spellStart"/>
            <w:r w:rsidRPr="000C6ADD">
              <w:t>Trách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nhiệm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nhà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đầu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tư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Không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chịu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trách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nhiệm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về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các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khoản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nợ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và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nghĩa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vụ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tài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sản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khác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của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trường</w:t>
            </w:r>
            <w:proofErr w:type="spellEnd"/>
            <w:r w:rsidRPr="000C6ADD">
              <w:t>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65E" w:rsidRPr="000C6ADD" w:rsidRDefault="00A7765E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C6ADD">
              <w:t>Chịu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trách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nhiệm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về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các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khoản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nợ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và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nghĩa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vụ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tài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sản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khác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của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trường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theo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phần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vốn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góp</w:t>
            </w:r>
            <w:proofErr w:type="spellEnd"/>
            <w:r w:rsidRPr="000C6ADD">
              <w:t xml:space="preserve">; </w:t>
            </w:r>
            <w:proofErr w:type="spellStart"/>
            <w:r w:rsidRPr="000C6ADD">
              <w:t>có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thể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chịu</w:t>
            </w:r>
            <w:proofErr w:type="spellEnd"/>
            <w:r w:rsidRPr="000C6ADD">
              <w:t xml:space="preserve"> </w:t>
            </w:r>
            <w:proofErr w:type="spellStart"/>
            <w:r w:rsidRPr="000C6ADD">
              <w:t>rủi</w:t>
            </w:r>
            <w:proofErr w:type="spellEnd"/>
            <w:r w:rsidRPr="000C6ADD">
              <w:t xml:space="preserve"> </w:t>
            </w:r>
            <w:proofErr w:type="spellStart"/>
            <w:r w:rsidRPr="000C6ADD">
              <w:rPr>
                <w:color w:val="FF0000"/>
              </w:rPr>
              <w:t>r</w:t>
            </w:r>
            <w:r w:rsidRPr="000C6ADD">
              <w:t>o</w:t>
            </w:r>
            <w:proofErr w:type="spellEnd"/>
            <w:r w:rsidRPr="000C6ADD">
              <w:t xml:space="preserve"> </w:t>
            </w:r>
          </w:p>
        </w:tc>
      </w:tr>
      <w:tr w:rsidR="001C4F67" w:rsidRPr="000C6ADD" w:rsidTr="00A7765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67" w:rsidRPr="000B0BBB" w:rsidRDefault="001C4F67">
            <w:pPr>
              <w:pStyle w:val="Normal1"/>
              <w:spacing w:before="120" w:after="120" w:line="240" w:lineRule="auto"/>
              <w:jc w:val="both"/>
            </w:pPr>
            <w:r w:rsidRPr="000B0BBB"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67" w:rsidRPr="000B0BBB" w:rsidRDefault="001C4F67" w:rsidP="000B0BBB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B0BBB">
              <w:t>Tài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sản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tích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lũy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67" w:rsidRPr="000B0BBB" w:rsidRDefault="001C4F67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B0BBB">
              <w:t>Là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của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tập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thể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nhà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trường</w:t>
            </w:r>
            <w:proofErr w:type="spellEnd"/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67" w:rsidRPr="000B0BBB" w:rsidRDefault="001C4F67" w:rsidP="001C4F67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0B0BBB">
              <w:t>Trước</w:t>
            </w:r>
            <w:proofErr w:type="spellEnd"/>
            <w:r w:rsidRPr="000B0BBB">
              <w:t xml:space="preserve"> 2012: </w:t>
            </w:r>
            <w:proofErr w:type="spellStart"/>
            <w:r w:rsidRPr="000B0BBB">
              <w:t>của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tư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nhân</w:t>
            </w:r>
            <w:proofErr w:type="spellEnd"/>
            <w:r w:rsidRPr="000B0BBB">
              <w:t xml:space="preserve">; </w:t>
            </w:r>
            <w:proofErr w:type="spellStart"/>
            <w:r w:rsidRPr="000B0BBB">
              <w:t>Từ</w:t>
            </w:r>
            <w:proofErr w:type="spellEnd"/>
            <w:r w:rsidRPr="000B0BBB">
              <w:t xml:space="preserve"> 2013 </w:t>
            </w:r>
            <w:proofErr w:type="spellStart"/>
            <w:r w:rsidRPr="000B0BBB">
              <w:t>đến</w:t>
            </w:r>
            <w:proofErr w:type="spellEnd"/>
            <w:r w:rsidRPr="000B0BBB">
              <w:t xml:space="preserve"> 2018: </w:t>
            </w:r>
            <w:proofErr w:type="spellStart"/>
            <w:r w:rsidRPr="000B0BBB">
              <w:t>của</w:t>
            </w:r>
            <w:proofErr w:type="spellEnd"/>
            <w:r w:rsidRPr="000B0BBB">
              <w:t xml:space="preserve"> </w:t>
            </w:r>
            <w:proofErr w:type="spellStart"/>
            <w:r w:rsidRPr="000B0BBB">
              <w:t>chung</w:t>
            </w:r>
            <w:proofErr w:type="spellEnd"/>
          </w:p>
        </w:tc>
      </w:tr>
    </w:tbl>
    <w:p w:rsidR="00A7765E" w:rsidRPr="00C82C28" w:rsidRDefault="00A7765E" w:rsidP="00293E84">
      <w:pPr>
        <w:spacing w:after="0" w:line="240" w:lineRule="auto"/>
        <w:rPr>
          <w:sz w:val="26"/>
          <w:szCs w:val="26"/>
        </w:rPr>
      </w:pPr>
      <w:r w:rsidRPr="000C6ADD">
        <w:rPr>
          <w:b/>
          <w:i/>
          <w:sz w:val="26"/>
          <w:szCs w:val="26"/>
        </w:rPr>
        <w:lastRenderedPageBreak/>
        <w:t xml:space="preserve">    </w:t>
      </w:r>
      <w:r w:rsidRPr="000C6ADD">
        <w:rPr>
          <w:b/>
          <w:i/>
          <w:sz w:val="26"/>
          <w:szCs w:val="26"/>
        </w:rPr>
        <w:tab/>
      </w:r>
      <w:r w:rsidRPr="000C6ADD">
        <w:rPr>
          <w:sz w:val="26"/>
          <w:szCs w:val="26"/>
        </w:rPr>
        <w:t xml:space="preserve"> </w:t>
      </w:r>
      <w:proofErr w:type="gramStart"/>
      <w:r w:rsidR="00CA7BF8">
        <w:rPr>
          <w:i/>
          <w:sz w:val="26"/>
          <w:szCs w:val="26"/>
        </w:rPr>
        <w:t xml:space="preserve">2.3  </w:t>
      </w:r>
      <w:proofErr w:type="spellStart"/>
      <w:r w:rsidR="00CA7BF8">
        <w:rPr>
          <w:i/>
          <w:sz w:val="26"/>
          <w:szCs w:val="26"/>
        </w:rPr>
        <w:t>Tác</w:t>
      </w:r>
      <w:proofErr w:type="spellEnd"/>
      <w:proofErr w:type="gramEnd"/>
      <w:r w:rsidR="00CA7BF8">
        <w:rPr>
          <w:i/>
          <w:sz w:val="26"/>
          <w:szCs w:val="26"/>
        </w:rPr>
        <w:t xml:space="preserve"> </w:t>
      </w:r>
      <w:proofErr w:type="spellStart"/>
      <w:r w:rsidR="00CA7BF8">
        <w:rPr>
          <w:i/>
          <w:sz w:val="26"/>
          <w:szCs w:val="26"/>
        </w:rPr>
        <w:t>động</w:t>
      </w:r>
      <w:proofErr w:type="spellEnd"/>
      <w:r w:rsidR="00CA7BF8">
        <w:rPr>
          <w:i/>
          <w:sz w:val="26"/>
          <w:szCs w:val="26"/>
        </w:rPr>
        <w:t xml:space="preserve"> </w:t>
      </w:r>
      <w:proofErr w:type="spellStart"/>
      <w:r w:rsidR="00CA7BF8">
        <w:rPr>
          <w:i/>
          <w:sz w:val="26"/>
          <w:szCs w:val="26"/>
        </w:rPr>
        <w:t>tích</w:t>
      </w:r>
      <w:proofErr w:type="spellEnd"/>
      <w:r w:rsidR="00CA7BF8">
        <w:rPr>
          <w:i/>
          <w:sz w:val="26"/>
          <w:szCs w:val="26"/>
        </w:rPr>
        <w:t xml:space="preserve"> </w:t>
      </w:r>
      <w:proofErr w:type="spellStart"/>
      <w:r w:rsidR="00CA7BF8">
        <w:rPr>
          <w:i/>
          <w:sz w:val="26"/>
          <w:szCs w:val="26"/>
        </w:rPr>
        <w:t>cực</w:t>
      </w:r>
      <w:proofErr w:type="spellEnd"/>
      <w:r w:rsidR="00CA7BF8">
        <w:rPr>
          <w:i/>
          <w:sz w:val="26"/>
          <w:szCs w:val="26"/>
        </w:rPr>
        <w:t xml:space="preserve"> </w:t>
      </w:r>
      <w:proofErr w:type="spellStart"/>
      <w:r w:rsidR="00CA7BF8">
        <w:rPr>
          <w:i/>
          <w:sz w:val="26"/>
          <w:szCs w:val="26"/>
        </w:rPr>
        <w:t>của</w:t>
      </w:r>
      <w:proofErr w:type="spellEnd"/>
      <w:r w:rsidR="00CA7BF8">
        <w:rPr>
          <w:i/>
          <w:sz w:val="26"/>
          <w:szCs w:val="26"/>
        </w:rPr>
        <w:t xml:space="preserve"> </w:t>
      </w:r>
      <w:proofErr w:type="spellStart"/>
      <w:r w:rsidR="00CA7BF8">
        <w:rPr>
          <w:i/>
          <w:sz w:val="26"/>
          <w:szCs w:val="26"/>
        </w:rPr>
        <w:t>cơ</w:t>
      </w:r>
      <w:proofErr w:type="spellEnd"/>
      <w:r w:rsidR="00CA7BF8">
        <w:rPr>
          <w:i/>
          <w:sz w:val="26"/>
          <w:szCs w:val="26"/>
        </w:rPr>
        <w:t xml:space="preserve"> </w:t>
      </w:r>
      <w:proofErr w:type="spellStart"/>
      <w:r w:rsidR="00CA7BF8">
        <w:rPr>
          <w:i/>
          <w:sz w:val="26"/>
          <w:szCs w:val="26"/>
        </w:rPr>
        <w:t>chế</w:t>
      </w:r>
      <w:proofErr w:type="spellEnd"/>
      <w:r w:rsidR="00CA7BF8">
        <w:rPr>
          <w:i/>
          <w:sz w:val="26"/>
          <w:szCs w:val="26"/>
        </w:rPr>
        <w:t xml:space="preserve"> </w:t>
      </w:r>
      <w:proofErr w:type="spellStart"/>
      <w:r w:rsidR="00CA7BF8">
        <w:rPr>
          <w:i/>
          <w:sz w:val="26"/>
          <w:szCs w:val="26"/>
        </w:rPr>
        <w:t>ch</w:t>
      </w:r>
      <w:r w:rsidR="001610B5">
        <w:rPr>
          <w:i/>
          <w:sz w:val="26"/>
          <w:szCs w:val="26"/>
        </w:rPr>
        <w:t>ính</w:t>
      </w:r>
      <w:proofErr w:type="spellEnd"/>
      <w:r w:rsidR="001610B5">
        <w:rPr>
          <w:i/>
          <w:sz w:val="26"/>
          <w:szCs w:val="26"/>
        </w:rPr>
        <w:t xml:space="preserve"> </w:t>
      </w:r>
      <w:proofErr w:type="spellStart"/>
      <w:r w:rsidR="00CA7BF8">
        <w:rPr>
          <w:i/>
          <w:sz w:val="26"/>
          <w:szCs w:val="26"/>
        </w:rPr>
        <w:t>sách</w:t>
      </w:r>
      <w:proofErr w:type="spellEnd"/>
      <w:r w:rsidR="00C53510" w:rsidRPr="00C82C28">
        <w:rPr>
          <w:i/>
          <w:sz w:val="26"/>
          <w:szCs w:val="26"/>
        </w:rPr>
        <w:t xml:space="preserve"> </w:t>
      </w:r>
      <w:r w:rsidRPr="00C82C28">
        <w:rPr>
          <w:i/>
          <w:sz w:val="26"/>
          <w:szCs w:val="26"/>
        </w:rPr>
        <w:t xml:space="preserve"> </w:t>
      </w:r>
    </w:p>
    <w:p w:rsidR="00A7765E" w:rsidRPr="00C82C28" w:rsidRDefault="00A7765E" w:rsidP="00A7765E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6"/>
          <w:szCs w:val="26"/>
        </w:rPr>
      </w:pPr>
      <w:r w:rsidRPr="00C82C28">
        <w:rPr>
          <w:i/>
          <w:sz w:val="26"/>
          <w:szCs w:val="26"/>
        </w:rPr>
        <w:t xml:space="preserve">- </w:t>
      </w:r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</w:t>
      </w:r>
      <w:r w:rsidR="00293E84">
        <w:rPr>
          <w:sz w:val="26"/>
          <w:szCs w:val="26"/>
        </w:rPr>
        <w:t>húc</w:t>
      </w:r>
      <w:proofErr w:type="spellEnd"/>
      <w:r w:rsidR="00293E84">
        <w:rPr>
          <w:sz w:val="26"/>
          <w:szCs w:val="26"/>
        </w:rPr>
        <w:t xml:space="preserve"> </w:t>
      </w:r>
      <w:proofErr w:type="spellStart"/>
      <w:r w:rsidR="00293E84">
        <w:rPr>
          <w:sz w:val="26"/>
          <w:szCs w:val="26"/>
        </w:rPr>
        <w:t>đẩy</w:t>
      </w:r>
      <w:proofErr w:type="spellEnd"/>
      <w:r w:rsidR="00293E84">
        <w:rPr>
          <w:sz w:val="26"/>
          <w:szCs w:val="26"/>
        </w:rPr>
        <w:t xml:space="preserve"> </w:t>
      </w:r>
      <w:proofErr w:type="spellStart"/>
      <w:r w:rsidR="00293E84">
        <w:rPr>
          <w:sz w:val="26"/>
          <w:szCs w:val="26"/>
        </w:rPr>
        <w:t>sự</w:t>
      </w:r>
      <w:proofErr w:type="spellEnd"/>
      <w:r w:rsidR="00293E84">
        <w:rPr>
          <w:sz w:val="26"/>
          <w:szCs w:val="26"/>
        </w:rPr>
        <w:t xml:space="preserve"> </w:t>
      </w:r>
      <w:r w:rsidR="00C53510" w:rsidRPr="00C82C28">
        <w:rPr>
          <w:sz w:val="26"/>
          <w:szCs w:val="26"/>
        </w:rPr>
        <w:t xml:space="preserve">ra </w:t>
      </w:r>
      <w:proofErr w:type="spellStart"/>
      <w:r w:rsidR="00C53510" w:rsidRPr="00C82C28">
        <w:rPr>
          <w:sz w:val="26"/>
          <w:szCs w:val="26"/>
        </w:rPr>
        <w:t>đời</w:t>
      </w:r>
      <w:proofErr w:type="spellEnd"/>
      <w:r w:rsidR="00C53510" w:rsidRPr="00C82C28">
        <w:rPr>
          <w:sz w:val="26"/>
          <w:szCs w:val="26"/>
        </w:rPr>
        <w:t xml:space="preserve"> </w:t>
      </w:r>
      <w:proofErr w:type="spellStart"/>
      <w:r w:rsidR="00293E84">
        <w:rPr>
          <w:sz w:val="26"/>
          <w:szCs w:val="26"/>
        </w:rPr>
        <w:t>các</w:t>
      </w:r>
      <w:proofErr w:type="spellEnd"/>
      <w:r w:rsidR="00293E84">
        <w:rPr>
          <w:sz w:val="26"/>
          <w:szCs w:val="26"/>
        </w:rPr>
        <w:t xml:space="preserve"> </w:t>
      </w:r>
      <w:proofErr w:type="spellStart"/>
      <w:r w:rsidR="00C53510" w:rsidRPr="00C82C28">
        <w:rPr>
          <w:sz w:val="26"/>
          <w:szCs w:val="26"/>
        </w:rPr>
        <w:t>cơ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sở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giáo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dục</w:t>
      </w:r>
      <w:proofErr w:type="spellEnd"/>
      <w:r w:rsidR="00C53510" w:rsidRPr="00C82C28">
        <w:rPr>
          <w:sz w:val="26"/>
          <w:szCs w:val="26"/>
        </w:rPr>
        <w:t xml:space="preserve"> </w:t>
      </w:r>
      <w:proofErr w:type="spellStart"/>
      <w:r w:rsidR="00C53510" w:rsidRPr="00C82C28">
        <w:rPr>
          <w:sz w:val="26"/>
          <w:szCs w:val="26"/>
        </w:rPr>
        <w:t>đại</w:t>
      </w:r>
      <w:proofErr w:type="spellEnd"/>
      <w:r w:rsidR="00C53510" w:rsidRPr="00C82C28">
        <w:rPr>
          <w:sz w:val="26"/>
          <w:szCs w:val="26"/>
        </w:rPr>
        <w:t xml:space="preserve"> </w:t>
      </w:r>
      <w:proofErr w:type="spellStart"/>
      <w:r w:rsidR="00C53510" w:rsidRPr="00C82C28">
        <w:rPr>
          <w:sz w:val="26"/>
          <w:szCs w:val="26"/>
        </w:rPr>
        <w:t>học</w:t>
      </w:r>
      <w:proofErr w:type="spellEnd"/>
      <w:r w:rsidR="00C53510" w:rsidRPr="00C82C28">
        <w:rPr>
          <w:sz w:val="26"/>
          <w:szCs w:val="26"/>
        </w:rPr>
        <w:t xml:space="preserve"> NCL </w:t>
      </w:r>
    </w:p>
    <w:p w:rsidR="00A7765E" w:rsidRPr="00C82C28" w:rsidRDefault="00A7765E" w:rsidP="00A776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i/>
          <w:color w:val="000000"/>
          <w:sz w:val="26"/>
          <w:szCs w:val="26"/>
        </w:rPr>
      </w:pPr>
      <w:r w:rsidRPr="00C82C28">
        <w:rPr>
          <w:i/>
          <w:color w:val="000000"/>
          <w:sz w:val="26"/>
          <w:szCs w:val="26"/>
        </w:rPr>
        <w:t xml:space="preserve">          </w:t>
      </w:r>
      <w:proofErr w:type="spellStart"/>
      <w:r w:rsidRPr="00C82C28">
        <w:rPr>
          <w:color w:val="000000"/>
          <w:sz w:val="26"/>
          <w:szCs w:val="26"/>
        </w:rPr>
        <w:t>Bảng</w:t>
      </w:r>
      <w:proofErr w:type="spellEnd"/>
      <w:r w:rsidRPr="00C82C28">
        <w:rPr>
          <w:color w:val="000000"/>
          <w:sz w:val="26"/>
          <w:szCs w:val="26"/>
        </w:rPr>
        <w:t xml:space="preserve"> 2. </w:t>
      </w:r>
      <w:proofErr w:type="spellStart"/>
      <w:r w:rsidRPr="00C82C28">
        <w:rPr>
          <w:color w:val="000000"/>
          <w:sz w:val="26"/>
          <w:szCs w:val="26"/>
        </w:rPr>
        <w:t>Số</w:t>
      </w:r>
      <w:proofErr w:type="spellEnd"/>
      <w:r w:rsidRPr="00C82C28">
        <w:rPr>
          <w:color w:val="000000"/>
          <w:sz w:val="26"/>
          <w:szCs w:val="26"/>
        </w:rPr>
        <w:t xml:space="preserve"> </w:t>
      </w:r>
      <w:proofErr w:type="spellStart"/>
      <w:r w:rsidRPr="00C82C28">
        <w:rPr>
          <w:color w:val="000000"/>
          <w:sz w:val="26"/>
          <w:szCs w:val="26"/>
        </w:rPr>
        <w:t>trường</w:t>
      </w:r>
      <w:proofErr w:type="spellEnd"/>
      <w:r w:rsidRPr="00C82C28">
        <w:rPr>
          <w:color w:val="000000"/>
          <w:sz w:val="26"/>
          <w:szCs w:val="26"/>
        </w:rPr>
        <w:t xml:space="preserve"> </w:t>
      </w:r>
      <w:proofErr w:type="spellStart"/>
      <w:r w:rsidR="00293021">
        <w:rPr>
          <w:color w:val="000000"/>
          <w:sz w:val="26"/>
          <w:szCs w:val="26"/>
        </w:rPr>
        <w:t>đại</w:t>
      </w:r>
      <w:proofErr w:type="spellEnd"/>
      <w:r w:rsidR="00293021">
        <w:rPr>
          <w:color w:val="000000"/>
          <w:sz w:val="26"/>
          <w:szCs w:val="26"/>
        </w:rPr>
        <w:t xml:space="preserve"> </w:t>
      </w:r>
      <w:proofErr w:type="spellStart"/>
      <w:r w:rsidR="00293021">
        <w:rPr>
          <w:color w:val="000000"/>
          <w:sz w:val="26"/>
          <w:szCs w:val="26"/>
        </w:rPr>
        <w:t>hoac</w:t>
      </w:r>
      <w:proofErr w:type="spellEnd"/>
      <w:r w:rsidR="00293021">
        <w:rPr>
          <w:color w:val="000000"/>
          <w:sz w:val="26"/>
          <w:szCs w:val="26"/>
        </w:rPr>
        <w:t xml:space="preserve"> NCL</w:t>
      </w:r>
      <w:r w:rsidRPr="00C82C28">
        <w:rPr>
          <w:color w:val="000000"/>
          <w:sz w:val="26"/>
          <w:szCs w:val="26"/>
        </w:rPr>
        <w:t xml:space="preserve"> </w:t>
      </w:r>
      <w:proofErr w:type="spellStart"/>
      <w:r w:rsidRPr="00C82C28">
        <w:rPr>
          <w:color w:val="000000"/>
          <w:sz w:val="26"/>
          <w:szCs w:val="26"/>
        </w:rPr>
        <w:t>theo</w:t>
      </w:r>
      <w:proofErr w:type="spellEnd"/>
      <w:r w:rsidRPr="00C82C28">
        <w:rPr>
          <w:color w:val="000000"/>
          <w:sz w:val="26"/>
          <w:szCs w:val="26"/>
        </w:rPr>
        <w:t xml:space="preserve"> </w:t>
      </w:r>
      <w:proofErr w:type="spellStart"/>
      <w:r w:rsidRPr="00C82C28">
        <w:rPr>
          <w:color w:val="000000"/>
          <w:sz w:val="26"/>
          <w:szCs w:val="26"/>
        </w:rPr>
        <w:t>mốc</w:t>
      </w:r>
      <w:proofErr w:type="spellEnd"/>
      <w:r w:rsidRPr="00C82C28">
        <w:rPr>
          <w:color w:val="000000"/>
          <w:sz w:val="26"/>
          <w:szCs w:val="26"/>
        </w:rPr>
        <w:t xml:space="preserve"> </w:t>
      </w:r>
      <w:proofErr w:type="spellStart"/>
      <w:r w:rsidRPr="00C82C28">
        <w:rPr>
          <w:color w:val="000000"/>
          <w:sz w:val="26"/>
          <w:szCs w:val="26"/>
        </w:rPr>
        <w:t>thời</w:t>
      </w:r>
      <w:proofErr w:type="spellEnd"/>
      <w:r w:rsidRPr="00C82C28">
        <w:rPr>
          <w:color w:val="000000"/>
          <w:sz w:val="26"/>
          <w:szCs w:val="26"/>
        </w:rPr>
        <w:t xml:space="preserve"> </w:t>
      </w:r>
      <w:proofErr w:type="spellStart"/>
      <w:r w:rsidRPr="00C82C28">
        <w:rPr>
          <w:color w:val="000000"/>
          <w:sz w:val="26"/>
          <w:szCs w:val="26"/>
        </w:rPr>
        <w:t>gian</w:t>
      </w:r>
      <w:proofErr w:type="spellEnd"/>
      <w:r w:rsidR="00293021">
        <w:rPr>
          <w:color w:val="000000"/>
          <w:sz w:val="26"/>
          <w:szCs w:val="26"/>
        </w:rPr>
        <w:t xml:space="preserve"> </w:t>
      </w:r>
      <w:r w:rsidRPr="00C82C28">
        <w:rPr>
          <w:i/>
          <w:color w:val="000000"/>
          <w:sz w:val="26"/>
          <w:szCs w:val="26"/>
        </w:rPr>
        <w:t>(</w:t>
      </w:r>
      <w:proofErr w:type="spellStart"/>
      <w:r w:rsidRPr="00293021">
        <w:rPr>
          <w:i/>
          <w:color w:val="000000"/>
        </w:rPr>
        <w:t>Nguồn</w:t>
      </w:r>
      <w:proofErr w:type="spellEnd"/>
      <w:r w:rsidRPr="00293021">
        <w:rPr>
          <w:i/>
          <w:color w:val="000000"/>
        </w:rPr>
        <w:t xml:space="preserve">: </w:t>
      </w:r>
      <w:proofErr w:type="spellStart"/>
      <w:r w:rsidRPr="00293021">
        <w:rPr>
          <w:i/>
          <w:color w:val="000000"/>
        </w:rPr>
        <w:t>Bộ</w:t>
      </w:r>
      <w:proofErr w:type="spellEnd"/>
      <w:r w:rsidRPr="00293021">
        <w:rPr>
          <w:i/>
          <w:color w:val="000000"/>
        </w:rPr>
        <w:t xml:space="preserve"> GDĐT, 2017)</w:t>
      </w:r>
    </w:p>
    <w:tbl>
      <w:tblPr>
        <w:tblStyle w:val="a1"/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1276"/>
        <w:gridCol w:w="1134"/>
        <w:gridCol w:w="1134"/>
        <w:gridCol w:w="1134"/>
        <w:gridCol w:w="1091"/>
      </w:tblGrid>
      <w:tr w:rsidR="00A7765E" w:rsidRPr="00C82C28" w:rsidTr="0060200B">
        <w:trPr>
          <w:trHeight w:val="300"/>
          <w:jc w:val="center"/>
        </w:trPr>
        <w:tc>
          <w:tcPr>
            <w:tcW w:w="2878" w:type="dxa"/>
            <w:vAlign w:val="center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proofErr w:type="spellStart"/>
            <w:r w:rsidRPr="001610B5">
              <w:rPr>
                <w:color w:val="000000"/>
              </w:rPr>
              <w:t>Năm</w:t>
            </w:r>
            <w:proofErr w:type="spellEnd"/>
          </w:p>
        </w:tc>
        <w:tc>
          <w:tcPr>
            <w:tcW w:w="1276" w:type="dxa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1994</w:t>
            </w:r>
          </w:p>
        </w:tc>
        <w:tc>
          <w:tcPr>
            <w:tcW w:w="1134" w:type="dxa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2005</w:t>
            </w:r>
          </w:p>
        </w:tc>
        <w:tc>
          <w:tcPr>
            <w:tcW w:w="1134" w:type="dxa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2010</w:t>
            </w:r>
          </w:p>
        </w:tc>
        <w:tc>
          <w:tcPr>
            <w:tcW w:w="1091" w:type="dxa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2016</w:t>
            </w:r>
          </w:p>
        </w:tc>
      </w:tr>
      <w:tr w:rsidR="00A7765E" w:rsidRPr="00C82C28" w:rsidTr="0060200B">
        <w:trPr>
          <w:trHeight w:val="300"/>
          <w:jc w:val="center"/>
        </w:trPr>
        <w:tc>
          <w:tcPr>
            <w:tcW w:w="2878" w:type="dxa"/>
            <w:vAlign w:val="center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  <w:proofErr w:type="spellStart"/>
            <w:r w:rsidRPr="001610B5">
              <w:rPr>
                <w:color w:val="000000"/>
              </w:rPr>
              <w:t>Số</w:t>
            </w:r>
            <w:proofErr w:type="spellEnd"/>
            <w:r w:rsidRPr="001610B5">
              <w:rPr>
                <w:color w:val="000000"/>
              </w:rPr>
              <w:t xml:space="preserve"> </w:t>
            </w:r>
            <w:proofErr w:type="spellStart"/>
            <w:r w:rsidRPr="001610B5">
              <w:rPr>
                <w:color w:val="000000"/>
              </w:rPr>
              <w:t>lượng</w:t>
            </w:r>
            <w:proofErr w:type="spellEnd"/>
            <w:r w:rsidRPr="001610B5">
              <w:rPr>
                <w:color w:val="000000"/>
              </w:rPr>
              <w:t xml:space="preserve"> </w:t>
            </w:r>
            <w:proofErr w:type="spellStart"/>
            <w:r w:rsidRPr="001610B5">
              <w:rPr>
                <w:color w:val="000000"/>
              </w:rPr>
              <w:t>trường</w:t>
            </w:r>
            <w:proofErr w:type="spellEnd"/>
            <w:r w:rsidRPr="001610B5">
              <w:rPr>
                <w:color w:val="000000"/>
              </w:rPr>
              <w:t xml:space="preserve"> ĐH NCL</w:t>
            </w:r>
          </w:p>
        </w:tc>
        <w:tc>
          <w:tcPr>
            <w:tcW w:w="1276" w:type="dxa"/>
            <w:vAlign w:val="center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5</w:t>
            </w:r>
          </w:p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(8,6%)</w:t>
            </w:r>
          </w:p>
        </w:tc>
        <w:tc>
          <w:tcPr>
            <w:tcW w:w="1134" w:type="dxa"/>
            <w:vAlign w:val="center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16</w:t>
            </w:r>
          </w:p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(18,2%)</w:t>
            </w:r>
          </w:p>
        </w:tc>
        <w:tc>
          <w:tcPr>
            <w:tcW w:w="1134" w:type="dxa"/>
            <w:vAlign w:val="center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20</w:t>
            </w:r>
          </w:p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(16,9%)</w:t>
            </w:r>
          </w:p>
        </w:tc>
        <w:tc>
          <w:tcPr>
            <w:tcW w:w="1134" w:type="dxa"/>
            <w:vAlign w:val="center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51</w:t>
            </w:r>
          </w:p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(26,7%)</w:t>
            </w:r>
          </w:p>
        </w:tc>
        <w:tc>
          <w:tcPr>
            <w:tcW w:w="1091" w:type="dxa"/>
            <w:vAlign w:val="center"/>
          </w:tcPr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60</w:t>
            </w:r>
          </w:p>
          <w:p w:rsidR="00A7765E" w:rsidRPr="001610B5" w:rsidRDefault="00A7765E" w:rsidP="006020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  <w:r w:rsidRPr="001610B5">
              <w:rPr>
                <w:color w:val="000000"/>
              </w:rPr>
              <w:t>(25,5%)</w:t>
            </w:r>
          </w:p>
        </w:tc>
      </w:tr>
    </w:tbl>
    <w:p w:rsidR="00A7765E" w:rsidRPr="00C82C28" w:rsidRDefault="00A7765E" w:rsidP="00A7765E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6"/>
          <w:szCs w:val="26"/>
        </w:rPr>
      </w:pPr>
      <w:proofErr w:type="spellStart"/>
      <w:r w:rsidRPr="00C82C28">
        <w:rPr>
          <w:sz w:val="26"/>
          <w:szCs w:val="26"/>
        </w:rPr>
        <w:t>Từ</w:t>
      </w:r>
      <w:proofErr w:type="spellEnd"/>
      <w:r w:rsidRPr="00C82C28">
        <w:rPr>
          <w:sz w:val="26"/>
          <w:szCs w:val="26"/>
        </w:rPr>
        <w:t xml:space="preserve"> 2005</w:t>
      </w:r>
      <w:r w:rsidR="00C53510" w:rsidRPr="00C82C28">
        <w:rPr>
          <w:sz w:val="26"/>
          <w:szCs w:val="26"/>
        </w:rPr>
        <w:t xml:space="preserve"> </w:t>
      </w:r>
      <w:proofErr w:type="spellStart"/>
      <w:r w:rsidR="00C53510" w:rsidRPr="00C82C28">
        <w:rPr>
          <w:sz w:val="26"/>
          <w:szCs w:val="26"/>
        </w:rPr>
        <w:t>đến</w:t>
      </w:r>
      <w:proofErr w:type="spellEnd"/>
      <w:r w:rsidRPr="00C82C28">
        <w:rPr>
          <w:sz w:val="26"/>
          <w:szCs w:val="26"/>
        </w:rPr>
        <w:t xml:space="preserve"> </w:t>
      </w:r>
      <w:r w:rsidR="00C53510" w:rsidRPr="00C82C28">
        <w:rPr>
          <w:sz w:val="26"/>
          <w:szCs w:val="26"/>
        </w:rPr>
        <w:t>2010</w:t>
      </w:r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số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trường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học</w:t>
      </w:r>
      <w:proofErr w:type="spellEnd"/>
      <w:r w:rsidRPr="00C82C28">
        <w:rPr>
          <w:sz w:val="26"/>
          <w:szCs w:val="26"/>
        </w:rPr>
        <w:t xml:space="preserve"> NCL </w:t>
      </w:r>
      <w:proofErr w:type="spellStart"/>
      <w:r w:rsidRPr="00C82C28">
        <w:rPr>
          <w:sz w:val="26"/>
          <w:szCs w:val="26"/>
        </w:rPr>
        <w:t>tăng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đột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biến</w:t>
      </w:r>
      <w:proofErr w:type="spellEnd"/>
      <w:r w:rsidRPr="00C82C28">
        <w:rPr>
          <w:sz w:val="26"/>
          <w:szCs w:val="26"/>
        </w:rPr>
        <w:t xml:space="preserve"> (31 </w:t>
      </w:r>
      <w:proofErr w:type="spellStart"/>
      <w:r w:rsidRPr="00C82C28">
        <w:rPr>
          <w:sz w:val="26"/>
          <w:szCs w:val="26"/>
        </w:rPr>
        <w:t>trường</w:t>
      </w:r>
      <w:proofErr w:type="spellEnd"/>
      <w:r w:rsidRPr="00C82C28">
        <w:rPr>
          <w:sz w:val="26"/>
          <w:szCs w:val="26"/>
        </w:rPr>
        <w:t xml:space="preserve">). </w:t>
      </w:r>
      <w:proofErr w:type="spellStart"/>
      <w:r w:rsidRPr="00C82C28">
        <w:rPr>
          <w:sz w:val="26"/>
          <w:szCs w:val="26"/>
        </w:rPr>
        <w:t>Nguyên</w:t>
      </w:r>
      <w:proofErr w:type="spellEnd"/>
      <w:r w:rsidRPr="00C82C28">
        <w:rPr>
          <w:sz w:val="26"/>
          <w:szCs w:val="26"/>
        </w:rPr>
        <w:t xml:space="preserve"> do </w:t>
      </w:r>
      <w:proofErr w:type="spellStart"/>
      <w:r w:rsidRPr="00C82C28">
        <w:rPr>
          <w:sz w:val="26"/>
          <w:szCs w:val="26"/>
        </w:rPr>
        <w:t>chính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là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="00C53510" w:rsidRPr="00C82C28">
        <w:rPr>
          <w:sz w:val="26"/>
          <w:szCs w:val="26"/>
        </w:rPr>
        <w:t>Luật</w:t>
      </w:r>
      <w:proofErr w:type="spellEnd"/>
      <w:r w:rsidR="00C53510" w:rsidRPr="00C82C28">
        <w:rPr>
          <w:sz w:val="26"/>
          <w:szCs w:val="26"/>
        </w:rPr>
        <w:t xml:space="preserve"> </w:t>
      </w:r>
      <w:proofErr w:type="spellStart"/>
      <w:r w:rsidR="00C53510" w:rsidRPr="00C82C28">
        <w:rPr>
          <w:sz w:val="26"/>
          <w:szCs w:val="26"/>
        </w:rPr>
        <w:t>Giáo</w:t>
      </w:r>
      <w:proofErr w:type="spellEnd"/>
      <w:r w:rsidR="00C53510" w:rsidRPr="00C82C28">
        <w:rPr>
          <w:sz w:val="26"/>
          <w:szCs w:val="26"/>
        </w:rPr>
        <w:t xml:space="preserve"> </w:t>
      </w:r>
      <w:proofErr w:type="spellStart"/>
      <w:r w:rsidR="00C53510" w:rsidRPr="00C82C28">
        <w:rPr>
          <w:sz w:val="26"/>
          <w:szCs w:val="26"/>
        </w:rPr>
        <w:t>dục</w:t>
      </w:r>
      <w:proofErr w:type="spellEnd"/>
      <w:r w:rsidR="00C53510" w:rsidRPr="00C82C28">
        <w:rPr>
          <w:sz w:val="26"/>
          <w:szCs w:val="26"/>
        </w:rPr>
        <w:t xml:space="preserve"> 2005 </w:t>
      </w:r>
      <w:proofErr w:type="spellStart"/>
      <w:r w:rsidRPr="00C82C28">
        <w:rPr>
          <w:sz w:val="26"/>
          <w:szCs w:val="26"/>
        </w:rPr>
        <w:t>thừa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nhận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tài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chính</w:t>
      </w:r>
      <w:proofErr w:type="spellEnd"/>
      <w:r w:rsidRPr="00C82C28">
        <w:rPr>
          <w:sz w:val="26"/>
          <w:szCs w:val="26"/>
        </w:rPr>
        <w:t xml:space="preserve">, </w:t>
      </w:r>
      <w:proofErr w:type="spellStart"/>
      <w:r w:rsidRPr="00C82C28">
        <w:rPr>
          <w:sz w:val="26"/>
          <w:szCs w:val="26"/>
        </w:rPr>
        <w:t>tài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sản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của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trường</w:t>
      </w:r>
      <w:proofErr w:type="spellEnd"/>
      <w:r w:rsidRPr="00C82C28">
        <w:rPr>
          <w:sz w:val="26"/>
          <w:szCs w:val="26"/>
        </w:rPr>
        <w:t xml:space="preserve"> ĐHTT </w:t>
      </w:r>
      <w:proofErr w:type="spellStart"/>
      <w:r w:rsidRPr="00C82C28">
        <w:rPr>
          <w:sz w:val="26"/>
          <w:szCs w:val="26"/>
        </w:rPr>
        <w:t>thuộc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sở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hữu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của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các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thành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viên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góp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vốn</w:t>
      </w:r>
      <w:proofErr w:type="spellEnd"/>
      <w:r w:rsidRPr="00C82C28">
        <w:rPr>
          <w:sz w:val="26"/>
          <w:szCs w:val="26"/>
        </w:rPr>
        <w:t xml:space="preserve"> (</w:t>
      </w:r>
      <w:proofErr w:type="spellStart"/>
      <w:r w:rsidRPr="00C82C28">
        <w:rPr>
          <w:sz w:val="26"/>
          <w:szCs w:val="26"/>
        </w:rPr>
        <w:t>các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điều</w:t>
      </w:r>
      <w:proofErr w:type="spellEnd"/>
      <w:r w:rsidRPr="00C82C28">
        <w:rPr>
          <w:sz w:val="26"/>
          <w:szCs w:val="26"/>
        </w:rPr>
        <w:t xml:space="preserve"> 66, 67 </w:t>
      </w:r>
      <w:proofErr w:type="spellStart"/>
      <w:r w:rsidRPr="00C82C28">
        <w:rPr>
          <w:sz w:val="26"/>
          <w:szCs w:val="26"/>
        </w:rPr>
        <w:t>Luật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Giáo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dục</w:t>
      </w:r>
      <w:proofErr w:type="spellEnd"/>
      <w:r w:rsidRPr="00C82C28">
        <w:rPr>
          <w:sz w:val="26"/>
          <w:szCs w:val="26"/>
        </w:rPr>
        <w:t xml:space="preserve"> 2005). </w:t>
      </w:r>
    </w:p>
    <w:p w:rsidR="00A7765E" w:rsidRPr="00C82C28" w:rsidRDefault="00A174A4" w:rsidP="00293E8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firstLine="720"/>
        <w:jc w:val="both"/>
        <w:rPr>
          <w:color w:val="000000"/>
          <w:sz w:val="26"/>
          <w:szCs w:val="26"/>
        </w:rPr>
      </w:pPr>
      <w:r w:rsidRPr="00C82C28">
        <w:rPr>
          <w:i/>
          <w:sz w:val="26"/>
          <w:szCs w:val="26"/>
        </w:rPr>
        <w:t>-</w:t>
      </w:r>
      <w:r w:rsidRPr="00C82C28">
        <w:rPr>
          <w:sz w:val="26"/>
          <w:szCs w:val="26"/>
        </w:rPr>
        <w:t xml:space="preserve">  </w:t>
      </w:r>
      <w:proofErr w:type="spellStart"/>
      <w:r w:rsidR="00A32F94">
        <w:rPr>
          <w:sz w:val="26"/>
          <w:szCs w:val="26"/>
        </w:rPr>
        <w:t>K</w:t>
      </w:r>
      <w:r w:rsidR="00112A0B" w:rsidRPr="00C82C28">
        <w:rPr>
          <w:sz w:val="26"/>
          <w:szCs w:val="26"/>
        </w:rPr>
        <w:t>hẳng</w:t>
      </w:r>
      <w:proofErr w:type="spellEnd"/>
      <w:r w:rsidR="00112A0B" w:rsidRPr="00C82C28">
        <w:rPr>
          <w:sz w:val="26"/>
          <w:szCs w:val="26"/>
        </w:rPr>
        <w:t xml:space="preserve"> </w:t>
      </w:r>
      <w:proofErr w:type="spellStart"/>
      <w:r w:rsidR="00112A0B" w:rsidRPr="00C82C28">
        <w:rPr>
          <w:sz w:val="26"/>
          <w:szCs w:val="26"/>
        </w:rPr>
        <w:t>định</w:t>
      </w:r>
      <w:proofErr w:type="spellEnd"/>
      <w:r w:rsidR="00112A0B" w:rsidRPr="00C82C28">
        <w:rPr>
          <w:sz w:val="26"/>
          <w:szCs w:val="26"/>
        </w:rPr>
        <w:t xml:space="preserve"> </w:t>
      </w:r>
      <w:proofErr w:type="spellStart"/>
      <w:r w:rsidR="00112A0B" w:rsidRPr="00C82C28">
        <w:rPr>
          <w:sz w:val="26"/>
          <w:szCs w:val="26"/>
        </w:rPr>
        <w:t>vai</w:t>
      </w:r>
      <w:proofErr w:type="spellEnd"/>
      <w:r w:rsidR="00112A0B" w:rsidRPr="00C82C28">
        <w:rPr>
          <w:sz w:val="26"/>
          <w:szCs w:val="26"/>
        </w:rPr>
        <w:t xml:space="preserve"> </w:t>
      </w:r>
      <w:proofErr w:type="spellStart"/>
      <w:r w:rsidR="00112A0B" w:rsidRPr="00C82C28">
        <w:rPr>
          <w:sz w:val="26"/>
          <w:szCs w:val="26"/>
        </w:rPr>
        <w:t>trò</w:t>
      </w:r>
      <w:proofErr w:type="spellEnd"/>
      <w:r w:rsidR="00112A0B" w:rsidRPr="00C82C28">
        <w:rPr>
          <w:sz w:val="26"/>
          <w:szCs w:val="26"/>
        </w:rPr>
        <w:t xml:space="preserve"> </w:t>
      </w:r>
      <w:proofErr w:type="spellStart"/>
      <w:r w:rsidR="00112A0B" w:rsidRPr="00C82C28">
        <w:rPr>
          <w:sz w:val="26"/>
          <w:szCs w:val="26"/>
        </w:rPr>
        <w:t>của</w:t>
      </w:r>
      <w:proofErr w:type="spellEnd"/>
      <w:r w:rsidR="00112A0B" w:rsidRPr="00C82C28">
        <w:rPr>
          <w:sz w:val="26"/>
          <w:szCs w:val="26"/>
        </w:rPr>
        <w:t xml:space="preserve"> </w:t>
      </w:r>
      <w:proofErr w:type="spellStart"/>
      <w:r w:rsidR="00112A0B" w:rsidRPr="00C82C28">
        <w:rPr>
          <w:sz w:val="26"/>
          <w:szCs w:val="26"/>
        </w:rPr>
        <w:t>học</w:t>
      </w:r>
      <w:proofErr w:type="spellEnd"/>
      <w:r w:rsidR="00112A0B" w:rsidRPr="00C82C28">
        <w:rPr>
          <w:sz w:val="26"/>
          <w:szCs w:val="26"/>
        </w:rPr>
        <w:t xml:space="preserve"> </w:t>
      </w:r>
      <w:proofErr w:type="spellStart"/>
      <w:r w:rsidR="00112A0B" w:rsidRPr="00C82C28">
        <w:rPr>
          <w:sz w:val="26"/>
          <w:szCs w:val="26"/>
        </w:rPr>
        <w:t>phí</w:t>
      </w:r>
      <w:proofErr w:type="spellEnd"/>
      <w:r w:rsidR="00112A0B" w:rsidRPr="00C82C28">
        <w:rPr>
          <w:sz w:val="26"/>
          <w:szCs w:val="26"/>
        </w:rPr>
        <w:t>.</w:t>
      </w:r>
      <w:r w:rsidR="00293E84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Báo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cáo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kết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quả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nghiên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cứu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các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trường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293021">
        <w:rPr>
          <w:color w:val="000000"/>
          <w:sz w:val="26"/>
          <w:szCs w:val="26"/>
        </w:rPr>
        <w:t>đại</w:t>
      </w:r>
      <w:proofErr w:type="spellEnd"/>
      <w:r w:rsidR="00293021">
        <w:rPr>
          <w:color w:val="000000"/>
          <w:sz w:val="26"/>
          <w:szCs w:val="26"/>
        </w:rPr>
        <w:t xml:space="preserve"> </w:t>
      </w:r>
      <w:proofErr w:type="spellStart"/>
      <w:r w:rsidR="00293021">
        <w:rPr>
          <w:color w:val="000000"/>
          <w:sz w:val="26"/>
          <w:szCs w:val="26"/>
        </w:rPr>
        <w:t>học</w:t>
      </w:r>
      <w:proofErr w:type="spellEnd"/>
      <w:r w:rsidR="00293021">
        <w:rPr>
          <w:color w:val="000000"/>
          <w:sz w:val="26"/>
          <w:szCs w:val="26"/>
        </w:rPr>
        <w:t xml:space="preserve"> NCL</w:t>
      </w:r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của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Bộ</w:t>
      </w:r>
      <w:proofErr w:type="spellEnd"/>
      <w:r w:rsidR="00A7765E" w:rsidRPr="00C82C28">
        <w:rPr>
          <w:color w:val="000000"/>
          <w:sz w:val="26"/>
          <w:szCs w:val="26"/>
        </w:rPr>
        <w:t xml:space="preserve"> GD&amp;ĐT </w:t>
      </w:r>
      <w:proofErr w:type="spellStart"/>
      <w:r w:rsidR="00A7765E" w:rsidRPr="00C82C28">
        <w:rPr>
          <w:color w:val="000000"/>
          <w:sz w:val="26"/>
          <w:szCs w:val="26"/>
        </w:rPr>
        <w:t>vào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tháng</w:t>
      </w:r>
      <w:proofErr w:type="spellEnd"/>
      <w:r w:rsidR="00A7765E" w:rsidRPr="00C82C28">
        <w:rPr>
          <w:color w:val="000000"/>
          <w:sz w:val="26"/>
          <w:szCs w:val="26"/>
        </w:rPr>
        <w:t xml:space="preserve"> 4/2017 </w:t>
      </w:r>
      <w:proofErr w:type="spellStart"/>
      <w:r w:rsidR="00A7765E" w:rsidRPr="00C82C28">
        <w:rPr>
          <w:color w:val="000000"/>
          <w:sz w:val="26"/>
          <w:szCs w:val="26"/>
        </w:rPr>
        <w:t>ch</w:t>
      </w:r>
      <w:r w:rsidR="00C940B8">
        <w:rPr>
          <w:color w:val="000000"/>
          <w:sz w:val="26"/>
          <w:szCs w:val="26"/>
        </w:rPr>
        <w:t>ỉ</w:t>
      </w:r>
      <w:proofErr w:type="spellEnd"/>
      <w:r w:rsidR="00C940B8">
        <w:rPr>
          <w:color w:val="000000"/>
          <w:sz w:val="26"/>
          <w:szCs w:val="26"/>
        </w:rPr>
        <w:t xml:space="preserve"> ra ở </w:t>
      </w:r>
      <w:proofErr w:type="spellStart"/>
      <w:r w:rsidR="00C940B8">
        <w:rPr>
          <w:color w:val="000000"/>
          <w:sz w:val="26"/>
          <w:szCs w:val="26"/>
        </w:rPr>
        <w:t>Hình</w:t>
      </w:r>
      <w:proofErr w:type="spellEnd"/>
      <w:r w:rsidR="00C940B8">
        <w:rPr>
          <w:color w:val="000000"/>
          <w:sz w:val="26"/>
          <w:szCs w:val="26"/>
        </w:rPr>
        <w:t xml:space="preserve"> 1:</w:t>
      </w:r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thu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từ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học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phí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và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lệ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phí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từ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đào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tạo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của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các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trường</w:t>
      </w:r>
      <w:proofErr w:type="spellEnd"/>
      <w:r w:rsidR="00A7765E" w:rsidRPr="00C82C28">
        <w:rPr>
          <w:color w:val="000000"/>
          <w:sz w:val="26"/>
          <w:szCs w:val="26"/>
        </w:rPr>
        <w:t xml:space="preserve"> ĐHTT </w:t>
      </w:r>
      <w:proofErr w:type="spellStart"/>
      <w:r w:rsidR="00A7765E" w:rsidRPr="00C82C28">
        <w:rPr>
          <w:color w:val="000000"/>
          <w:sz w:val="26"/>
          <w:szCs w:val="26"/>
        </w:rPr>
        <w:t>chiếm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trên</w:t>
      </w:r>
      <w:proofErr w:type="spellEnd"/>
      <w:r w:rsidR="00A7765E" w:rsidRPr="00C82C28">
        <w:rPr>
          <w:color w:val="000000"/>
          <w:sz w:val="26"/>
          <w:szCs w:val="26"/>
        </w:rPr>
        <w:t xml:space="preserve"> 90% </w:t>
      </w:r>
      <w:proofErr w:type="spellStart"/>
      <w:r w:rsidR="00A7765E" w:rsidRPr="00C82C28">
        <w:rPr>
          <w:color w:val="000000"/>
          <w:sz w:val="26"/>
          <w:szCs w:val="26"/>
        </w:rPr>
        <w:t>trong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tổng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thu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của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các</w:t>
      </w:r>
      <w:proofErr w:type="spellEnd"/>
      <w:r w:rsidR="00A7765E" w:rsidRPr="00C82C28">
        <w:rPr>
          <w:color w:val="000000"/>
          <w:sz w:val="26"/>
          <w:szCs w:val="26"/>
        </w:rPr>
        <w:t xml:space="preserve"> </w:t>
      </w:r>
      <w:proofErr w:type="spellStart"/>
      <w:r w:rsidR="00A7765E" w:rsidRPr="00C82C28">
        <w:rPr>
          <w:color w:val="000000"/>
          <w:sz w:val="26"/>
          <w:szCs w:val="26"/>
        </w:rPr>
        <w:t>trường</w:t>
      </w:r>
      <w:proofErr w:type="spellEnd"/>
      <w:r w:rsidR="00C940B8">
        <w:rPr>
          <w:color w:val="000000"/>
          <w:sz w:val="26"/>
          <w:szCs w:val="26"/>
        </w:rPr>
        <w:t xml:space="preserve"> </w:t>
      </w:r>
      <w:r w:rsidR="00293E84">
        <w:rPr>
          <w:color w:val="000000"/>
          <w:sz w:val="26"/>
          <w:szCs w:val="26"/>
        </w:rPr>
        <w:t>[</w:t>
      </w:r>
      <w:r w:rsidR="00A32F94">
        <w:rPr>
          <w:color w:val="000000"/>
          <w:sz w:val="26"/>
          <w:szCs w:val="26"/>
        </w:rPr>
        <w:t>2</w:t>
      </w:r>
      <w:r w:rsidR="00293E84">
        <w:rPr>
          <w:color w:val="000000"/>
          <w:sz w:val="26"/>
          <w:szCs w:val="26"/>
        </w:rPr>
        <w:t>]</w:t>
      </w:r>
      <w:r w:rsidR="00C940B8">
        <w:rPr>
          <w:color w:val="000000"/>
          <w:sz w:val="26"/>
          <w:szCs w:val="26"/>
        </w:rPr>
        <w:t>.</w:t>
      </w:r>
    </w:p>
    <w:p w:rsidR="00A7765E" w:rsidRPr="00C82C28" w:rsidRDefault="00E12816" w:rsidP="00E12816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="00293E84" w:rsidRPr="00C82C28">
        <w:rPr>
          <w:sz w:val="26"/>
          <w:szCs w:val="26"/>
        </w:rPr>
        <w:t>Hình</w:t>
      </w:r>
      <w:proofErr w:type="spellEnd"/>
      <w:r w:rsidR="00293E84" w:rsidRPr="00C82C28">
        <w:rPr>
          <w:sz w:val="26"/>
          <w:szCs w:val="26"/>
        </w:rPr>
        <w:t xml:space="preserve"> </w:t>
      </w:r>
      <w:r w:rsidR="00293E84">
        <w:rPr>
          <w:sz w:val="26"/>
          <w:szCs w:val="26"/>
        </w:rPr>
        <w:t>1</w:t>
      </w:r>
      <w:r w:rsidR="00293E84" w:rsidRPr="00C82C28">
        <w:rPr>
          <w:sz w:val="26"/>
          <w:szCs w:val="26"/>
        </w:rPr>
        <w:t xml:space="preserve">. </w:t>
      </w:r>
      <w:proofErr w:type="spellStart"/>
      <w:r w:rsidR="00293E84" w:rsidRPr="00C82C28">
        <w:rPr>
          <w:sz w:val="26"/>
          <w:szCs w:val="26"/>
        </w:rPr>
        <w:t>Cơ</w:t>
      </w:r>
      <w:proofErr w:type="spellEnd"/>
      <w:r w:rsidR="00293E84" w:rsidRPr="00C82C28">
        <w:rPr>
          <w:sz w:val="26"/>
          <w:szCs w:val="26"/>
        </w:rPr>
        <w:t xml:space="preserve"> </w:t>
      </w:r>
      <w:proofErr w:type="spellStart"/>
      <w:r w:rsidR="00293E84" w:rsidRPr="00C82C28">
        <w:rPr>
          <w:sz w:val="26"/>
          <w:szCs w:val="26"/>
        </w:rPr>
        <w:t>cấu</w:t>
      </w:r>
      <w:proofErr w:type="spellEnd"/>
      <w:r w:rsidR="00293E84" w:rsidRPr="00C82C28">
        <w:rPr>
          <w:sz w:val="26"/>
          <w:szCs w:val="26"/>
        </w:rPr>
        <w:t xml:space="preserve"> </w:t>
      </w:r>
      <w:proofErr w:type="spellStart"/>
      <w:r w:rsidR="00293E84" w:rsidRPr="00C82C28">
        <w:rPr>
          <w:sz w:val="26"/>
          <w:szCs w:val="26"/>
        </w:rPr>
        <w:t>thu</w:t>
      </w:r>
      <w:proofErr w:type="spellEnd"/>
      <w:r w:rsidR="00293E84" w:rsidRPr="00C82C28">
        <w:rPr>
          <w:sz w:val="26"/>
          <w:szCs w:val="26"/>
        </w:rPr>
        <w:t xml:space="preserve"> </w:t>
      </w:r>
      <w:proofErr w:type="spellStart"/>
      <w:r w:rsidR="00293E84" w:rsidRPr="00C82C28">
        <w:rPr>
          <w:sz w:val="26"/>
          <w:szCs w:val="26"/>
        </w:rPr>
        <w:t>của</w:t>
      </w:r>
      <w:proofErr w:type="spellEnd"/>
      <w:r w:rsidR="00293E84" w:rsidRPr="00C82C28">
        <w:rPr>
          <w:sz w:val="26"/>
          <w:szCs w:val="26"/>
        </w:rPr>
        <w:t xml:space="preserve"> </w:t>
      </w:r>
      <w:proofErr w:type="spellStart"/>
      <w:r w:rsidR="00293E84" w:rsidRPr="00C82C28">
        <w:rPr>
          <w:sz w:val="26"/>
          <w:szCs w:val="26"/>
        </w:rPr>
        <w:t>các</w:t>
      </w:r>
      <w:proofErr w:type="spellEnd"/>
      <w:r w:rsidR="00293E84" w:rsidRPr="00C82C28">
        <w:rPr>
          <w:sz w:val="26"/>
          <w:szCs w:val="26"/>
        </w:rPr>
        <w:t xml:space="preserve"> </w:t>
      </w:r>
      <w:proofErr w:type="spellStart"/>
      <w:r w:rsidR="00293E84" w:rsidRPr="00C82C28">
        <w:rPr>
          <w:sz w:val="26"/>
          <w:szCs w:val="26"/>
        </w:rPr>
        <w:t>trường</w:t>
      </w:r>
      <w:proofErr w:type="spellEnd"/>
      <w:r w:rsidR="00293E84" w:rsidRPr="00C82C28">
        <w:rPr>
          <w:sz w:val="26"/>
          <w:szCs w:val="26"/>
        </w:rPr>
        <w:t xml:space="preserve"> ĐH NCL </w:t>
      </w:r>
      <w:proofErr w:type="spellStart"/>
      <w:r w:rsidR="00293E84" w:rsidRPr="00C82C28">
        <w:rPr>
          <w:sz w:val="26"/>
          <w:szCs w:val="26"/>
        </w:rPr>
        <w:t>năm</w:t>
      </w:r>
      <w:proofErr w:type="spellEnd"/>
      <w:r w:rsidR="00293E84" w:rsidRPr="00C82C28">
        <w:rPr>
          <w:sz w:val="26"/>
          <w:szCs w:val="26"/>
        </w:rPr>
        <w:t xml:space="preserve"> 2016</w:t>
      </w:r>
      <w:r w:rsidR="00A7765E" w:rsidRPr="00C82C28">
        <w:rPr>
          <w:noProof/>
          <w:sz w:val="26"/>
          <w:szCs w:val="26"/>
        </w:rPr>
        <w:drawing>
          <wp:inline distT="0" distB="0" distL="114300" distR="114300">
            <wp:extent cx="5216525" cy="294322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765E" w:rsidRPr="00C82C28" w:rsidRDefault="00112A0B" w:rsidP="00293E84">
      <w:pPr>
        <w:pStyle w:val="Normal1"/>
        <w:ind w:firstLine="720"/>
        <w:jc w:val="both"/>
        <w:rPr>
          <w:sz w:val="26"/>
          <w:szCs w:val="26"/>
        </w:rPr>
      </w:pPr>
      <w:proofErr w:type="spellStart"/>
      <w:r w:rsidRPr="00C82C28">
        <w:rPr>
          <w:sz w:val="26"/>
          <w:szCs w:val="26"/>
        </w:rPr>
        <w:t>Một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ví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dụ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ấn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tượng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là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Trường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đại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học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Công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nghệ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  <w:u w:val="single"/>
        </w:rPr>
        <w:t>dân</w:t>
      </w:r>
      <w:proofErr w:type="spellEnd"/>
      <w:r w:rsidR="00A7765E" w:rsidRPr="00C82C28">
        <w:rPr>
          <w:sz w:val="26"/>
          <w:szCs w:val="26"/>
          <w:u w:val="single"/>
        </w:rPr>
        <w:t xml:space="preserve"> </w:t>
      </w:r>
      <w:proofErr w:type="spellStart"/>
      <w:r w:rsidR="00A7765E" w:rsidRPr="00C82C28">
        <w:rPr>
          <w:sz w:val="26"/>
          <w:szCs w:val="26"/>
          <w:u w:val="single"/>
        </w:rPr>
        <w:t>lập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Tôn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Đức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Thắng</w:t>
      </w:r>
      <w:proofErr w:type="spellEnd"/>
      <w:r w:rsidR="00A7765E" w:rsidRPr="00C82C28">
        <w:rPr>
          <w:sz w:val="26"/>
          <w:szCs w:val="26"/>
          <w:vertAlign w:val="superscript"/>
        </w:rPr>
        <w:footnoteReference w:id="2"/>
      </w:r>
      <w:r w:rsidR="00A7765E" w:rsidRPr="00C82C28">
        <w:rPr>
          <w:sz w:val="26"/>
          <w:szCs w:val="26"/>
        </w:rPr>
        <w:t xml:space="preserve"> </w:t>
      </w:r>
      <w:r w:rsidR="00697024" w:rsidRPr="00C82C28">
        <w:rPr>
          <w:sz w:val="26"/>
          <w:szCs w:val="26"/>
        </w:rPr>
        <w:t xml:space="preserve"> </w:t>
      </w:r>
      <w:proofErr w:type="spellStart"/>
      <w:r w:rsidR="00697024" w:rsidRPr="00C82C28">
        <w:rPr>
          <w:sz w:val="26"/>
          <w:szCs w:val="26"/>
        </w:rPr>
        <w:t>chyển</w:t>
      </w:r>
      <w:proofErr w:type="spellEnd"/>
      <w:r w:rsidR="00697024"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thành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="00697024">
        <w:rPr>
          <w:sz w:val="26"/>
          <w:szCs w:val="26"/>
        </w:rPr>
        <w:t>loại</w:t>
      </w:r>
      <w:proofErr w:type="spellEnd"/>
      <w:r w:rsidR="00697024">
        <w:rPr>
          <w:sz w:val="26"/>
          <w:szCs w:val="26"/>
        </w:rPr>
        <w:t xml:space="preserve"> </w:t>
      </w:r>
      <w:proofErr w:type="spellStart"/>
      <w:r w:rsidR="00697024">
        <w:rPr>
          <w:sz w:val="26"/>
          <w:szCs w:val="26"/>
        </w:rPr>
        <w:t>hình</w:t>
      </w:r>
      <w:proofErr w:type="spellEnd"/>
      <w:r w:rsidR="00697024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trường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học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  <w:u w:val="single"/>
        </w:rPr>
        <w:t>công</w:t>
      </w:r>
      <w:proofErr w:type="spellEnd"/>
      <w:r w:rsidRPr="00C82C28">
        <w:rPr>
          <w:sz w:val="26"/>
          <w:szCs w:val="26"/>
          <w:u w:val="single"/>
        </w:rPr>
        <w:t xml:space="preserve"> </w:t>
      </w:r>
      <w:proofErr w:type="spellStart"/>
      <w:r w:rsidRPr="00C82C28">
        <w:rPr>
          <w:sz w:val="26"/>
          <w:szCs w:val="26"/>
          <w:u w:val="single"/>
        </w:rPr>
        <w:t>lập</w:t>
      </w:r>
      <w:proofErr w:type="spellEnd"/>
      <w:r w:rsidR="00A7765E" w:rsidRPr="00C82C28">
        <w:rPr>
          <w:sz w:val="26"/>
          <w:szCs w:val="26"/>
          <w:u w:val="single"/>
        </w:rPr>
        <w:t>.</w:t>
      </w:r>
      <w:r w:rsidR="00A7765E" w:rsidRPr="00C940B8">
        <w:rPr>
          <w:sz w:val="26"/>
          <w:szCs w:val="26"/>
        </w:rPr>
        <w:t xml:space="preserve"> </w:t>
      </w:r>
      <w:proofErr w:type="spellStart"/>
      <w:r w:rsidR="00A7765E" w:rsidRPr="00C940B8">
        <w:rPr>
          <w:sz w:val="26"/>
          <w:szCs w:val="26"/>
        </w:rPr>
        <w:t>H</w:t>
      </w:r>
      <w:r w:rsidR="00A7765E" w:rsidRPr="00C82C28">
        <w:rPr>
          <w:sz w:val="26"/>
          <w:szCs w:val="26"/>
        </w:rPr>
        <w:t>àn</w:t>
      </w:r>
      <w:r w:rsidR="00293E84">
        <w:rPr>
          <w:sz w:val="26"/>
          <w:szCs w:val="26"/>
        </w:rPr>
        <w:t>h</w:t>
      </w:r>
      <w:proofErr w:type="spellEnd"/>
      <w:r w:rsidR="00293E84">
        <w:rPr>
          <w:sz w:val="26"/>
          <w:szCs w:val="26"/>
        </w:rPr>
        <w:t xml:space="preserve"> </w:t>
      </w:r>
      <w:proofErr w:type="spellStart"/>
      <w:r w:rsidR="00293E84">
        <w:rPr>
          <w:sz w:val="26"/>
          <w:szCs w:val="26"/>
        </w:rPr>
        <w:t>trang</w:t>
      </w:r>
      <w:proofErr w:type="spellEnd"/>
      <w:r w:rsidR="00293E84">
        <w:rPr>
          <w:sz w:val="26"/>
          <w:szCs w:val="26"/>
        </w:rPr>
        <w:t xml:space="preserve"> </w:t>
      </w:r>
      <w:proofErr w:type="spellStart"/>
      <w:r w:rsidR="00293E84">
        <w:rPr>
          <w:sz w:val="26"/>
          <w:szCs w:val="26"/>
        </w:rPr>
        <w:t>nhà</w:t>
      </w:r>
      <w:proofErr w:type="spellEnd"/>
      <w:r w:rsidR="00293E84">
        <w:rPr>
          <w:sz w:val="26"/>
          <w:szCs w:val="26"/>
        </w:rPr>
        <w:t xml:space="preserve"> </w:t>
      </w:r>
      <w:proofErr w:type="spellStart"/>
      <w:r w:rsidR="00293E84">
        <w:rPr>
          <w:sz w:val="26"/>
          <w:szCs w:val="26"/>
        </w:rPr>
        <w:t>trường</w:t>
      </w:r>
      <w:proofErr w:type="spellEnd"/>
      <w:r w:rsidR="00293E84">
        <w:rPr>
          <w:sz w:val="26"/>
          <w:szCs w:val="26"/>
        </w:rPr>
        <w:t xml:space="preserve"> </w:t>
      </w:r>
      <w:proofErr w:type="spellStart"/>
      <w:r w:rsidR="00293E84">
        <w:rPr>
          <w:sz w:val="26"/>
          <w:szCs w:val="26"/>
        </w:rPr>
        <w:t>xin</w:t>
      </w:r>
      <w:proofErr w:type="spellEnd"/>
      <w:r w:rsidR="00293E84">
        <w:rPr>
          <w:sz w:val="26"/>
          <w:szCs w:val="26"/>
        </w:rPr>
        <w:t xml:space="preserve"> </w:t>
      </w:r>
      <w:proofErr w:type="spellStart"/>
      <w:r w:rsidR="00293E84">
        <w:rPr>
          <w:sz w:val="26"/>
          <w:szCs w:val="26"/>
        </w:rPr>
        <w:t>được</w:t>
      </w:r>
      <w:proofErr w:type="spellEnd"/>
      <w:r w:rsidR="00293E84">
        <w:rPr>
          <w:sz w:val="26"/>
          <w:szCs w:val="26"/>
        </w:rPr>
        <w:t xml:space="preserve"> </w:t>
      </w:r>
      <w:proofErr w:type="spellStart"/>
      <w:r w:rsidR="00293E84">
        <w:rPr>
          <w:sz w:val="26"/>
          <w:szCs w:val="26"/>
        </w:rPr>
        <w:t>mang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theo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là</w:t>
      </w:r>
      <w:proofErr w:type="spellEnd"/>
      <w:r w:rsidR="00A7765E" w:rsidRPr="00C82C28">
        <w:rPr>
          <w:sz w:val="26"/>
          <w:szCs w:val="26"/>
        </w:rPr>
        <w:t xml:space="preserve"> </w:t>
      </w:r>
      <w:r w:rsidR="00A7765E" w:rsidRPr="00C82C28">
        <w:rPr>
          <w:b/>
          <w:i/>
          <w:sz w:val="26"/>
          <w:szCs w:val="26"/>
        </w:rPr>
        <w:t>“</w:t>
      </w:r>
      <w:proofErr w:type="spellStart"/>
      <w:r w:rsidR="00A7765E" w:rsidRPr="00C82C28">
        <w:rPr>
          <w:i/>
          <w:sz w:val="26"/>
          <w:szCs w:val="26"/>
        </w:rPr>
        <w:t>được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tự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quyết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định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mức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thu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học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phí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và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thực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hiện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các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nghĩa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vụ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tài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chính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theo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lastRenderedPageBreak/>
        <w:t>quy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định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của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pháp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luật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như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một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trường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ngoài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công</w:t>
      </w:r>
      <w:proofErr w:type="spellEnd"/>
      <w:r w:rsidR="00A7765E" w:rsidRPr="00C82C28">
        <w:rPr>
          <w:i/>
          <w:sz w:val="26"/>
          <w:szCs w:val="26"/>
        </w:rPr>
        <w:t xml:space="preserve"> </w:t>
      </w:r>
      <w:proofErr w:type="spellStart"/>
      <w:r w:rsidR="00A7765E" w:rsidRPr="00C82C28">
        <w:rPr>
          <w:i/>
          <w:sz w:val="26"/>
          <w:szCs w:val="26"/>
        </w:rPr>
        <w:t>lập</w:t>
      </w:r>
      <w:proofErr w:type="spellEnd"/>
      <w:r w:rsidR="00A7765E" w:rsidRPr="00C82C28">
        <w:rPr>
          <w:sz w:val="26"/>
          <w:szCs w:val="26"/>
        </w:rPr>
        <w:t xml:space="preserve">”. </w:t>
      </w:r>
      <w:proofErr w:type="spellStart"/>
      <w:r w:rsidR="00A7765E" w:rsidRPr="00C82C28">
        <w:rPr>
          <w:sz w:val="26"/>
          <w:szCs w:val="26"/>
        </w:rPr>
        <w:t>Điều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này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được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lãnh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đạo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Chính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phủ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chấp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nhận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tại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Công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văn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số</w:t>
      </w:r>
      <w:proofErr w:type="spellEnd"/>
      <w:r w:rsidR="00A7765E" w:rsidRPr="00C82C28">
        <w:rPr>
          <w:sz w:val="26"/>
          <w:szCs w:val="26"/>
        </w:rPr>
        <w:t xml:space="preserve"> 3995/VPCP-KGVX, 18/6/2008. </w:t>
      </w:r>
      <w:proofErr w:type="spellStart"/>
      <w:r w:rsidR="00A7765E" w:rsidRPr="00C82C28">
        <w:rPr>
          <w:sz w:val="26"/>
          <w:szCs w:val="26"/>
        </w:rPr>
        <w:t>Nhờ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đó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mà</w:t>
      </w:r>
      <w:proofErr w:type="spellEnd"/>
      <w:r w:rsidR="00A7765E" w:rsidRPr="00C82C28">
        <w:rPr>
          <w:b/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trường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Đại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học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Tôn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Đức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Thắng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bứt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phá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và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trở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thành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địa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chỉ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đào</w:t>
      </w:r>
      <w:proofErr w:type="spellEnd"/>
      <w:r w:rsidR="00A7765E" w:rsidRPr="00C82C28">
        <w:rPr>
          <w:sz w:val="26"/>
          <w:szCs w:val="26"/>
        </w:rPr>
        <w:t xml:space="preserve"> </w:t>
      </w:r>
      <w:proofErr w:type="spellStart"/>
      <w:r w:rsidR="00A7765E" w:rsidRPr="00C82C28">
        <w:rPr>
          <w:sz w:val="26"/>
          <w:szCs w:val="26"/>
        </w:rPr>
        <w:t>tạo</w:t>
      </w:r>
      <w:proofErr w:type="spellEnd"/>
      <w:r w:rsidR="00A7765E" w:rsidRPr="00C82C28">
        <w:rPr>
          <w:sz w:val="26"/>
          <w:szCs w:val="26"/>
        </w:rPr>
        <w:t xml:space="preserve"> tin </w:t>
      </w:r>
      <w:proofErr w:type="spellStart"/>
      <w:r w:rsidR="00A7765E" w:rsidRPr="00C82C28">
        <w:rPr>
          <w:sz w:val="26"/>
          <w:szCs w:val="26"/>
        </w:rPr>
        <w:t>cậy</w:t>
      </w:r>
      <w:proofErr w:type="spellEnd"/>
      <w:r w:rsidR="00A7765E" w:rsidRPr="00C82C28">
        <w:rPr>
          <w:sz w:val="26"/>
          <w:szCs w:val="26"/>
        </w:rPr>
        <w:t>.</w:t>
      </w:r>
    </w:p>
    <w:p w:rsidR="00A174A4" w:rsidRPr="00C82C28" w:rsidRDefault="00003969" w:rsidP="00A174A4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6"/>
          <w:szCs w:val="26"/>
        </w:rPr>
      </w:pPr>
      <w:r w:rsidRPr="00C82C28">
        <w:rPr>
          <w:sz w:val="26"/>
          <w:szCs w:val="26"/>
        </w:rPr>
        <w:t>2</w:t>
      </w:r>
      <w:r w:rsidR="00A174A4" w:rsidRPr="00C82C28">
        <w:rPr>
          <w:i/>
          <w:sz w:val="26"/>
          <w:szCs w:val="26"/>
        </w:rPr>
        <w:t>.</w:t>
      </w:r>
      <w:r w:rsidRPr="00C82C28">
        <w:rPr>
          <w:i/>
          <w:sz w:val="26"/>
          <w:szCs w:val="26"/>
        </w:rPr>
        <w:t>4</w:t>
      </w:r>
      <w:r w:rsidR="00A174A4" w:rsidRPr="00C82C28">
        <w:rPr>
          <w:i/>
          <w:sz w:val="26"/>
          <w:szCs w:val="26"/>
        </w:rPr>
        <w:t xml:space="preserve">. </w:t>
      </w:r>
      <w:proofErr w:type="spellStart"/>
      <w:r w:rsidR="00293E84">
        <w:rPr>
          <w:i/>
          <w:sz w:val="26"/>
          <w:szCs w:val="26"/>
        </w:rPr>
        <w:t>B</w:t>
      </w:r>
      <w:r w:rsidR="00A174A4" w:rsidRPr="00C82C28">
        <w:rPr>
          <w:i/>
          <w:sz w:val="26"/>
          <w:szCs w:val="26"/>
        </w:rPr>
        <w:t>ất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cập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293E84">
        <w:rPr>
          <w:i/>
          <w:sz w:val="26"/>
          <w:szCs w:val="26"/>
        </w:rPr>
        <w:t>từ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cơ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chế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chính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sách</w:t>
      </w:r>
      <w:proofErr w:type="spellEnd"/>
    </w:p>
    <w:p w:rsidR="00A174A4" w:rsidRPr="00C82C28" w:rsidRDefault="00A174A4" w:rsidP="00A174A4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6"/>
          <w:szCs w:val="26"/>
        </w:rPr>
      </w:pPr>
      <w:r w:rsidRPr="00C82C28">
        <w:rPr>
          <w:i/>
          <w:sz w:val="26"/>
          <w:szCs w:val="26"/>
        </w:rPr>
        <w:t xml:space="preserve">a). </w:t>
      </w:r>
      <w:proofErr w:type="spellStart"/>
      <w:r w:rsidRPr="00C82C28">
        <w:rPr>
          <w:i/>
          <w:sz w:val="26"/>
          <w:szCs w:val="26"/>
        </w:rPr>
        <w:t>Quyền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tài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sản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chưa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được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thấu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hiểu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và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thể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chế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hóa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đầy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đủ</w:t>
      </w:r>
      <w:proofErr w:type="spellEnd"/>
      <w:r w:rsidRPr="00C82C28">
        <w:rPr>
          <w:i/>
          <w:sz w:val="26"/>
          <w:szCs w:val="26"/>
        </w:rPr>
        <w:t xml:space="preserve">, </w:t>
      </w:r>
      <w:proofErr w:type="spellStart"/>
      <w:r w:rsidRPr="00C82C28">
        <w:rPr>
          <w:i/>
          <w:sz w:val="26"/>
          <w:szCs w:val="26"/>
        </w:rPr>
        <w:t>một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số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cơ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chế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chính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sách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rất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thiếu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thực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tiễn</w:t>
      </w:r>
      <w:proofErr w:type="spellEnd"/>
      <w:r w:rsidR="006E209B">
        <w:rPr>
          <w:i/>
          <w:sz w:val="26"/>
          <w:szCs w:val="26"/>
        </w:rPr>
        <w:t xml:space="preserve">. </w:t>
      </w:r>
      <w:proofErr w:type="spellStart"/>
      <w:r w:rsidR="006E209B" w:rsidRPr="006E209B">
        <w:rPr>
          <w:sz w:val="26"/>
          <w:szCs w:val="26"/>
        </w:rPr>
        <w:t>Có</w:t>
      </w:r>
      <w:proofErr w:type="spellEnd"/>
      <w:r w:rsidR="006E209B" w:rsidRPr="006E209B">
        <w:rPr>
          <w:sz w:val="26"/>
          <w:szCs w:val="26"/>
        </w:rPr>
        <w:t xml:space="preserve"> </w:t>
      </w:r>
      <w:proofErr w:type="spellStart"/>
      <w:r w:rsidR="006E209B" w:rsidRPr="006E209B">
        <w:rPr>
          <w:sz w:val="26"/>
          <w:szCs w:val="26"/>
        </w:rPr>
        <w:t>thể</w:t>
      </w:r>
      <w:proofErr w:type="spellEnd"/>
      <w:r w:rsidR="006E209B" w:rsidRPr="006E209B">
        <w:rPr>
          <w:sz w:val="26"/>
          <w:szCs w:val="26"/>
        </w:rPr>
        <w:t xml:space="preserve"> </w:t>
      </w:r>
      <w:proofErr w:type="spellStart"/>
      <w:r w:rsidR="006E209B" w:rsidRPr="006E209B">
        <w:rPr>
          <w:sz w:val="26"/>
          <w:szCs w:val="26"/>
        </w:rPr>
        <w:t>thấy</w:t>
      </w:r>
      <w:proofErr w:type="spellEnd"/>
      <w:r w:rsidR="006E209B" w:rsidRPr="006E209B">
        <w:rPr>
          <w:sz w:val="26"/>
          <w:szCs w:val="26"/>
        </w:rPr>
        <w:t xml:space="preserve"> </w:t>
      </w:r>
      <w:proofErr w:type="spellStart"/>
      <w:r w:rsidR="006E209B" w:rsidRPr="006E209B">
        <w:rPr>
          <w:sz w:val="26"/>
          <w:szCs w:val="26"/>
        </w:rPr>
        <w:t>đi</w:t>
      </w:r>
      <w:r w:rsidR="00697024">
        <w:rPr>
          <w:sz w:val="26"/>
          <w:szCs w:val="26"/>
        </w:rPr>
        <w:t>ều</w:t>
      </w:r>
      <w:proofErr w:type="spellEnd"/>
      <w:r w:rsidR="000F694F">
        <w:rPr>
          <w:sz w:val="26"/>
          <w:szCs w:val="26"/>
        </w:rPr>
        <w:t xml:space="preserve"> </w:t>
      </w:r>
      <w:proofErr w:type="spellStart"/>
      <w:r w:rsidR="000F694F">
        <w:rPr>
          <w:sz w:val="26"/>
          <w:szCs w:val="26"/>
        </w:rPr>
        <w:t>này</w:t>
      </w:r>
      <w:proofErr w:type="spellEnd"/>
      <w:r w:rsidR="006E209B" w:rsidRPr="006E209B">
        <w:rPr>
          <w:sz w:val="26"/>
          <w:szCs w:val="26"/>
        </w:rPr>
        <w:t xml:space="preserve"> qua </w:t>
      </w:r>
      <w:proofErr w:type="spellStart"/>
      <w:r w:rsidR="006E209B" w:rsidRPr="006E209B">
        <w:rPr>
          <w:sz w:val="26"/>
          <w:szCs w:val="26"/>
        </w:rPr>
        <w:t>những</w:t>
      </w:r>
      <w:proofErr w:type="spellEnd"/>
      <w:r w:rsidR="006E209B" w:rsidRPr="006E209B">
        <w:rPr>
          <w:sz w:val="26"/>
          <w:szCs w:val="26"/>
        </w:rPr>
        <w:t xml:space="preserve"> </w:t>
      </w:r>
      <w:proofErr w:type="spellStart"/>
      <w:r w:rsidR="006E209B">
        <w:rPr>
          <w:sz w:val="26"/>
          <w:szCs w:val="26"/>
        </w:rPr>
        <w:t>định</w:t>
      </w:r>
      <w:proofErr w:type="spellEnd"/>
      <w:r w:rsidR="006E209B">
        <w:rPr>
          <w:sz w:val="26"/>
          <w:szCs w:val="26"/>
        </w:rPr>
        <w:t xml:space="preserve"> </w:t>
      </w:r>
      <w:proofErr w:type="spellStart"/>
      <w:r w:rsidR="006E209B">
        <w:rPr>
          <w:sz w:val="26"/>
          <w:szCs w:val="26"/>
        </w:rPr>
        <w:t>chế</w:t>
      </w:r>
      <w:proofErr w:type="spellEnd"/>
      <w:r w:rsidR="006E209B" w:rsidRPr="006E209B">
        <w:rPr>
          <w:sz w:val="26"/>
          <w:szCs w:val="26"/>
        </w:rPr>
        <w:t>:</w:t>
      </w:r>
    </w:p>
    <w:p w:rsidR="00A174A4" w:rsidRPr="00C82C28" w:rsidRDefault="006E209B" w:rsidP="00CF1973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1988-</w:t>
      </w:r>
      <w:r w:rsidR="00A174A4" w:rsidRPr="00C82C28">
        <w:rPr>
          <w:sz w:val="26"/>
          <w:szCs w:val="26"/>
        </w:rPr>
        <w:t xml:space="preserve">2000, </w:t>
      </w:r>
      <w:proofErr w:type="spellStart"/>
      <w:r w:rsidR="00A174A4" w:rsidRPr="00C82C28">
        <w:rPr>
          <w:sz w:val="26"/>
          <w:szCs w:val="26"/>
        </w:rPr>
        <w:t>việc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thành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lập</w:t>
      </w:r>
      <w:proofErr w:type="spellEnd"/>
      <w:r w:rsidR="00A174A4" w:rsidRPr="00C82C28">
        <w:rPr>
          <w:sz w:val="26"/>
          <w:szCs w:val="26"/>
        </w:rPr>
        <w:t xml:space="preserve"> ĐHDL do “</w:t>
      </w:r>
      <w:proofErr w:type="spellStart"/>
      <w:r w:rsidR="00A174A4" w:rsidRPr="00C82C28">
        <w:rPr>
          <w:sz w:val="26"/>
          <w:szCs w:val="26"/>
        </w:rPr>
        <w:t>các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cá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nhân</w:t>
      </w:r>
      <w:proofErr w:type="spellEnd"/>
      <w:r w:rsidR="00A174A4" w:rsidRPr="00C82C28">
        <w:rPr>
          <w:sz w:val="26"/>
          <w:szCs w:val="26"/>
        </w:rPr>
        <w:t xml:space="preserve">, </w:t>
      </w:r>
      <w:proofErr w:type="spellStart"/>
      <w:r w:rsidR="00A174A4" w:rsidRPr="00C82C28">
        <w:rPr>
          <w:sz w:val="26"/>
          <w:szCs w:val="26"/>
        </w:rPr>
        <w:t>tập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thể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các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tổ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chức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kinh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tế</w:t>
      </w:r>
      <w:proofErr w:type="spellEnd"/>
      <w:r w:rsidR="00A174A4" w:rsidRPr="00C82C28">
        <w:rPr>
          <w:sz w:val="26"/>
          <w:szCs w:val="26"/>
        </w:rPr>
        <w:t xml:space="preserve">, </w:t>
      </w:r>
      <w:proofErr w:type="spellStart"/>
      <w:r w:rsidR="00A174A4" w:rsidRPr="00C82C28">
        <w:rPr>
          <w:sz w:val="26"/>
          <w:szCs w:val="26"/>
        </w:rPr>
        <w:t>xã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hội</w:t>
      </w:r>
      <w:proofErr w:type="spellEnd"/>
      <w:r w:rsidR="00A174A4" w:rsidRPr="00C82C28">
        <w:rPr>
          <w:sz w:val="26"/>
          <w:szCs w:val="26"/>
        </w:rPr>
        <w:t xml:space="preserve">” </w:t>
      </w:r>
      <w:proofErr w:type="spellStart"/>
      <w:r w:rsidR="00A174A4" w:rsidRPr="00C82C28">
        <w:rPr>
          <w:sz w:val="26"/>
          <w:szCs w:val="26"/>
        </w:rPr>
        <w:t>đứng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tên</w:t>
      </w:r>
      <w:proofErr w:type="spellEnd"/>
      <w:r w:rsidR="00A174A4" w:rsidRPr="00C82C28">
        <w:rPr>
          <w:sz w:val="26"/>
          <w:szCs w:val="26"/>
        </w:rPr>
        <w:t xml:space="preserve">. </w:t>
      </w:r>
      <w:proofErr w:type="spellStart"/>
      <w:r w:rsidR="003E1339">
        <w:rPr>
          <w:sz w:val="26"/>
          <w:szCs w:val="26"/>
        </w:rPr>
        <w:t>N</w:t>
      </w:r>
      <w:r w:rsidR="00A174A4" w:rsidRPr="00C82C28">
        <w:rPr>
          <w:sz w:val="26"/>
          <w:szCs w:val="26"/>
        </w:rPr>
        <w:t>ăm</w:t>
      </w:r>
      <w:proofErr w:type="spellEnd"/>
      <w:r w:rsidR="00A174A4" w:rsidRPr="00C82C28">
        <w:rPr>
          <w:sz w:val="26"/>
          <w:szCs w:val="26"/>
        </w:rPr>
        <w:t xml:space="preserve"> 2000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 w:rsidR="000F694F">
        <w:rPr>
          <w:sz w:val="26"/>
          <w:szCs w:val="26"/>
        </w:rPr>
        <w:t xml:space="preserve">, </w:t>
      </w:r>
      <w:proofErr w:type="spellStart"/>
      <w:r w:rsidR="00A174A4" w:rsidRPr="00C82C28">
        <w:rPr>
          <w:sz w:val="26"/>
          <w:szCs w:val="26"/>
        </w:rPr>
        <w:t>việc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0F694F">
        <w:rPr>
          <w:sz w:val="26"/>
          <w:szCs w:val="26"/>
        </w:rPr>
        <w:t>trên</w:t>
      </w:r>
      <w:proofErr w:type="spellEnd"/>
      <w:r w:rsidR="000F694F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phải</w:t>
      </w:r>
      <w:proofErr w:type="spellEnd"/>
      <w:r w:rsidR="00A174A4" w:rsidRPr="00C82C28">
        <w:rPr>
          <w:sz w:val="26"/>
          <w:szCs w:val="26"/>
        </w:rPr>
        <w:t xml:space="preserve"> do “</w:t>
      </w:r>
      <w:proofErr w:type="spellStart"/>
      <w:r w:rsidR="00A174A4" w:rsidRPr="00C82C28">
        <w:rPr>
          <w:sz w:val="26"/>
          <w:szCs w:val="26"/>
        </w:rPr>
        <w:t>tổ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chức</w:t>
      </w:r>
      <w:proofErr w:type="spellEnd"/>
      <w:r w:rsidR="00A174A4" w:rsidRPr="00C82C28">
        <w:rPr>
          <w:sz w:val="26"/>
          <w:szCs w:val="26"/>
        </w:rPr>
        <w:t xml:space="preserve">” </w:t>
      </w:r>
      <w:proofErr w:type="spellStart"/>
      <w:r w:rsidR="00A174A4" w:rsidRPr="00C82C28">
        <w:rPr>
          <w:sz w:val="26"/>
          <w:szCs w:val="26"/>
        </w:rPr>
        <w:t>đứng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0F694F">
        <w:rPr>
          <w:sz w:val="26"/>
          <w:szCs w:val="26"/>
        </w:rPr>
        <w:t>tên</w:t>
      </w:r>
      <w:proofErr w:type="spellEnd"/>
      <w:r w:rsidR="00FF7FB8" w:rsidRPr="00C82C28">
        <w:rPr>
          <w:sz w:val="26"/>
          <w:szCs w:val="26"/>
        </w:rPr>
        <w:t>,</w:t>
      </w:r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vai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trò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nhà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đầu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tư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bị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loại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bỏ</w:t>
      </w:r>
      <w:proofErr w:type="spellEnd"/>
      <w:r w:rsidR="003E1339">
        <w:rPr>
          <w:sz w:val="26"/>
          <w:szCs w:val="26"/>
        </w:rPr>
        <w:t>.</w:t>
      </w:r>
    </w:p>
    <w:p w:rsidR="00FF7FB8" w:rsidRPr="00C82C28" w:rsidRDefault="00A174A4" w:rsidP="00A174A4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6"/>
          <w:szCs w:val="26"/>
        </w:rPr>
      </w:pPr>
      <w:r w:rsidRPr="00C82C28">
        <w:rPr>
          <w:sz w:val="26"/>
          <w:szCs w:val="26"/>
        </w:rPr>
        <w:t xml:space="preserve">-  </w:t>
      </w:r>
      <w:proofErr w:type="spellStart"/>
      <w:r w:rsidRPr="00C82C28">
        <w:rPr>
          <w:sz w:val="26"/>
          <w:szCs w:val="26"/>
        </w:rPr>
        <w:t>Luật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Giáo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dục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học</w:t>
      </w:r>
      <w:proofErr w:type="spellEnd"/>
      <w:r w:rsidRPr="00C82C28">
        <w:rPr>
          <w:sz w:val="26"/>
          <w:szCs w:val="26"/>
        </w:rPr>
        <w:t xml:space="preserve"> </w:t>
      </w:r>
      <w:r w:rsidR="00FF7FB8" w:rsidRPr="00C82C28">
        <w:rPr>
          <w:sz w:val="26"/>
          <w:szCs w:val="26"/>
        </w:rPr>
        <w:t>(</w:t>
      </w:r>
      <w:proofErr w:type="spellStart"/>
      <w:r w:rsidR="00FF7FB8" w:rsidRPr="00C82C28">
        <w:rPr>
          <w:sz w:val="26"/>
          <w:szCs w:val="26"/>
        </w:rPr>
        <w:t>Điều</w:t>
      </w:r>
      <w:proofErr w:type="spellEnd"/>
      <w:r w:rsidR="00FF7FB8" w:rsidRPr="00C82C28">
        <w:rPr>
          <w:sz w:val="26"/>
          <w:szCs w:val="26"/>
        </w:rPr>
        <w:t xml:space="preserve"> 17) </w:t>
      </w:r>
      <w:proofErr w:type="spellStart"/>
      <w:r w:rsidRPr="00C82C28">
        <w:rPr>
          <w:sz w:val="26"/>
          <w:szCs w:val="26"/>
        </w:rPr>
        <w:t>quy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định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thành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p</w:t>
      </w:r>
      <w:r w:rsidR="006E209B">
        <w:rPr>
          <w:sz w:val="26"/>
          <w:szCs w:val="26"/>
        </w:rPr>
        <w:t>hần</w:t>
      </w:r>
      <w:proofErr w:type="spellEnd"/>
      <w:r w:rsidR="006E209B">
        <w:rPr>
          <w:sz w:val="26"/>
          <w:szCs w:val="26"/>
        </w:rPr>
        <w:t xml:space="preserve"> </w:t>
      </w:r>
      <w:proofErr w:type="spellStart"/>
      <w:r w:rsidR="006E209B">
        <w:rPr>
          <w:sz w:val="26"/>
          <w:szCs w:val="26"/>
        </w:rPr>
        <w:t>hội</w:t>
      </w:r>
      <w:proofErr w:type="spellEnd"/>
      <w:r w:rsidR="006E209B">
        <w:rPr>
          <w:sz w:val="26"/>
          <w:szCs w:val="26"/>
        </w:rPr>
        <w:t xml:space="preserve"> </w:t>
      </w:r>
      <w:proofErr w:type="spellStart"/>
      <w:r w:rsidR="006E209B">
        <w:rPr>
          <w:sz w:val="26"/>
          <w:szCs w:val="26"/>
        </w:rPr>
        <w:t>đồng</w:t>
      </w:r>
      <w:proofErr w:type="spellEnd"/>
      <w:r w:rsidR="006E209B">
        <w:rPr>
          <w:sz w:val="26"/>
          <w:szCs w:val="26"/>
        </w:rPr>
        <w:t xml:space="preserve"> </w:t>
      </w:r>
      <w:proofErr w:type="spellStart"/>
      <w:r w:rsidR="006E209B">
        <w:rPr>
          <w:sz w:val="26"/>
          <w:szCs w:val="26"/>
        </w:rPr>
        <w:t>quản</w:t>
      </w:r>
      <w:proofErr w:type="spellEnd"/>
      <w:r w:rsidR="006E209B">
        <w:rPr>
          <w:sz w:val="26"/>
          <w:szCs w:val="26"/>
        </w:rPr>
        <w:t xml:space="preserve"> </w:t>
      </w:r>
      <w:proofErr w:type="spellStart"/>
      <w:r w:rsidR="006E209B">
        <w:rPr>
          <w:sz w:val="26"/>
          <w:szCs w:val="26"/>
        </w:rPr>
        <w:t>trị</w:t>
      </w:r>
      <w:proofErr w:type="spellEnd"/>
      <w:r w:rsidRPr="00C82C28">
        <w:rPr>
          <w:sz w:val="26"/>
          <w:szCs w:val="26"/>
        </w:rPr>
        <w:t xml:space="preserve"> </w:t>
      </w:r>
      <w:r w:rsidR="006E209B">
        <w:rPr>
          <w:sz w:val="26"/>
          <w:szCs w:val="26"/>
        </w:rPr>
        <w:t>(</w:t>
      </w:r>
      <w:r w:rsidRPr="00C82C28">
        <w:rPr>
          <w:sz w:val="26"/>
          <w:szCs w:val="26"/>
        </w:rPr>
        <w:t>HĐQT</w:t>
      </w:r>
      <w:r w:rsidR="006E209B">
        <w:rPr>
          <w:sz w:val="26"/>
          <w:szCs w:val="26"/>
        </w:rPr>
        <w:t>)</w:t>
      </w:r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gồm</w:t>
      </w:r>
      <w:proofErr w:type="spellEnd"/>
      <w:r w:rsidRPr="00C82C28">
        <w:rPr>
          <w:sz w:val="26"/>
          <w:szCs w:val="26"/>
        </w:rPr>
        <w:t xml:space="preserve">: a) </w:t>
      </w:r>
      <w:proofErr w:type="spellStart"/>
      <w:r w:rsidRPr="00C82C28">
        <w:rPr>
          <w:sz w:val="26"/>
          <w:szCs w:val="26"/>
        </w:rPr>
        <w:t>đại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diện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người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góp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vốn</w:t>
      </w:r>
      <w:proofErr w:type="spellEnd"/>
      <w:r w:rsidRPr="00C82C28">
        <w:rPr>
          <w:sz w:val="26"/>
          <w:szCs w:val="26"/>
        </w:rPr>
        <w:t xml:space="preserve"> ở </w:t>
      </w:r>
      <w:proofErr w:type="spellStart"/>
      <w:r w:rsidRPr="00C82C28">
        <w:rPr>
          <w:sz w:val="26"/>
          <w:szCs w:val="26"/>
        </w:rPr>
        <w:t>mức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cần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thiết</w:t>
      </w:r>
      <w:proofErr w:type="spellEnd"/>
      <w:r w:rsidRPr="00C82C28">
        <w:rPr>
          <w:sz w:val="26"/>
          <w:szCs w:val="26"/>
        </w:rPr>
        <w:t xml:space="preserve">; b) </w:t>
      </w:r>
      <w:proofErr w:type="spellStart"/>
      <w:r w:rsidR="003E1339">
        <w:rPr>
          <w:sz w:val="26"/>
          <w:szCs w:val="26"/>
        </w:rPr>
        <w:t>Một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số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thành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phần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đương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nhiên</w:t>
      </w:r>
      <w:proofErr w:type="spellEnd"/>
      <w:r w:rsidR="00BF7105">
        <w:rPr>
          <w:sz w:val="26"/>
          <w:szCs w:val="26"/>
        </w:rPr>
        <w:t xml:space="preserve">: </w:t>
      </w:r>
      <w:proofErr w:type="spellStart"/>
      <w:r w:rsidRPr="00C82C28">
        <w:rPr>
          <w:sz w:val="26"/>
          <w:szCs w:val="26"/>
        </w:rPr>
        <w:t>Hiệu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trưởng</w:t>
      </w:r>
      <w:proofErr w:type="spellEnd"/>
      <w:r w:rsidRPr="00C82C28">
        <w:rPr>
          <w:sz w:val="26"/>
          <w:szCs w:val="26"/>
        </w:rPr>
        <w:t xml:space="preserve">; </w:t>
      </w:r>
      <w:proofErr w:type="spellStart"/>
      <w:r w:rsidRPr="00C82C28">
        <w:rPr>
          <w:sz w:val="26"/>
          <w:szCs w:val="26"/>
        </w:rPr>
        <w:t>đại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diện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địa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phương</w:t>
      </w:r>
      <w:proofErr w:type="spellEnd"/>
      <w:r w:rsidRPr="00C82C28">
        <w:rPr>
          <w:sz w:val="26"/>
          <w:szCs w:val="26"/>
        </w:rPr>
        <w:t xml:space="preserve">; </w:t>
      </w:r>
      <w:proofErr w:type="spellStart"/>
      <w:r w:rsidRPr="00C82C28">
        <w:rPr>
          <w:sz w:val="26"/>
          <w:szCs w:val="26"/>
        </w:rPr>
        <w:t>đại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diện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tổ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chức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đảng</w:t>
      </w:r>
      <w:proofErr w:type="spellEnd"/>
      <w:r w:rsidRPr="00C82C28">
        <w:rPr>
          <w:sz w:val="26"/>
          <w:szCs w:val="26"/>
        </w:rPr>
        <w:t xml:space="preserve">, </w:t>
      </w:r>
      <w:proofErr w:type="spellStart"/>
      <w:r w:rsidRPr="00C82C28">
        <w:rPr>
          <w:sz w:val="26"/>
          <w:szCs w:val="26"/>
        </w:rPr>
        <w:t>đoàn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thể</w:t>
      </w:r>
      <w:proofErr w:type="spellEnd"/>
      <w:r w:rsidRPr="00C82C28">
        <w:rPr>
          <w:sz w:val="26"/>
          <w:szCs w:val="26"/>
        </w:rPr>
        <w:t xml:space="preserve">; </w:t>
      </w:r>
      <w:proofErr w:type="spellStart"/>
      <w:r w:rsidRPr="00C82C28">
        <w:rPr>
          <w:sz w:val="26"/>
          <w:szCs w:val="26"/>
        </w:rPr>
        <w:t>đại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diện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giảng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viên</w:t>
      </w:r>
      <w:proofErr w:type="spellEnd"/>
      <w:r w:rsidR="00BF7105">
        <w:rPr>
          <w:sz w:val="26"/>
          <w:szCs w:val="26"/>
        </w:rPr>
        <w:t xml:space="preserve">. </w:t>
      </w:r>
      <w:proofErr w:type="spellStart"/>
      <w:r w:rsidR="00BF7105">
        <w:rPr>
          <w:sz w:val="26"/>
          <w:szCs w:val="26"/>
        </w:rPr>
        <w:t>Luật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không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quy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định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các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thành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phần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này</w:t>
      </w:r>
      <w:proofErr w:type="spellEnd"/>
      <w:r w:rsidR="00FF7FB8" w:rsidRPr="00C82C28">
        <w:rPr>
          <w:sz w:val="26"/>
          <w:szCs w:val="26"/>
        </w:rPr>
        <w:t xml:space="preserve"> </w:t>
      </w:r>
      <w:r w:rsidRPr="00C82C28">
        <w:rPr>
          <w:sz w:val="26"/>
          <w:szCs w:val="26"/>
        </w:rPr>
        <w:t>“</w:t>
      </w:r>
      <w:proofErr w:type="spellStart"/>
      <w:r w:rsidRPr="00C82C28">
        <w:rPr>
          <w:sz w:val="26"/>
          <w:szCs w:val="26"/>
        </w:rPr>
        <w:t>chịu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trách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nhiệm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về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các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khoản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nợ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và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nghĩa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vụ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tài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sản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khác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của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trường</w:t>
      </w:r>
      <w:proofErr w:type="spellEnd"/>
      <w:r w:rsidRPr="00C82C28">
        <w:rPr>
          <w:sz w:val="26"/>
          <w:szCs w:val="26"/>
        </w:rPr>
        <w:t>”</w:t>
      </w:r>
      <w:r w:rsidR="00BF7105">
        <w:rPr>
          <w:sz w:val="26"/>
          <w:szCs w:val="26"/>
        </w:rPr>
        <w:t xml:space="preserve">, </w:t>
      </w:r>
      <w:proofErr w:type="spellStart"/>
      <w:r w:rsidR="00BF7105">
        <w:rPr>
          <w:sz w:val="26"/>
          <w:szCs w:val="26"/>
        </w:rPr>
        <w:t>quyền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và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trách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nhiệm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không</w:t>
      </w:r>
      <w:proofErr w:type="spellEnd"/>
      <w:r w:rsidR="00BF7105">
        <w:rPr>
          <w:sz w:val="26"/>
          <w:szCs w:val="26"/>
        </w:rPr>
        <w:t xml:space="preserve"> song </w:t>
      </w:r>
      <w:proofErr w:type="spellStart"/>
      <w:r w:rsidR="00BF7105">
        <w:rPr>
          <w:sz w:val="26"/>
          <w:szCs w:val="26"/>
        </w:rPr>
        <w:t>hành</w:t>
      </w:r>
      <w:proofErr w:type="spellEnd"/>
      <w:r w:rsidR="00BF7105">
        <w:rPr>
          <w:sz w:val="26"/>
          <w:szCs w:val="26"/>
        </w:rPr>
        <w:t>.</w:t>
      </w:r>
    </w:p>
    <w:p w:rsidR="000C7F28" w:rsidRPr="00C82C28" w:rsidRDefault="000C7F28" w:rsidP="00A174A4">
      <w:pPr>
        <w:pStyle w:val="Normal1"/>
        <w:shd w:val="clear" w:color="auto" w:fill="FFFFFF"/>
        <w:spacing w:before="240" w:after="240" w:line="240" w:lineRule="auto"/>
        <w:ind w:firstLine="720"/>
        <w:jc w:val="both"/>
        <w:rPr>
          <w:sz w:val="26"/>
          <w:szCs w:val="26"/>
        </w:rPr>
      </w:pPr>
      <w:r w:rsidRPr="00C82C28">
        <w:rPr>
          <w:sz w:val="26"/>
          <w:szCs w:val="26"/>
        </w:rPr>
        <w:t xml:space="preserve">-  </w:t>
      </w:r>
      <w:proofErr w:type="spellStart"/>
      <w:r w:rsidRPr="00C82C28">
        <w:rPr>
          <w:sz w:val="26"/>
          <w:szCs w:val="26"/>
        </w:rPr>
        <w:t>Chênh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lệch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thu</w:t>
      </w:r>
      <w:proofErr w:type="spellEnd"/>
      <w:r w:rsidRPr="00C82C28">
        <w:rPr>
          <w:sz w:val="26"/>
          <w:szCs w:val="26"/>
        </w:rPr>
        <w:t xml:space="preserve"> chi</w:t>
      </w:r>
      <w:r w:rsidR="003E1339">
        <w:rPr>
          <w:sz w:val="26"/>
          <w:szCs w:val="26"/>
        </w:rPr>
        <w:t>: (</w:t>
      </w:r>
      <w:proofErr w:type="spellStart"/>
      <w:r w:rsidR="003E1339">
        <w:rPr>
          <w:sz w:val="26"/>
          <w:szCs w:val="26"/>
        </w:rPr>
        <w:t>i</w:t>
      </w:r>
      <w:proofErr w:type="spellEnd"/>
      <w:r w:rsidR="003E1339">
        <w:rPr>
          <w:sz w:val="26"/>
          <w:szCs w:val="26"/>
        </w:rPr>
        <w:t xml:space="preserve">) </w:t>
      </w:r>
      <w:proofErr w:type="spellStart"/>
      <w:r w:rsidR="00BF7105">
        <w:rPr>
          <w:sz w:val="26"/>
          <w:szCs w:val="26"/>
        </w:rPr>
        <w:t>Phải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dành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ít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nhát</w:t>
      </w:r>
      <w:proofErr w:type="spellEnd"/>
      <w:r w:rsidR="003E1339">
        <w:rPr>
          <w:sz w:val="26"/>
          <w:szCs w:val="26"/>
        </w:rPr>
        <w:t xml:space="preserve"> 20% </w:t>
      </w:r>
      <w:proofErr w:type="spellStart"/>
      <w:r w:rsidR="003E1339">
        <w:rPr>
          <w:sz w:val="26"/>
          <w:szCs w:val="26"/>
        </w:rPr>
        <w:t>trước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thuế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để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đầu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tư</w:t>
      </w:r>
      <w:proofErr w:type="spellEnd"/>
      <w:r w:rsidRPr="00C82C28">
        <w:rPr>
          <w:sz w:val="26"/>
          <w:szCs w:val="26"/>
        </w:rPr>
        <w:t xml:space="preserve">; (ii) </w:t>
      </w:r>
      <w:proofErr w:type="spellStart"/>
      <w:r w:rsidRPr="00C82C28">
        <w:rPr>
          <w:sz w:val="26"/>
          <w:szCs w:val="26"/>
        </w:rPr>
        <w:t>Giá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trị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tài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sản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tích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lũy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được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trong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quá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trình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hoạt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động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của</w:t>
      </w:r>
      <w:proofErr w:type="spellEnd"/>
      <w:r w:rsidRPr="00C82C28">
        <w:rPr>
          <w:sz w:val="26"/>
          <w:szCs w:val="26"/>
        </w:rPr>
        <w:t xml:space="preserve"> ĐHTT </w:t>
      </w:r>
      <w:proofErr w:type="spellStart"/>
      <w:r w:rsidRPr="00C82C28">
        <w:rPr>
          <w:sz w:val="26"/>
          <w:szCs w:val="26"/>
        </w:rPr>
        <w:t>là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tài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sản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chung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không</w:t>
      </w:r>
      <w:proofErr w:type="spellEnd"/>
      <w:r w:rsidRPr="00C82C28">
        <w:rPr>
          <w:sz w:val="26"/>
          <w:szCs w:val="26"/>
        </w:rPr>
        <w:t xml:space="preserve"> chia. (</w:t>
      </w:r>
      <w:proofErr w:type="spellStart"/>
      <w:r w:rsidRPr="00C82C28">
        <w:rPr>
          <w:sz w:val="26"/>
          <w:szCs w:val="26"/>
        </w:rPr>
        <w:t>Điều</w:t>
      </w:r>
      <w:proofErr w:type="spellEnd"/>
      <w:r w:rsidRPr="00C82C28">
        <w:rPr>
          <w:sz w:val="26"/>
          <w:szCs w:val="26"/>
        </w:rPr>
        <w:t xml:space="preserve"> 66 </w:t>
      </w:r>
      <w:proofErr w:type="spellStart"/>
      <w:r w:rsidRPr="00C82C28">
        <w:rPr>
          <w:sz w:val="26"/>
          <w:szCs w:val="26"/>
        </w:rPr>
        <w:t>Luật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Giáo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dục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học</w:t>
      </w:r>
      <w:proofErr w:type="spellEnd"/>
      <w:r w:rsidRPr="00C82C28">
        <w:rPr>
          <w:sz w:val="26"/>
          <w:szCs w:val="26"/>
        </w:rPr>
        <w:t xml:space="preserve"> 2012). </w:t>
      </w:r>
    </w:p>
    <w:p w:rsidR="00A174A4" w:rsidRPr="00C82C28" w:rsidRDefault="00FF7FB8" w:rsidP="00CF1973">
      <w:pPr>
        <w:pStyle w:val="Normal1"/>
        <w:spacing w:before="240" w:after="240" w:line="240" w:lineRule="auto"/>
        <w:ind w:firstLine="720"/>
        <w:jc w:val="both"/>
        <w:rPr>
          <w:sz w:val="26"/>
          <w:szCs w:val="26"/>
        </w:rPr>
      </w:pPr>
      <w:r w:rsidRPr="00C82C28">
        <w:rPr>
          <w:sz w:val="26"/>
          <w:szCs w:val="26"/>
        </w:rPr>
        <w:t>b</w:t>
      </w:r>
      <w:r w:rsidRPr="00C82C28">
        <w:rPr>
          <w:i/>
          <w:sz w:val="26"/>
          <w:szCs w:val="26"/>
        </w:rPr>
        <w:t xml:space="preserve">) </w:t>
      </w:r>
      <w:proofErr w:type="spellStart"/>
      <w:r w:rsidRPr="00C82C28">
        <w:rPr>
          <w:i/>
          <w:sz w:val="26"/>
          <w:szCs w:val="26"/>
        </w:rPr>
        <w:t>Quy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định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về</w:t>
      </w:r>
      <w:proofErr w:type="spellEnd"/>
      <w:r w:rsidR="003E1339">
        <w:rPr>
          <w:i/>
          <w:sz w:val="26"/>
          <w:szCs w:val="26"/>
        </w:rPr>
        <w:t xml:space="preserve"> </w:t>
      </w:r>
      <w:proofErr w:type="spellStart"/>
      <w:r w:rsidR="003E1339">
        <w:rPr>
          <w:i/>
          <w:sz w:val="26"/>
          <w:szCs w:val="26"/>
        </w:rPr>
        <w:t>không</w:t>
      </w:r>
      <w:proofErr w:type="spellEnd"/>
      <w:r w:rsidR="003E1339">
        <w:rPr>
          <w:i/>
          <w:sz w:val="26"/>
          <w:szCs w:val="26"/>
        </w:rPr>
        <w:t xml:space="preserve"> </w:t>
      </w:r>
      <w:proofErr w:type="spellStart"/>
      <w:r w:rsidR="003E1339">
        <w:rPr>
          <w:i/>
          <w:sz w:val="26"/>
          <w:szCs w:val="26"/>
        </w:rPr>
        <w:t>vì</w:t>
      </w:r>
      <w:proofErr w:type="spellEnd"/>
      <w:r w:rsidR="003E1339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lợi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nhuận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không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khả</w:t>
      </w:r>
      <w:proofErr w:type="spellEnd"/>
      <w:r w:rsidRPr="00C82C28">
        <w:rPr>
          <w:i/>
          <w:sz w:val="26"/>
          <w:szCs w:val="26"/>
        </w:rPr>
        <w:t xml:space="preserve"> </w:t>
      </w:r>
      <w:proofErr w:type="spellStart"/>
      <w:r w:rsidRPr="00C82C28">
        <w:rPr>
          <w:i/>
          <w:sz w:val="26"/>
          <w:szCs w:val="26"/>
        </w:rPr>
        <w:t>thi</w:t>
      </w:r>
      <w:proofErr w:type="spellEnd"/>
      <w:r w:rsidRPr="00C82C28">
        <w:rPr>
          <w:i/>
          <w:sz w:val="26"/>
          <w:szCs w:val="26"/>
        </w:rPr>
        <w:t xml:space="preserve">. </w:t>
      </w:r>
      <w:proofErr w:type="spellStart"/>
      <w:r w:rsidR="00A174A4" w:rsidRPr="00C82C28">
        <w:rPr>
          <w:sz w:val="26"/>
          <w:szCs w:val="26"/>
        </w:rPr>
        <w:t>Luật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Giáo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dục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đại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học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giải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thích</w:t>
      </w:r>
      <w:proofErr w:type="spellEnd"/>
      <w:r w:rsidRPr="00C82C28">
        <w:rPr>
          <w:sz w:val="26"/>
          <w:szCs w:val="26"/>
        </w:rPr>
        <w:t>:</w:t>
      </w:r>
      <w:r w:rsidR="00A174A4" w:rsidRPr="00C82C28">
        <w:rPr>
          <w:sz w:val="26"/>
          <w:szCs w:val="26"/>
        </w:rPr>
        <w:t xml:space="preserve"> </w:t>
      </w:r>
      <w:r w:rsidR="00A174A4" w:rsidRPr="008605BB">
        <w:rPr>
          <w:sz w:val="26"/>
          <w:szCs w:val="26"/>
        </w:rPr>
        <w:t>“</w:t>
      </w:r>
      <w:proofErr w:type="spellStart"/>
      <w:r w:rsidR="00A174A4" w:rsidRPr="008605BB">
        <w:rPr>
          <w:sz w:val="26"/>
          <w:szCs w:val="26"/>
        </w:rPr>
        <w:t>hoạt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động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không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vì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lợi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nhuận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là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cơ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sở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giáo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dục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đại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học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mà</w:t>
      </w:r>
      <w:proofErr w:type="spellEnd"/>
      <w:r w:rsidR="00A174A4" w:rsidRPr="008605BB">
        <w:rPr>
          <w:sz w:val="26"/>
          <w:szCs w:val="26"/>
        </w:rPr>
        <w:t xml:space="preserve">… </w:t>
      </w:r>
      <w:proofErr w:type="spellStart"/>
      <w:r w:rsidR="00A174A4" w:rsidRPr="008605BB">
        <w:rPr>
          <w:sz w:val="26"/>
          <w:szCs w:val="26"/>
        </w:rPr>
        <w:t>các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cổ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đông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hoặc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các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thành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viên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góp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vốn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không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hưởng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lợi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tức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hoặc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hưởng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lợi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tức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hàng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năm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không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vượt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quá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lãi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suất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trái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r w:rsidR="00A174A4" w:rsidRPr="008605BB">
        <w:rPr>
          <w:sz w:val="26"/>
          <w:szCs w:val="26"/>
        </w:rPr>
        <w:t>phiếu</w:t>
      </w:r>
      <w:proofErr w:type="spellEnd"/>
      <w:r w:rsidR="00A174A4" w:rsidRPr="008605BB">
        <w:rPr>
          <w:sz w:val="26"/>
          <w:szCs w:val="26"/>
        </w:rPr>
        <w:t xml:space="preserve"> </w:t>
      </w:r>
      <w:proofErr w:type="spellStart"/>
      <w:proofErr w:type="gramStart"/>
      <w:r w:rsidR="00A174A4" w:rsidRPr="008605BB">
        <w:rPr>
          <w:sz w:val="26"/>
          <w:szCs w:val="26"/>
        </w:rPr>
        <w:t>Chính</w:t>
      </w:r>
      <w:proofErr w:type="spellEnd"/>
      <w:r w:rsidR="00A174A4" w:rsidRPr="008605BB">
        <w:rPr>
          <w:sz w:val="26"/>
          <w:szCs w:val="26"/>
        </w:rPr>
        <w:t xml:space="preserve">  </w:t>
      </w:r>
      <w:proofErr w:type="spellStart"/>
      <w:r w:rsidR="00A174A4" w:rsidRPr="008605BB">
        <w:rPr>
          <w:sz w:val="26"/>
          <w:szCs w:val="26"/>
        </w:rPr>
        <w:t>phủ</w:t>
      </w:r>
      <w:proofErr w:type="spellEnd"/>
      <w:proofErr w:type="gramEnd"/>
      <w:r w:rsidR="00A174A4" w:rsidRPr="008605BB">
        <w:rPr>
          <w:sz w:val="26"/>
          <w:szCs w:val="26"/>
        </w:rPr>
        <w:t>”</w:t>
      </w:r>
      <w:r w:rsidR="00A174A4" w:rsidRPr="00C82C28">
        <w:rPr>
          <w:sz w:val="26"/>
          <w:szCs w:val="26"/>
        </w:rPr>
        <w:t xml:space="preserve">. </w:t>
      </w:r>
      <w:r w:rsidR="00CF1973">
        <w:rPr>
          <w:sz w:val="26"/>
          <w:szCs w:val="26"/>
        </w:rPr>
        <w:t xml:space="preserve"> </w:t>
      </w:r>
      <w:proofErr w:type="spellStart"/>
      <w:r w:rsidR="008605BB">
        <w:rPr>
          <w:sz w:val="26"/>
          <w:szCs w:val="26"/>
        </w:rPr>
        <w:t>Đ</w:t>
      </w:r>
      <w:r w:rsidR="000C7F28" w:rsidRPr="00C82C28">
        <w:rPr>
          <w:sz w:val="26"/>
          <w:szCs w:val="26"/>
        </w:rPr>
        <w:t>ã</w:t>
      </w:r>
      <w:proofErr w:type="spellEnd"/>
      <w:r w:rsidR="000C7F28" w:rsidRPr="00C82C28">
        <w:rPr>
          <w:sz w:val="26"/>
          <w:szCs w:val="26"/>
        </w:rPr>
        <w:t xml:space="preserve"> </w:t>
      </w:r>
      <w:proofErr w:type="spellStart"/>
      <w:r w:rsidR="008605BB">
        <w:rPr>
          <w:sz w:val="26"/>
          <w:szCs w:val="26"/>
        </w:rPr>
        <w:t>hơn</w:t>
      </w:r>
      <w:proofErr w:type="spellEnd"/>
      <w:r w:rsidR="008605BB">
        <w:rPr>
          <w:sz w:val="26"/>
          <w:szCs w:val="26"/>
        </w:rPr>
        <w:t xml:space="preserve"> </w:t>
      </w:r>
      <w:r w:rsidR="000C7F28" w:rsidRPr="00C82C28">
        <w:rPr>
          <w:sz w:val="26"/>
          <w:szCs w:val="26"/>
        </w:rPr>
        <w:t xml:space="preserve">6 </w:t>
      </w:r>
      <w:proofErr w:type="spellStart"/>
      <w:r w:rsidR="000C7F28" w:rsidRPr="00C82C28">
        <w:rPr>
          <w:sz w:val="26"/>
          <w:szCs w:val="26"/>
        </w:rPr>
        <w:t>năm</w:t>
      </w:r>
      <w:proofErr w:type="spellEnd"/>
      <w:r w:rsidR="000C7F28" w:rsidRPr="00C82C28">
        <w:rPr>
          <w:sz w:val="26"/>
          <w:szCs w:val="26"/>
        </w:rPr>
        <w:t xml:space="preserve"> </w:t>
      </w:r>
      <w:proofErr w:type="spellStart"/>
      <w:r w:rsidR="000C7F28" w:rsidRPr="00C82C28">
        <w:rPr>
          <w:sz w:val="26"/>
          <w:szCs w:val="26"/>
        </w:rPr>
        <w:t>thực</w:t>
      </w:r>
      <w:proofErr w:type="spellEnd"/>
      <w:r w:rsidR="000C7F28" w:rsidRPr="00C82C28">
        <w:rPr>
          <w:sz w:val="26"/>
          <w:szCs w:val="26"/>
        </w:rPr>
        <w:t xml:space="preserve"> </w:t>
      </w:r>
      <w:proofErr w:type="spellStart"/>
      <w:r w:rsidR="000C7F28" w:rsidRPr="00C82C28">
        <w:rPr>
          <w:sz w:val="26"/>
          <w:szCs w:val="26"/>
        </w:rPr>
        <w:t>hiện</w:t>
      </w:r>
      <w:proofErr w:type="spellEnd"/>
      <w:r w:rsidR="000C7F28" w:rsidRPr="00C82C28">
        <w:rPr>
          <w:sz w:val="26"/>
          <w:szCs w:val="26"/>
        </w:rPr>
        <w:t xml:space="preserve"> </w:t>
      </w:r>
      <w:proofErr w:type="spellStart"/>
      <w:r w:rsidR="000C7F28" w:rsidRPr="00C82C28">
        <w:rPr>
          <w:sz w:val="26"/>
          <w:szCs w:val="26"/>
        </w:rPr>
        <w:t>luật</w:t>
      </w:r>
      <w:proofErr w:type="spellEnd"/>
      <w:r w:rsidR="000C7F28" w:rsidRPr="00C82C28">
        <w:rPr>
          <w:sz w:val="26"/>
          <w:szCs w:val="26"/>
        </w:rPr>
        <w:t>,</w:t>
      </w:r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chưa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xác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định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được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trường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3E1339">
        <w:rPr>
          <w:sz w:val="26"/>
          <w:szCs w:val="26"/>
        </w:rPr>
        <w:t>nào</w:t>
      </w:r>
      <w:proofErr w:type="spellEnd"/>
      <w:r w:rsidR="003E1339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là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không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vì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lợi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nhuận</w:t>
      </w:r>
      <w:proofErr w:type="spellEnd"/>
      <w:r w:rsidR="00A174A4" w:rsidRPr="00C82C28">
        <w:rPr>
          <w:sz w:val="26"/>
          <w:szCs w:val="26"/>
        </w:rPr>
        <w:t xml:space="preserve">, </w:t>
      </w:r>
      <w:proofErr w:type="spellStart"/>
      <w:r w:rsidR="00A174A4" w:rsidRPr="00C82C28">
        <w:rPr>
          <w:sz w:val="26"/>
          <w:szCs w:val="26"/>
        </w:rPr>
        <w:t>trong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khi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đó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không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ít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người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tự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nhận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mình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đầu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tư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là</w:t>
      </w:r>
      <w:proofErr w:type="spellEnd"/>
      <w:r w:rsidR="00A174A4" w:rsidRPr="00C82C28">
        <w:rPr>
          <w:sz w:val="26"/>
          <w:szCs w:val="26"/>
        </w:rPr>
        <w:t xml:space="preserve"> “</w:t>
      </w:r>
      <w:proofErr w:type="spellStart"/>
      <w:r w:rsidR="00A174A4" w:rsidRPr="00C82C28">
        <w:rPr>
          <w:sz w:val="26"/>
          <w:szCs w:val="26"/>
        </w:rPr>
        <w:t>không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vì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lợi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nhuận</w:t>
      </w:r>
      <w:proofErr w:type="spellEnd"/>
      <w:r w:rsidR="00A174A4" w:rsidRPr="00C82C28">
        <w:rPr>
          <w:sz w:val="26"/>
          <w:szCs w:val="26"/>
        </w:rPr>
        <w:t>”.</w:t>
      </w:r>
      <w:r w:rsidR="000C7F28" w:rsidRPr="00C82C28">
        <w:rPr>
          <w:sz w:val="26"/>
          <w:szCs w:val="26"/>
        </w:rPr>
        <w:t xml:space="preserve"> </w:t>
      </w:r>
    </w:p>
    <w:p w:rsidR="00CF1973" w:rsidRDefault="000C7F28" w:rsidP="00A174A4">
      <w:pPr>
        <w:pStyle w:val="Normal1"/>
        <w:spacing w:before="240" w:after="240" w:line="240" w:lineRule="auto"/>
        <w:ind w:firstLine="720"/>
        <w:jc w:val="both"/>
        <w:rPr>
          <w:sz w:val="26"/>
          <w:szCs w:val="26"/>
        </w:rPr>
      </w:pPr>
      <w:r w:rsidRPr="00C82C28">
        <w:rPr>
          <w:i/>
          <w:sz w:val="26"/>
          <w:szCs w:val="26"/>
        </w:rPr>
        <w:t>c</w:t>
      </w:r>
      <w:r w:rsidR="00CF1973">
        <w:rPr>
          <w:i/>
          <w:sz w:val="26"/>
          <w:szCs w:val="26"/>
        </w:rPr>
        <w:t>)</w:t>
      </w:r>
      <w:r w:rsidR="00A174A4" w:rsidRPr="00C82C28">
        <w:rPr>
          <w:i/>
          <w:sz w:val="26"/>
          <w:szCs w:val="26"/>
        </w:rPr>
        <w:t xml:space="preserve">. </w:t>
      </w:r>
      <w:proofErr w:type="spellStart"/>
      <w:r w:rsidR="00A174A4" w:rsidRPr="00C82C28">
        <w:rPr>
          <w:i/>
          <w:sz w:val="26"/>
          <w:szCs w:val="26"/>
        </w:rPr>
        <w:t>Cơ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chế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chính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sách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thiếu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bình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đẳng</w:t>
      </w:r>
      <w:proofErr w:type="spellEnd"/>
      <w:r w:rsidR="00A174A4" w:rsidRPr="00C82C28">
        <w:rPr>
          <w:i/>
          <w:sz w:val="26"/>
          <w:szCs w:val="26"/>
        </w:rPr>
        <w:t>.</w:t>
      </w:r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Các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trường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đại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học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công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lập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và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trường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học</w:t>
      </w:r>
      <w:proofErr w:type="spellEnd"/>
      <w:r w:rsidRPr="00C82C28">
        <w:rPr>
          <w:sz w:val="26"/>
          <w:szCs w:val="26"/>
        </w:rPr>
        <w:t xml:space="preserve"> NCL</w:t>
      </w:r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đều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làm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nhiệm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vụ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như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nhau</w:t>
      </w:r>
      <w:proofErr w:type="spellEnd"/>
      <w:r w:rsidR="00A174A4" w:rsidRPr="00C82C28">
        <w:rPr>
          <w:sz w:val="26"/>
          <w:szCs w:val="26"/>
        </w:rPr>
        <w:t xml:space="preserve">. </w:t>
      </w:r>
      <w:proofErr w:type="spellStart"/>
      <w:r w:rsidR="00A174A4" w:rsidRPr="00C82C28">
        <w:rPr>
          <w:sz w:val="26"/>
          <w:szCs w:val="26"/>
        </w:rPr>
        <w:t>Tuy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="00A174A4" w:rsidRPr="00C82C28">
        <w:rPr>
          <w:sz w:val="26"/>
          <w:szCs w:val="26"/>
        </w:rPr>
        <w:t>vậy</w:t>
      </w:r>
      <w:proofErr w:type="spellEnd"/>
      <w:r w:rsidR="00A174A4" w:rsidRPr="00C82C28">
        <w:rPr>
          <w:sz w:val="26"/>
          <w:szCs w:val="26"/>
        </w:rPr>
        <w:t xml:space="preserve">, </w:t>
      </w:r>
      <w:proofErr w:type="spellStart"/>
      <w:r w:rsidR="00A174A4" w:rsidRPr="00C82C28">
        <w:rPr>
          <w:sz w:val="26"/>
          <w:szCs w:val="26"/>
        </w:rPr>
        <w:t>trường</w:t>
      </w:r>
      <w:proofErr w:type="spellEnd"/>
      <w:r w:rsidR="00A174A4"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đại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học</w:t>
      </w:r>
      <w:proofErr w:type="spellEnd"/>
      <w:r w:rsidRPr="00C82C28">
        <w:rPr>
          <w:sz w:val="26"/>
          <w:szCs w:val="26"/>
        </w:rPr>
        <w:t xml:space="preserve"> NCL</w:t>
      </w:r>
      <w:r w:rsidR="00A174A4" w:rsidRPr="00C82C28">
        <w:rPr>
          <w:sz w:val="26"/>
          <w:szCs w:val="26"/>
        </w:rPr>
        <w:t xml:space="preserve"> </w:t>
      </w:r>
      <w:proofErr w:type="spellStart"/>
      <w:r w:rsidR="00CF1973">
        <w:rPr>
          <w:sz w:val="26"/>
          <w:szCs w:val="26"/>
        </w:rPr>
        <w:t>hàng</w:t>
      </w:r>
      <w:proofErr w:type="spellEnd"/>
      <w:r w:rsidR="00CF1973">
        <w:rPr>
          <w:sz w:val="26"/>
          <w:szCs w:val="26"/>
        </w:rPr>
        <w:t xml:space="preserve"> </w:t>
      </w:r>
      <w:proofErr w:type="spellStart"/>
      <w:r w:rsidR="00CF1973">
        <w:rPr>
          <w:sz w:val="26"/>
          <w:szCs w:val="26"/>
        </w:rPr>
        <w:t>năm</w:t>
      </w:r>
      <w:proofErr w:type="spellEnd"/>
      <w:r w:rsidR="00CF1973">
        <w:rPr>
          <w:sz w:val="26"/>
          <w:szCs w:val="26"/>
        </w:rPr>
        <w:t xml:space="preserve"> </w:t>
      </w:r>
      <w:proofErr w:type="spellStart"/>
      <w:r w:rsidR="00CF1973">
        <w:rPr>
          <w:sz w:val="26"/>
          <w:szCs w:val="26"/>
        </w:rPr>
        <w:t>phải</w:t>
      </w:r>
      <w:proofErr w:type="spellEnd"/>
      <w:r w:rsidR="00CF1973">
        <w:rPr>
          <w:sz w:val="26"/>
          <w:szCs w:val="26"/>
        </w:rPr>
        <w:t xml:space="preserve"> </w:t>
      </w:r>
      <w:proofErr w:type="spellStart"/>
      <w:r w:rsidR="00CF1973">
        <w:rPr>
          <w:sz w:val="26"/>
          <w:szCs w:val="26"/>
        </w:rPr>
        <w:t>đóng</w:t>
      </w:r>
      <w:proofErr w:type="spellEnd"/>
      <w:r w:rsidR="00CF1973">
        <w:rPr>
          <w:sz w:val="26"/>
          <w:szCs w:val="26"/>
        </w:rPr>
        <w:t xml:space="preserve"> </w:t>
      </w:r>
      <w:proofErr w:type="spellStart"/>
      <w:r w:rsidR="00CF1973">
        <w:rPr>
          <w:sz w:val="26"/>
          <w:szCs w:val="26"/>
        </w:rPr>
        <w:t>thuế</w:t>
      </w:r>
      <w:proofErr w:type="spellEnd"/>
      <w:r w:rsidR="008605BB">
        <w:rPr>
          <w:sz w:val="26"/>
          <w:szCs w:val="26"/>
        </w:rPr>
        <w:t xml:space="preserve"> </w:t>
      </w:r>
      <w:proofErr w:type="spellStart"/>
      <w:r w:rsidR="008605BB">
        <w:rPr>
          <w:sz w:val="26"/>
          <w:szCs w:val="26"/>
        </w:rPr>
        <w:t>thu</w:t>
      </w:r>
      <w:proofErr w:type="spellEnd"/>
      <w:r w:rsidR="008605BB">
        <w:rPr>
          <w:sz w:val="26"/>
          <w:szCs w:val="26"/>
        </w:rPr>
        <w:t xml:space="preserve"> </w:t>
      </w:r>
      <w:proofErr w:type="spellStart"/>
      <w:r w:rsidR="008605BB">
        <w:rPr>
          <w:sz w:val="26"/>
          <w:szCs w:val="26"/>
        </w:rPr>
        <w:t>nhập</w:t>
      </w:r>
      <w:proofErr w:type="spellEnd"/>
      <w:r w:rsidR="008605BB">
        <w:rPr>
          <w:sz w:val="26"/>
          <w:szCs w:val="26"/>
        </w:rPr>
        <w:t xml:space="preserve"> </w:t>
      </w:r>
      <w:proofErr w:type="spellStart"/>
      <w:r w:rsidR="008605BB">
        <w:rPr>
          <w:sz w:val="26"/>
          <w:szCs w:val="26"/>
        </w:rPr>
        <w:t>doanh</w:t>
      </w:r>
      <w:proofErr w:type="spellEnd"/>
      <w:r w:rsidR="008605BB">
        <w:rPr>
          <w:sz w:val="26"/>
          <w:szCs w:val="26"/>
        </w:rPr>
        <w:t xml:space="preserve"> </w:t>
      </w:r>
      <w:proofErr w:type="spellStart"/>
      <w:r w:rsidR="008605BB">
        <w:rPr>
          <w:sz w:val="26"/>
          <w:szCs w:val="26"/>
        </w:rPr>
        <w:t>nghiệp</w:t>
      </w:r>
      <w:proofErr w:type="spellEnd"/>
      <w:r w:rsidR="00CF1973">
        <w:rPr>
          <w:sz w:val="26"/>
          <w:szCs w:val="26"/>
        </w:rPr>
        <w:t>.</w:t>
      </w:r>
    </w:p>
    <w:p w:rsidR="00A174A4" w:rsidRPr="00C82C28" w:rsidRDefault="00CF1973" w:rsidP="00A174A4">
      <w:pPr>
        <w:pStyle w:val="Normal1"/>
        <w:spacing w:before="240" w:after="240" w:line="240" w:lineRule="auto"/>
        <w:ind w:firstLine="720"/>
        <w:jc w:val="both"/>
        <w:rPr>
          <w:sz w:val="26"/>
          <w:szCs w:val="26"/>
        </w:rPr>
      </w:pPr>
      <w:r w:rsidRPr="00C82C28">
        <w:rPr>
          <w:i/>
          <w:sz w:val="26"/>
          <w:szCs w:val="26"/>
        </w:rPr>
        <w:t xml:space="preserve"> </w:t>
      </w:r>
      <w:r w:rsidR="000C7F28" w:rsidRPr="00C82C28">
        <w:rPr>
          <w:i/>
          <w:sz w:val="26"/>
          <w:szCs w:val="26"/>
        </w:rPr>
        <w:t>d</w:t>
      </w:r>
      <w:r w:rsidR="00A174A4" w:rsidRPr="00C82C28">
        <w:rPr>
          <w:i/>
          <w:sz w:val="26"/>
          <w:szCs w:val="26"/>
        </w:rPr>
        <w:t xml:space="preserve">. </w:t>
      </w:r>
      <w:proofErr w:type="spellStart"/>
      <w:r w:rsidR="00A174A4" w:rsidRPr="00C82C28">
        <w:rPr>
          <w:i/>
          <w:sz w:val="26"/>
          <w:szCs w:val="26"/>
        </w:rPr>
        <w:t>Một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số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cơ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chế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chính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sách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thiếu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ổn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định</w:t>
      </w:r>
      <w:proofErr w:type="spellEnd"/>
      <w:r w:rsidR="00A174A4" w:rsidRPr="00C82C28">
        <w:rPr>
          <w:i/>
          <w:sz w:val="26"/>
          <w:szCs w:val="26"/>
        </w:rPr>
        <w:t xml:space="preserve">, </w:t>
      </w:r>
      <w:proofErr w:type="spellStart"/>
      <w:r w:rsidR="00A174A4" w:rsidRPr="00C82C28">
        <w:rPr>
          <w:i/>
          <w:sz w:val="26"/>
          <w:szCs w:val="26"/>
        </w:rPr>
        <w:t>xung</w:t>
      </w:r>
      <w:proofErr w:type="spellEnd"/>
      <w:r w:rsidR="00A174A4" w:rsidRPr="00C82C28">
        <w:rPr>
          <w:i/>
          <w:sz w:val="26"/>
          <w:szCs w:val="26"/>
        </w:rPr>
        <w:t xml:space="preserve"> </w:t>
      </w:r>
      <w:proofErr w:type="spellStart"/>
      <w:r w:rsidR="00A174A4" w:rsidRPr="00C82C28">
        <w:rPr>
          <w:i/>
          <w:sz w:val="26"/>
          <w:szCs w:val="26"/>
        </w:rPr>
        <w:t>đột</w:t>
      </w:r>
      <w:proofErr w:type="spellEnd"/>
      <w:r w:rsidR="003E1339">
        <w:rPr>
          <w:i/>
          <w:sz w:val="26"/>
          <w:szCs w:val="26"/>
        </w:rPr>
        <w:t xml:space="preserve">. </w:t>
      </w:r>
      <w:r w:rsidR="00BF7105">
        <w:rPr>
          <w:sz w:val="26"/>
          <w:szCs w:val="26"/>
        </w:rPr>
        <w:t xml:space="preserve">Xin </w:t>
      </w:r>
      <w:proofErr w:type="spellStart"/>
      <w:r w:rsidR="00BF7105">
        <w:rPr>
          <w:sz w:val="26"/>
          <w:szCs w:val="26"/>
        </w:rPr>
        <w:t>nêu</w:t>
      </w:r>
      <w:proofErr w:type="spellEnd"/>
      <w:r w:rsidR="00BF7105">
        <w:rPr>
          <w:sz w:val="26"/>
          <w:szCs w:val="26"/>
        </w:rPr>
        <w:t xml:space="preserve"> </w:t>
      </w:r>
      <w:proofErr w:type="spellStart"/>
      <w:r w:rsidR="00BF7105">
        <w:rPr>
          <w:sz w:val="26"/>
          <w:szCs w:val="26"/>
        </w:rPr>
        <w:t>v</w:t>
      </w:r>
      <w:r w:rsidR="003E1339" w:rsidRPr="003E1339">
        <w:rPr>
          <w:sz w:val="26"/>
          <w:szCs w:val="26"/>
        </w:rPr>
        <w:t>ài</w:t>
      </w:r>
      <w:proofErr w:type="spellEnd"/>
      <w:r w:rsidR="003E1339" w:rsidRPr="003E1339">
        <w:rPr>
          <w:sz w:val="26"/>
          <w:szCs w:val="26"/>
        </w:rPr>
        <w:t xml:space="preserve"> </w:t>
      </w:r>
      <w:proofErr w:type="spellStart"/>
      <w:r w:rsidR="003E1339" w:rsidRPr="003E1339">
        <w:rPr>
          <w:sz w:val="26"/>
          <w:szCs w:val="26"/>
        </w:rPr>
        <w:t>hiện</w:t>
      </w:r>
      <w:proofErr w:type="spellEnd"/>
      <w:r w:rsidR="003E1339" w:rsidRPr="003E1339">
        <w:rPr>
          <w:sz w:val="26"/>
          <w:szCs w:val="26"/>
        </w:rPr>
        <w:t xml:space="preserve"> </w:t>
      </w:r>
      <w:proofErr w:type="spellStart"/>
      <w:r w:rsidR="003E1339" w:rsidRPr="003E1339">
        <w:rPr>
          <w:sz w:val="26"/>
          <w:szCs w:val="26"/>
        </w:rPr>
        <w:t>tượng</w:t>
      </w:r>
      <w:proofErr w:type="spellEnd"/>
      <w:r w:rsidR="003E1339" w:rsidRPr="003E1339">
        <w:rPr>
          <w:sz w:val="26"/>
          <w:szCs w:val="26"/>
        </w:rPr>
        <w:t>:</w:t>
      </w:r>
    </w:p>
    <w:p w:rsidR="00C958E3" w:rsidRPr="00C82C28" w:rsidRDefault="00A174A4" w:rsidP="00A174A4">
      <w:pPr>
        <w:pStyle w:val="Normal1"/>
        <w:spacing w:before="240" w:after="240" w:line="240" w:lineRule="auto"/>
        <w:ind w:firstLine="720"/>
        <w:jc w:val="both"/>
        <w:rPr>
          <w:i/>
          <w:sz w:val="26"/>
          <w:szCs w:val="26"/>
        </w:rPr>
      </w:pPr>
      <w:r w:rsidRPr="00C82C28">
        <w:rPr>
          <w:sz w:val="26"/>
          <w:szCs w:val="26"/>
        </w:rPr>
        <w:t xml:space="preserve"> </w:t>
      </w:r>
      <w:proofErr w:type="spellStart"/>
      <w:r w:rsidR="00E50AEE">
        <w:rPr>
          <w:sz w:val="26"/>
          <w:szCs w:val="26"/>
        </w:rPr>
        <w:t>Q</w:t>
      </w:r>
      <w:r w:rsidR="008605BB">
        <w:rPr>
          <w:sz w:val="26"/>
          <w:szCs w:val="26"/>
        </w:rPr>
        <w:t>u</w:t>
      </w:r>
      <w:r w:rsidRPr="00C82C28">
        <w:rPr>
          <w:sz w:val="26"/>
          <w:szCs w:val="26"/>
        </w:rPr>
        <w:t>yền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sở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hữu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vốn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góp</w:t>
      </w:r>
      <w:proofErr w:type="spellEnd"/>
      <w:r w:rsidRPr="00C82C28">
        <w:rPr>
          <w:sz w:val="26"/>
          <w:szCs w:val="26"/>
        </w:rPr>
        <w:t xml:space="preserve">: </w:t>
      </w:r>
      <w:proofErr w:type="spellStart"/>
      <w:r w:rsidRPr="00C82C28">
        <w:rPr>
          <w:sz w:val="26"/>
          <w:szCs w:val="26"/>
        </w:rPr>
        <w:t>từ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sở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hữu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tư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nhân</w:t>
      </w:r>
      <w:proofErr w:type="spellEnd"/>
      <w:r w:rsidRPr="00C82C28">
        <w:rPr>
          <w:sz w:val="26"/>
          <w:szCs w:val="26"/>
        </w:rPr>
        <w:t xml:space="preserve"> (1993) =&gt; </w:t>
      </w:r>
      <w:proofErr w:type="spellStart"/>
      <w:r w:rsidRPr="00C82C28">
        <w:rPr>
          <w:sz w:val="26"/>
          <w:szCs w:val="26"/>
        </w:rPr>
        <w:t>bỏ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ngỏ</w:t>
      </w:r>
      <w:proofErr w:type="spellEnd"/>
      <w:r w:rsidRPr="00C82C28">
        <w:rPr>
          <w:sz w:val="26"/>
          <w:szCs w:val="26"/>
        </w:rPr>
        <w:t xml:space="preserve"> (1994) =&gt; </w:t>
      </w:r>
      <w:proofErr w:type="spellStart"/>
      <w:r w:rsidRPr="00C82C28">
        <w:rPr>
          <w:sz w:val="26"/>
          <w:szCs w:val="26"/>
        </w:rPr>
        <w:t>sở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hữu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tập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thể</w:t>
      </w:r>
      <w:proofErr w:type="spellEnd"/>
      <w:r w:rsidRPr="00C82C28">
        <w:rPr>
          <w:sz w:val="26"/>
          <w:szCs w:val="26"/>
        </w:rPr>
        <w:t xml:space="preserve"> (2000) =&gt; </w:t>
      </w:r>
      <w:proofErr w:type="spellStart"/>
      <w:r w:rsidRPr="00C82C28">
        <w:rPr>
          <w:sz w:val="26"/>
          <w:szCs w:val="26"/>
        </w:rPr>
        <w:t>sở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hữu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tư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nhân</w:t>
      </w:r>
      <w:proofErr w:type="spellEnd"/>
      <w:r w:rsidRPr="00C82C28">
        <w:rPr>
          <w:sz w:val="26"/>
          <w:szCs w:val="26"/>
        </w:rPr>
        <w:t xml:space="preserve"> (2005) =&gt;</w:t>
      </w:r>
      <w:proofErr w:type="spellStart"/>
      <w:r w:rsidRPr="00C82C28">
        <w:rPr>
          <w:sz w:val="26"/>
          <w:szCs w:val="26"/>
        </w:rPr>
        <w:t>sở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hữu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tư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nhân</w:t>
      </w:r>
      <w:proofErr w:type="spellEnd"/>
      <w:r w:rsidRPr="00C82C28">
        <w:rPr>
          <w:sz w:val="26"/>
          <w:szCs w:val="26"/>
        </w:rPr>
        <w:t xml:space="preserve"> + </w:t>
      </w:r>
      <w:proofErr w:type="spellStart"/>
      <w:r w:rsidRPr="00C82C28">
        <w:rPr>
          <w:sz w:val="26"/>
          <w:szCs w:val="26"/>
        </w:rPr>
        <w:t>sở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hữu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chung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không</w:t>
      </w:r>
      <w:proofErr w:type="spellEnd"/>
      <w:r w:rsidRPr="00C82C28">
        <w:rPr>
          <w:sz w:val="26"/>
          <w:szCs w:val="26"/>
        </w:rPr>
        <w:t xml:space="preserve"> chia (2012).</w:t>
      </w:r>
      <w:r w:rsidR="005021A8">
        <w:rPr>
          <w:sz w:val="26"/>
          <w:szCs w:val="26"/>
        </w:rPr>
        <w:t xml:space="preserve"> </w:t>
      </w:r>
      <w:proofErr w:type="spellStart"/>
      <w:r w:rsidR="00620609">
        <w:rPr>
          <w:sz w:val="26"/>
          <w:szCs w:val="26"/>
        </w:rPr>
        <w:t>T</w:t>
      </w:r>
      <w:r w:rsidR="00C958E3" w:rsidRPr="00B2547F">
        <w:rPr>
          <w:sz w:val="26"/>
          <w:szCs w:val="26"/>
        </w:rPr>
        <w:t>ài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sản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tích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lũy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trong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quá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trình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hoạt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động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của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trường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tư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thục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620609">
        <w:rPr>
          <w:sz w:val="26"/>
          <w:szCs w:val="26"/>
        </w:rPr>
        <w:t>được</w:t>
      </w:r>
      <w:proofErr w:type="spellEnd"/>
      <w:r w:rsidR="00620609">
        <w:rPr>
          <w:sz w:val="26"/>
          <w:szCs w:val="26"/>
        </w:rPr>
        <w:t xml:space="preserve"> </w:t>
      </w:r>
      <w:proofErr w:type="spellStart"/>
      <w:r w:rsidR="00620609">
        <w:rPr>
          <w:sz w:val="26"/>
          <w:szCs w:val="26"/>
        </w:rPr>
        <w:t>L</w:t>
      </w:r>
      <w:r w:rsidR="00BF7105">
        <w:rPr>
          <w:sz w:val="26"/>
          <w:szCs w:val="26"/>
        </w:rPr>
        <w:t>u</w:t>
      </w:r>
      <w:r w:rsidR="00620609">
        <w:rPr>
          <w:sz w:val="26"/>
          <w:szCs w:val="26"/>
        </w:rPr>
        <w:t>ật</w:t>
      </w:r>
      <w:proofErr w:type="spellEnd"/>
      <w:r w:rsidR="00620609">
        <w:rPr>
          <w:sz w:val="26"/>
          <w:szCs w:val="26"/>
        </w:rPr>
        <w:t xml:space="preserve"> </w:t>
      </w:r>
      <w:proofErr w:type="spellStart"/>
      <w:r w:rsidR="00620609">
        <w:rPr>
          <w:sz w:val="26"/>
          <w:szCs w:val="26"/>
        </w:rPr>
        <w:t>Giáo</w:t>
      </w:r>
      <w:proofErr w:type="spellEnd"/>
      <w:r w:rsidR="00620609">
        <w:rPr>
          <w:sz w:val="26"/>
          <w:szCs w:val="26"/>
        </w:rPr>
        <w:t xml:space="preserve"> </w:t>
      </w:r>
      <w:proofErr w:type="spellStart"/>
      <w:r w:rsidR="00620609">
        <w:rPr>
          <w:sz w:val="26"/>
          <w:szCs w:val="26"/>
        </w:rPr>
        <w:t>dục</w:t>
      </w:r>
      <w:proofErr w:type="spellEnd"/>
      <w:r w:rsidR="00620609">
        <w:rPr>
          <w:sz w:val="26"/>
          <w:szCs w:val="26"/>
        </w:rPr>
        <w:t xml:space="preserve"> </w:t>
      </w:r>
      <w:proofErr w:type="spellStart"/>
      <w:r w:rsidR="00620609">
        <w:rPr>
          <w:sz w:val="26"/>
          <w:szCs w:val="26"/>
        </w:rPr>
        <w:t>quy</w:t>
      </w:r>
      <w:proofErr w:type="spellEnd"/>
      <w:r w:rsidR="00620609">
        <w:rPr>
          <w:sz w:val="26"/>
          <w:szCs w:val="26"/>
        </w:rPr>
        <w:t xml:space="preserve"> </w:t>
      </w:r>
      <w:proofErr w:type="spellStart"/>
      <w:r w:rsidR="00620609">
        <w:rPr>
          <w:sz w:val="26"/>
          <w:szCs w:val="26"/>
        </w:rPr>
        <w:t>định</w:t>
      </w:r>
      <w:proofErr w:type="spellEnd"/>
      <w:r w:rsidR="00620609">
        <w:rPr>
          <w:sz w:val="26"/>
          <w:szCs w:val="26"/>
        </w:rPr>
        <w:t xml:space="preserve"> </w:t>
      </w:r>
      <w:proofErr w:type="spellStart"/>
      <w:r w:rsidR="00620609">
        <w:rPr>
          <w:sz w:val="26"/>
          <w:szCs w:val="26"/>
        </w:rPr>
        <w:t>là</w:t>
      </w:r>
      <w:proofErr w:type="spellEnd"/>
      <w:r w:rsidR="00620609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thuộc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proofErr w:type="gramStart"/>
      <w:r w:rsidR="00C958E3" w:rsidRPr="00B2547F">
        <w:rPr>
          <w:sz w:val="26"/>
          <w:szCs w:val="26"/>
        </w:rPr>
        <w:t>s</w:t>
      </w:r>
      <w:r w:rsidR="00B2547F">
        <w:rPr>
          <w:sz w:val="26"/>
          <w:szCs w:val="26"/>
        </w:rPr>
        <w:t>ở</w:t>
      </w:r>
      <w:proofErr w:type="spellEnd"/>
      <w:r w:rsidR="00B2547F">
        <w:rPr>
          <w:sz w:val="26"/>
          <w:szCs w:val="26"/>
        </w:rPr>
        <w:t xml:space="preserve">  </w:t>
      </w:r>
      <w:proofErr w:type="spellStart"/>
      <w:r w:rsidR="00B2547F">
        <w:rPr>
          <w:sz w:val="26"/>
          <w:szCs w:val="26"/>
        </w:rPr>
        <w:t>hữu</w:t>
      </w:r>
      <w:proofErr w:type="spellEnd"/>
      <w:proofErr w:type="gramEnd"/>
      <w:r w:rsidR="00B2547F">
        <w:rPr>
          <w:sz w:val="26"/>
          <w:szCs w:val="26"/>
        </w:rPr>
        <w:t xml:space="preserve"> </w:t>
      </w:r>
      <w:proofErr w:type="spellStart"/>
      <w:r w:rsidR="00B2547F">
        <w:rPr>
          <w:sz w:val="26"/>
          <w:szCs w:val="26"/>
        </w:rPr>
        <w:t>tư</w:t>
      </w:r>
      <w:proofErr w:type="spellEnd"/>
      <w:r w:rsidR="00B2547F">
        <w:rPr>
          <w:sz w:val="26"/>
          <w:szCs w:val="26"/>
        </w:rPr>
        <w:t xml:space="preserve"> </w:t>
      </w:r>
      <w:proofErr w:type="spellStart"/>
      <w:r w:rsidR="00B2547F">
        <w:rPr>
          <w:sz w:val="26"/>
          <w:szCs w:val="26"/>
        </w:rPr>
        <w:t>nhâ</w:t>
      </w:r>
      <w:r w:rsidR="00C958E3" w:rsidRPr="00B2547F">
        <w:rPr>
          <w:sz w:val="26"/>
          <w:szCs w:val="26"/>
        </w:rPr>
        <w:t>n</w:t>
      </w:r>
      <w:proofErr w:type="spellEnd"/>
      <w:r w:rsidR="00E50AEE">
        <w:rPr>
          <w:sz w:val="26"/>
          <w:szCs w:val="26"/>
        </w:rPr>
        <w:t xml:space="preserve">. </w:t>
      </w:r>
      <w:proofErr w:type="spellStart"/>
      <w:r w:rsidR="00620609">
        <w:rPr>
          <w:sz w:val="26"/>
          <w:szCs w:val="26"/>
        </w:rPr>
        <w:t>Nhưng</w:t>
      </w:r>
      <w:proofErr w:type="spellEnd"/>
      <w:r w:rsidR="00620609">
        <w:rPr>
          <w:sz w:val="26"/>
          <w:szCs w:val="26"/>
        </w:rPr>
        <w:t xml:space="preserve"> </w:t>
      </w:r>
      <w:proofErr w:type="spellStart"/>
      <w:r w:rsidR="00620609">
        <w:rPr>
          <w:sz w:val="26"/>
          <w:szCs w:val="26"/>
        </w:rPr>
        <w:t>t</w:t>
      </w:r>
      <w:r w:rsidR="00C958E3" w:rsidRPr="00B2547F">
        <w:rPr>
          <w:sz w:val="26"/>
          <w:szCs w:val="26"/>
        </w:rPr>
        <w:t>ài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sản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đó</w:t>
      </w:r>
      <w:proofErr w:type="spellEnd"/>
      <w:r w:rsidR="00C958E3" w:rsidRPr="00B2547F">
        <w:rPr>
          <w:sz w:val="26"/>
          <w:szCs w:val="26"/>
        </w:rPr>
        <w:t xml:space="preserve"> ở </w:t>
      </w:r>
      <w:proofErr w:type="spellStart"/>
      <w:r w:rsidR="00C958E3" w:rsidRPr="00B2547F">
        <w:rPr>
          <w:sz w:val="26"/>
          <w:szCs w:val="26"/>
        </w:rPr>
        <w:t>Luật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Giáo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dục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620609">
        <w:rPr>
          <w:sz w:val="26"/>
          <w:szCs w:val="26"/>
        </w:rPr>
        <w:t>Đ</w:t>
      </w:r>
      <w:r w:rsidR="00C958E3" w:rsidRPr="00B2547F">
        <w:rPr>
          <w:sz w:val="26"/>
          <w:szCs w:val="26"/>
        </w:rPr>
        <w:t>ại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học</w:t>
      </w:r>
      <w:proofErr w:type="spellEnd"/>
      <w:r w:rsid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quy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định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là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tài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sản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chung</w:t>
      </w:r>
      <w:proofErr w:type="spellEnd"/>
      <w:r w:rsidR="00C958E3" w:rsidRPr="00B2547F">
        <w:rPr>
          <w:sz w:val="26"/>
          <w:szCs w:val="26"/>
        </w:rPr>
        <w:t xml:space="preserve"> </w:t>
      </w:r>
      <w:proofErr w:type="spellStart"/>
      <w:r w:rsidR="00C958E3" w:rsidRPr="00B2547F">
        <w:rPr>
          <w:sz w:val="26"/>
          <w:szCs w:val="26"/>
        </w:rPr>
        <w:t>không</w:t>
      </w:r>
      <w:proofErr w:type="spellEnd"/>
      <w:r w:rsidR="00C958E3" w:rsidRPr="00B2547F">
        <w:rPr>
          <w:sz w:val="26"/>
          <w:szCs w:val="26"/>
        </w:rPr>
        <w:t xml:space="preserve"> chia.</w:t>
      </w:r>
      <w:r w:rsidR="00C958E3" w:rsidRPr="00C82C28">
        <w:rPr>
          <w:i/>
          <w:sz w:val="26"/>
          <w:szCs w:val="26"/>
        </w:rPr>
        <w:t xml:space="preserve"> </w:t>
      </w:r>
    </w:p>
    <w:p w:rsidR="00A174A4" w:rsidRPr="00C82C28" w:rsidRDefault="0000396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b/>
          <w:color w:val="000000"/>
          <w:sz w:val="26"/>
          <w:szCs w:val="26"/>
        </w:rPr>
      </w:pPr>
      <w:r w:rsidRPr="00C82C28">
        <w:rPr>
          <w:color w:val="000000"/>
          <w:sz w:val="26"/>
          <w:szCs w:val="26"/>
        </w:rPr>
        <w:t>3</w:t>
      </w:r>
      <w:r w:rsidR="00E005C8" w:rsidRPr="00C82C28">
        <w:rPr>
          <w:color w:val="000000"/>
          <w:sz w:val="26"/>
          <w:szCs w:val="26"/>
        </w:rPr>
        <w:t xml:space="preserve">. </w:t>
      </w:r>
      <w:proofErr w:type="spellStart"/>
      <w:r w:rsidR="00E005C8" w:rsidRPr="00C82C28">
        <w:rPr>
          <w:b/>
          <w:color w:val="000000"/>
          <w:sz w:val="26"/>
          <w:szCs w:val="26"/>
        </w:rPr>
        <w:t>Dấu</w:t>
      </w:r>
      <w:proofErr w:type="spellEnd"/>
      <w:r w:rsidR="00E005C8" w:rsidRPr="00C82C28">
        <w:rPr>
          <w:b/>
          <w:color w:val="000000"/>
          <w:sz w:val="26"/>
          <w:szCs w:val="26"/>
        </w:rPr>
        <w:t xml:space="preserve"> </w:t>
      </w:r>
      <w:proofErr w:type="spellStart"/>
      <w:r w:rsidR="00E005C8" w:rsidRPr="00C82C28">
        <w:rPr>
          <w:b/>
          <w:color w:val="000000"/>
          <w:sz w:val="26"/>
          <w:szCs w:val="26"/>
        </w:rPr>
        <w:t>ấn</w:t>
      </w:r>
      <w:proofErr w:type="spellEnd"/>
      <w:r w:rsidR="00E005C8" w:rsidRPr="00C82C28">
        <w:rPr>
          <w:b/>
          <w:color w:val="000000"/>
          <w:sz w:val="26"/>
          <w:szCs w:val="26"/>
        </w:rPr>
        <w:t xml:space="preserve"> </w:t>
      </w:r>
      <w:proofErr w:type="spellStart"/>
      <w:r w:rsidR="005C4B94">
        <w:rPr>
          <w:b/>
          <w:color w:val="000000"/>
          <w:sz w:val="26"/>
          <w:szCs w:val="26"/>
        </w:rPr>
        <w:t>chính</w:t>
      </w:r>
      <w:proofErr w:type="spellEnd"/>
      <w:r w:rsidR="005C4B94">
        <w:rPr>
          <w:b/>
          <w:color w:val="000000"/>
          <w:sz w:val="26"/>
          <w:szCs w:val="26"/>
        </w:rPr>
        <w:t xml:space="preserve"> </w:t>
      </w:r>
      <w:proofErr w:type="spellStart"/>
      <w:r w:rsidR="005C4B94">
        <w:rPr>
          <w:b/>
          <w:color w:val="000000"/>
          <w:sz w:val="26"/>
          <w:szCs w:val="26"/>
        </w:rPr>
        <w:t>sách</w:t>
      </w:r>
      <w:proofErr w:type="spellEnd"/>
      <w:r w:rsidR="005C4B94">
        <w:rPr>
          <w:b/>
          <w:color w:val="000000"/>
          <w:sz w:val="26"/>
          <w:szCs w:val="26"/>
        </w:rPr>
        <w:t xml:space="preserve"> </w:t>
      </w:r>
      <w:r w:rsidR="00E005C8" w:rsidRPr="00C82C28">
        <w:rPr>
          <w:b/>
          <w:color w:val="000000"/>
          <w:sz w:val="26"/>
          <w:szCs w:val="26"/>
        </w:rPr>
        <w:t>2018</w:t>
      </w:r>
    </w:p>
    <w:p w:rsidR="00A52AF8" w:rsidRPr="00C82C28" w:rsidRDefault="009A424F" w:rsidP="009A424F">
      <w:pPr>
        <w:pStyle w:val="Normal1"/>
        <w:spacing w:before="120" w:after="120" w:line="240" w:lineRule="auto"/>
        <w:ind w:firstLine="360"/>
        <w:jc w:val="both"/>
        <w:rPr>
          <w:sz w:val="26"/>
          <w:szCs w:val="26"/>
        </w:rPr>
      </w:pPr>
      <w:r w:rsidRPr="00C82C28">
        <w:rPr>
          <w:sz w:val="26"/>
          <w:szCs w:val="26"/>
        </w:rPr>
        <w:t xml:space="preserve">  </w:t>
      </w:r>
      <w:r w:rsidR="005C4B94">
        <w:rPr>
          <w:sz w:val="26"/>
          <w:szCs w:val="26"/>
        </w:rPr>
        <w:tab/>
      </w:r>
      <w:proofErr w:type="spellStart"/>
      <w:r w:rsidR="00551C35" w:rsidRPr="00C82C28">
        <w:rPr>
          <w:sz w:val="26"/>
          <w:szCs w:val="26"/>
        </w:rPr>
        <w:t>Trước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những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bất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cập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của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giáo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dục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đại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học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nói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chung</w:t>
      </w:r>
      <w:proofErr w:type="spellEnd"/>
      <w:r w:rsidR="00551C35" w:rsidRPr="00C82C28">
        <w:rPr>
          <w:sz w:val="26"/>
          <w:szCs w:val="26"/>
        </w:rPr>
        <w:t xml:space="preserve">, </w:t>
      </w:r>
      <w:proofErr w:type="spellStart"/>
      <w:r w:rsidR="00551C35" w:rsidRPr="00C82C28">
        <w:rPr>
          <w:sz w:val="26"/>
          <w:szCs w:val="26"/>
        </w:rPr>
        <w:t>giáo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dục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đại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học</w:t>
      </w:r>
      <w:proofErr w:type="spellEnd"/>
      <w:r w:rsidR="00551C35" w:rsidRPr="00C82C28">
        <w:rPr>
          <w:sz w:val="26"/>
          <w:szCs w:val="26"/>
        </w:rPr>
        <w:t xml:space="preserve"> NCL </w:t>
      </w:r>
      <w:proofErr w:type="spellStart"/>
      <w:r w:rsidR="00551C35" w:rsidRPr="00C82C28">
        <w:rPr>
          <w:sz w:val="26"/>
          <w:szCs w:val="26"/>
        </w:rPr>
        <w:t>nói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riêng</w:t>
      </w:r>
      <w:proofErr w:type="spellEnd"/>
      <w:r w:rsidR="00E50AEE">
        <w:rPr>
          <w:sz w:val="26"/>
          <w:szCs w:val="26"/>
        </w:rPr>
        <w:t xml:space="preserve">, </w:t>
      </w:r>
      <w:proofErr w:type="spellStart"/>
      <w:r w:rsidR="00551C35" w:rsidRPr="00C82C28">
        <w:rPr>
          <w:sz w:val="26"/>
          <w:szCs w:val="26"/>
        </w:rPr>
        <w:t>Nhà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n</w:t>
      </w:r>
      <w:r w:rsidR="005C4B94">
        <w:rPr>
          <w:sz w:val="26"/>
          <w:szCs w:val="26"/>
        </w:rPr>
        <w:t>ước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đã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quyết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định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sửa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đổi</w:t>
      </w:r>
      <w:proofErr w:type="spellEnd"/>
      <w:r w:rsidR="00551C35" w:rsidRPr="00C82C28">
        <w:rPr>
          <w:sz w:val="26"/>
          <w:szCs w:val="26"/>
        </w:rPr>
        <w:t xml:space="preserve">, </w:t>
      </w:r>
      <w:proofErr w:type="spellStart"/>
      <w:r w:rsidR="00551C35" w:rsidRPr="00C82C28">
        <w:rPr>
          <w:sz w:val="26"/>
          <w:szCs w:val="26"/>
        </w:rPr>
        <w:t>bổ</w:t>
      </w:r>
      <w:proofErr w:type="spellEnd"/>
      <w:r w:rsidR="00551C35" w:rsidRPr="00C82C28">
        <w:rPr>
          <w:sz w:val="26"/>
          <w:szCs w:val="26"/>
        </w:rPr>
        <w:t xml:space="preserve"> sung </w:t>
      </w:r>
      <w:proofErr w:type="spellStart"/>
      <w:r w:rsidR="00551C35" w:rsidRPr="00C82C28">
        <w:rPr>
          <w:sz w:val="26"/>
          <w:szCs w:val="26"/>
        </w:rPr>
        <w:t>một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số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điều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của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Luật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Giáo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dục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Đại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học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t</w:t>
      </w:r>
      <w:r w:rsidR="005C4B94">
        <w:rPr>
          <w:sz w:val="26"/>
          <w:szCs w:val="26"/>
        </w:rPr>
        <w:t>ại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Luật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số</w:t>
      </w:r>
      <w:proofErr w:type="spellEnd"/>
      <w:r w:rsidR="00551C35" w:rsidRPr="00C82C28">
        <w:rPr>
          <w:sz w:val="26"/>
          <w:szCs w:val="26"/>
        </w:rPr>
        <w:t xml:space="preserve"> 34/2018/QH14 </w:t>
      </w:r>
      <w:proofErr w:type="spellStart"/>
      <w:r w:rsidR="00551C35" w:rsidRPr="00C82C28">
        <w:rPr>
          <w:sz w:val="26"/>
          <w:szCs w:val="26"/>
        </w:rPr>
        <w:t>ngày</w:t>
      </w:r>
      <w:proofErr w:type="spellEnd"/>
      <w:r w:rsidR="00551C35" w:rsidRPr="00C82C28">
        <w:rPr>
          <w:sz w:val="26"/>
          <w:szCs w:val="26"/>
        </w:rPr>
        <w:t xml:space="preserve"> 19/11/2018. </w:t>
      </w:r>
      <w:proofErr w:type="spellStart"/>
      <w:r w:rsidR="0098548E">
        <w:rPr>
          <w:sz w:val="26"/>
          <w:szCs w:val="26"/>
        </w:rPr>
        <w:t>Từ</w:t>
      </w:r>
      <w:proofErr w:type="spellEnd"/>
      <w:r w:rsidR="0098548E">
        <w:rPr>
          <w:sz w:val="26"/>
          <w:szCs w:val="26"/>
        </w:rPr>
        <w:t xml:space="preserve"> </w:t>
      </w:r>
      <w:proofErr w:type="spellStart"/>
      <w:r w:rsidR="0098548E">
        <w:rPr>
          <w:sz w:val="26"/>
          <w:szCs w:val="26"/>
        </w:rPr>
        <w:t>góc</w:t>
      </w:r>
      <w:proofErr w:type="spellEnd"/>
      <w:r w:rsidR="0098548E">
        <w:rPr>
          <w:sz w:val="26"/>
          <w:szCs w:val="26"/>
        </w:rPr>
        <w:t xml:space="preserve"> </w:t>
      </w:r>
      <w:proofErr w:type="spellStart"/>
      <w:r w:rsidR="0098548E">
        <w:rPr>
          <w:sz w:val="26"/>
          <w:szCs w:val="26"/>
        </w:rPr>
        <w:t>nhìn</w:t>
      </w:r>
      <w:proofErr w:type="spellEnd"/>
      <w:r w:rsidR="0098548E">
        <w:rPr>
          <w:sz w:val="26"/>
          <w:szCs w:val="26"/>
        </w:rPr>
        <w:t xml:space="preserve"> </w:t>
      </w:r>
      <w:proofErr w:type="spellStart"/>
      <w:r w:rsidR="0098548E">
        <w:rPr>
          <w:sz w:val="26"/>
          <w:szCs w:val="26"/>
        </w:rPr>
        <w:t>về</w:t>
      </w:r>
      <w:proofErr w:type="spellEnd"/>
      <w:r w:rsidR="0098548E">
        <w:rPr>
          <w:sz w:val="26"/>
          <w:szCs w:val="26"/>
        </w:rPr>
        <w:t xml:space="preserve"> </w:t>
      </w:r>
      <w:proofErr w:type="spellStart"/>
      <w:r w:rsidR="0098548E">
        <w:rPr>
          <w:sz w:val="26"/>
          <w:szCs w:val="26"/>
        </w:rPr>
        <w:t>giáo</w:t>
      </w:r>
      <w:proofErr w:type="spellEnd"/>
      <w:r w:rsidR="0098548E">
        <w:rPr>
          <w:sz w:val="26"/>
          <w:szCs w:val="26"/>
        </w:rPr>
        <w:t xml:space="preserve"> </w:t>
      </w:r>
      <w:proofErr w:type="spellStart"/>
      <w:r w:rsidR="0098548E">
        <w:rPr>
          <w:sz w:val="26"/>
          <w:szCs w:val="26"/>
        </w:rPr>
        <w:t>dục</w:t>
      </w:r>
      <w:proofErr w:type="spellEnd"/>
      <w:r w:rsidR="0098548E">
        <w:rPr>
          <w:sz w:val="26"/>
          <w:szCs w:val="26"/>
        </w:rPr>
        <w:t xml:space="preserve"> </w:t>
      </w:r>
      <w:proofErr w:type="spellStart"/>
      <w:r w:rsidR="0098548E">
        <w:rPr>
          <w:sz w:val="26"/>
          <w:szCs w:val="26"/>
        </w:rPr>
        <w:t>đại</w:t>
      </w:r>
      <w:proofErr w:type="spellEnd"/>
      <w:r w:rsidR="0098548E">
        <w:rPr>
          <w:sz w:val="26"/>
          <w:szCs w:val="26"/>
        </w:rPr>
        <w:t xml:space="preserve"> </w:t>
      </w:r>
      <w:proofErr w:type="spellStart"/>
      <w:r w:rsidR="0098548E">
        <w:rPr>
          <w:sz w:val="26"/>
          <w:szCs w:val="26"/>
        </w:rPr>
        <w:t>học</w:t>
      </w:r>
      <w:proofErr w:type="spellEnd"/>
      <w:r w:rsidR="0098548E">
        <w:rPr>
          <w:sz w:val="26"/>
          <w:szCs w:val="26"/>
        </w:rPr>
        <w:t xml:space="preserve"> NCL, </w:t>
      </w:r>
      <w:proofErr w:type="spellStart"/>
      <w:r w:rsidR="00A52AF8" w:rsidRPr="00C82C28">
        <w:rPr>
          <w:sz w:val="26"/>
          <w:szCs w:val="26"/>
        </w:rPr>
        <w:t>L</w:t>
      </w:r>
      <w:r w:rsidR="00551C35" w:rsidRPr="00C82C28">
        <w:rPr>
          <w:sz w:val="26"/>
          <w:szCs w:val="26"/>
        </w:rPr>
        <w:t>uật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E50AEE">
        <w:rPr>
          <w:sz w:val="26"/>
          <w:szCs w:val="26"/>
        </w:rPr>
        <w:t>này</w:t>
      </w:r>
      <w:proofErr w:type="spellEnd"/>
      <w:r w:rsidR="00E50AEE">
        <w:rPr>
          <w:sz w:val="26"/>
          <w:szCs w:val="26"/>
        </w:rPr>
        <w:t xml:space="preserve"> </w:t>
      </w:r>
      <w:proofErr w:type="spellStart"/>
      <w:r w:rsidR="00A52AF8" w:rsidRPr="00C82C28">
        <w:rPr>
          <w:sz w:val="26"/>
          <w:szCs w:val="26"/>
        </w:rPr>
        <w:t>có</w:t>
      </w:r>
      <w:proofErr w:type="spellEnd"/>
      <w:r w:rsidR="00A52AF8" w:rsidRPr="00C82C28">
        <w:rPr>
          <w:sz w:val="26"/>
          <w:szCs w:val="26"/>
        </w:rPr>
        <w:t xml:space="preserve"> </w:t>
      </w:r>
      <w:proofErr w:type="spellStart"/>
      <w:r w:rsidR="00A52AF8" w:rsidRPr="00C82C28">
        <w:rPr>
          <w:sz w:val="26"/>
          <w:szCs w:val="26"/>
        </w:rPr>
        <w:t>những</w:t>
      </w:r>
      <w:proofErr w:type="spellEnd"/>
      <w:r w:rsidR="00A52AF8" w:rsidRPr="00C82C28">
        <w:rPr>
          <w:sz w:val="26"/>
          <w:szCs w:val="26"/>
        </w:rPr>
        <w:t xml:space="preserve"> </w:t>
      </w:r>
      <w:proofErr w:type="spellStart"/>
      <w:r w:rsidR="00E50AEE">
        <w:rPr>
          <w:sz w:val="26"/>
          <w:szCs w:val="26"/>
        </w:rPr>
        <w:t>điểm</w:t>
      </w:r>
      <w:proofErr w:type="spellEnd"/>
      <w:r w:rsidR="00E50AEE">
        <w:rPr>
          <w:sz w:val="26"/>
          <w:szCs w:val="26"/>
        </w:rPr>
        <w:t xml:space="preserve"> </w:t>
      </w:r>
      <w:proofErr w:type="spellStart"/>
      <w:r w:rsidR="00A52AF8" w:rsidRPr="00C82C28">
        <w:rPr>
          <w:sz w:val="26"/>
          <w:szCs w:val="26"/>
        </w:rPr>
        <w:t>đáng</w:t>
      </w:r>
      <w:proofErr w:type="spellEnd"/>
      <w:r w:rsidR="00A52AF8" w:rsidRPr="00C82C28">
        <w:rPr>
          <w:sz w:val="26"/>
          <w:szCs w:val="26"/>
        </w:rPr>
        <w:t xml:space="preserve"> </w:t>
      </w:r>
      <w:proofErr w:type="spellStart"/>
      <w:r w:rsidR="00A52AF8" w:rsidRPr="00C82C28">
        <w:rPr>
          <w:sz w:val="26"/>
          <w:szCs w:val="26"/>
        </w:rPr>
        <w:t>chú</w:t>
      </w:r>
      <w:proofErr w:type="spellEnd"/>
      <w:r w:rsidR="00A52AF8" w:rsidRPr="00C82C28">
        <w:rPr>
          <w:sz w:val="26"/>
          <w:szCs w:val="26"/>
        </w:rPr>
        <w:t xml:space="preserve"> ý:</w:t>
      </w:r>
    </w:p>
    <w:p w:rsidR="00575FA2" w:rsidRPr="00C82C28" w:rsidRDefault="00A52AF8" w:rsidP="005C4B94">
      <w:pPr>
        <w:pStyle w:val="Normal1"/>
        <w:spacing w:before="120"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CF1973">
        <w:rPr>
          <w:i/>
          <w:sz w:val="26"/>
          <w:szCs w:val="26"/>
        </w:rPr>
        <w:lastRenderedPageBreak/>
        <w:t>Thứ</w:t>
      </w:r>
      <w:proofErr w:type="spellEnd"/>
      <w:r w:rsidRPr="00CF1973">
        <w:rPr>
          <w:i/>
          <w:sz w:val="26"/>
          <w:szCs w:val="26"/>
        </w:rPr>
        <w:t xml:space="preserve"> </w:t>
      </w:r>
      <w:proofErr w:type="spellStart"/>
      <w:r w:rsidRPr="00CF1973">
        <w:rPr>
          <w:i/>
          <w:sz w:val="26"/>
          <w:szCs w:val="26"/>
        </w:rPr>
        <w:t>nhất</w:t>
      </w:r>
      <w:proofErr w:type="spellEnd"/>
      <w:r w:rsidR="00575FA2" w:rsidRPr="00C82C28">
        <w:rPr>
          <w:sz w:val="26"/>
          <w:szCs w:val="26"/>
        </w:rPr>
        <w:t xml:space="preserve">, </w:t>
      </w:r>
      <w:proofErr w:type="spellStart"/>
      <w:r w:rsidR="00575FA2" w:rsidRPr="00C82C28">
        <w:rPr>
          <w:sz w:val="26"/>
          <w:szCs w:val="26"/>
        </w:rPr>
        <w:t>tuyên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CF1973">
        <w:rPr>
          <w:sz w:val="26"/>
          <w:szCs w:val="26"/>
        </w:rPr>
        <w:t>bố</w:t>
      </w:r>
      <w:proofErr w:type="spellEnd"/>
      <w:r w:rsidR="00CF1973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về</w:t>
      </w:r>
      <w:proofErr w:type="spellEnd"/>
      <w:r w:rsidR="00575FA2" w:rsidRPr="00C82C28">
        <w:rPr>
          <w:sz w:val="26"/>
          <w:szCs w:val="26"/>
        </w:rPr>
        <w:t xml:space="preserve"> </w:t>
      </w:r>
      <w:r w:rsidR="00E50AEE">
        <w:rPr>
          <w:sz w:val="26"/>
          <w:szCs w:val="26"/>
        </w:rPr>
        <w:t xml:space="preserve">phi </w:t>
      </w:r>
      <w:proofErr w:type="spellStart"/>
      <w:r w:rsidR="00575FA2" w:rsidRPr="00C82C28">
        <w:rPr>
          <w:sz w:val="26"/>
          <w:szCs w:val="26"/>
        </w:rPr>
        <w:t>lợi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nhuận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CF1973">
        <w:rPr>
          <w:sz w:val="26"/>
          <w:szCs w:val="26"/>
        </w:rPr>
        <w:t>rõ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ràng</w:t>
      </w:r>
      <w:proofErr w:type="spellEnd"/>
      <w:r w:rsidR="00575FA2" w:rsidRPr="00C82C28">
        <w:rPr>
          <w:sz w:val="26"/>
          <w:szCs w:val="26"/>
        </w:rPr>
        <w:t xml:space="preserve">. </w:t>
      </w:r>
      <w:proofErr w:type="spellStart"/>
      <w:r w:rsidR="00575FA2" w:rsidRPr="00C82C28">
        <w:rPr>
          <w:sz w:val="26"/>
          <w:szCs w:val="26"/>
        </w:rPr>
        <w:t>Đó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là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những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cơ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sở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giáo</w:t>
      </w:r>
      <w:proofErr w:type="spellEnd"/>
      <w:r w:rsidR="00575FA2" w:rsidRPr="00C82C28">
        <w:rPr>
          <w:sz w:val="26"/>
          <w:szCs w:val="26"/>
        </w:rPr>
        <w:t xml:space="preserve"> </w:t>
      </w:r>
      <w:proofErr w:type="spellStart"/>
      <w:r w:rsidR="00575FA2" w:rsidRPr="00C82C28">
        <w:rPr>
          <w:sz w:val="26"/>
          <w:szCs w:val="26"/>
        </w:rPr>
        <w:t>dục</w:t>
      </w:r>
      <w:proofErr w:type="spellEnd"/>
      <w:r w:rsidR="00E50AEE">
        <w:rPr>
          <w:sz w:val="26"/>
          <w:szCs w:val="26"/>
        </w:rPr>
        <w:t xml:space="preserve"> ĐHTT </w:t>
      </w:r>
      <w:proofErr w:type="spellStart"/>
      <w:r w:rsidR="00575FA2" w:rsidRPr="00C82C28">
        <w:rPr>
          <w:sz w:val="26"/>
          <w:szCs w:val="26"/>
        </w:rPr>
        <w:t>mà</w:t>
      </w:r>
      <w:proofErr w:type="spellEnd"/>
      <w:r w:rsidR="00575FA2" w:rsidRPr="00272CE1">
        <w:rPr>
          <w:sz w:val="26"/>
          <w:szCs w:val="26"/>
        </w:rPr>
        <w:t xml:space="preserve"> “</w:t>
      </w:r>
      <w:proofErr w:type="spellStart"/>
      <w:r w:rsidR="00575FA2" w:rsidRPr="00272CE1">
        <w:rPr>
          <w:sz w:val="26"/>
          <w:szCs w:val="26"/>
        </w:rPr>
        <w:t>nhà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đầu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tư</w:t>
      </w:r>
      <w:proofErr w:type="spellEnd"/>
      <w:r w:rsidR="00575FA2" w:rsidRPr="00272CE1">
        <w:rPr>
          <w:sz w:val="26"/>
          <w:szCs w:val="26"/>
        </w:rPr>
        <w:t xml:space="preserve"> cam</w:t>
      </w:r>
      <w:r w:rsidR="00E50AEE" w:rsidRPr="00272CE1">
        <w:rPr>
          <w:sz w:val="26"/>
          <w:szCs w:val="26"/>
        </w:rPr>
        <w:t xml:space="preserve"> </w:t>
      </w:r>
      <w:proofErr w:type="spellStart"/>
      <w:r w:rsidR="00E50AEE" w:rsidRPr="00272CE1">
        <w:rPr>
          <w:sz w:val="26"/>
          <w:szCs w:val="26"/>
        </w:rPr>
        <w:t>kết</w:t>
      </w:r>
      <w:proofErr w:type="spellEnd"/>
      <w:r w:rsidR="00E50AEE" w:rsidRPr="00272CE1">
        <w:rPr>
          <w:sz w:val="26"/>
          <w:szCs w:val="26"/>
        </w:rPr>
        <w:t xml:space="preserve"> </w:t>
      </w:r>
      <w:proofErr w:type="spellStart"/>
      <w:r w:rsidR="00E50AEE" w:rsidRPr="00272CE1">
        <w:rPr>
          <w:sz w:val="26"/>
          <w:szCs w:val="26"/>
        </w:rPr>
        <w:t>hoạt</w:t>
      </w:r>
      <w:proofErr w:type="spellEnd"/>
      <w:r w:rsidR="00E50AEE" w:rsidRPr="00272CE1">
        <w:rPr>
          <w:sz w:val="26"/>
          <w:szCs w:val="26"/>
        </w:rPr>
        <w:t xml:space="preserve"> </w:t>
      </w:r>
      <w:proofErr w:type="spellStart"/>
      <w:r w:rsidR="00E50AEE" w:rsidRPr="00272CE1">
        <w:rPr>
          <w:sz w:val="26"/>
          <w:szCs w:val="26"/>
        </w:rPr>
        <w:t>động</w:t>
      </w:r>
      <w:proofErr w:type="spellEnd"/>
      <w:r w:rsidR="00E50AEE" w:rsidRPr="00272CE1">
        <w:rPr>
          <w:sz w:val="26"/>
          <w:szCs w:val="26"/>
        </w:rPr>
        <w:t xml:space="preserve"> </w:t>
      </w:r>
      <w:proofErr w:type="spellStart"/>
      <w:r w:rsidR="00E50AEE" w:rsidRPr="00272CE1">
        <w:rPr>
          <w:sz w:val="26"/>
          <w:szCs w:val="26"/>
        </w:rPr>
        <w:t>không</w:t>
      </w:r>
      <w:proofErr w:type="spellEnd"/>
      <w:r w:rsidR="00E50AEE" w:rsidRPr="00272CE1">
        <w:rPr>
          <w:sz w:val="26"/>
          <w:szCs w:val="26"/>
        </w:rPr>
        <w:t xml:space="preserve"> </w:t>
      </w:r>
      <w:proofErr w:type="spellStart"/>
      <w:r w:rsidR="00E50AEE" w:rsidRPr="00272CE1">
        <w:rPr>
          <w:sz w:val="26"/>
          <w:szCs w:val="26"/>
        </w:rPr>
        <w:t>vì</w:t>
      </w:r>
      <w:proofErr w:type="spellEnd"/>
      <w:r w:rsidR="00E50AEE" w:rsidRPr="00272CE1">
        <w:rPr>
          <w:sz w:val="26"/>
          <w:szCs w:val="26"/>
        </w:rPr>
        <w:t xml:space="preserve"> </w:t>
      </w:r>
      <w:proofErr w:type="spellStart"/>
      <w:r w:rsidR="00E50AEE" w:rsidRPr="00272CE1">
        <w:rPr>
          <w:sz w:val="26"/>
          <w:szCs w:val="26"/>
        </w:rPr>
        <w:t>lợi</w:t>
      </w:r>
      <w:proofErr w:type="spellEnd"/>
      <w:r w:rsidR="00E50AEE" w:rsidRPr="00272CE1">
        <w:rPr>
          <w:sz w:val="26"/>
          <w:szCs w:val="26"/>
        </w:rPr>
        <w:t xml:space="preserve"> </w:t>
      </w:r>
      <w:proofErr w:type="spellStart"/>
      <w:r w:rsidR="00E50AEE" w:rsidRPr="00272CE1">
        <w:rPr>
          <w:sz w:val="26"/>
          <w:szCs w:val="26"/>
        </w:rPr>
        <w:t>nhuận</w:t>
      </w:r>
      <w:proofErr w:type="spellEnd"/>
      <w:r w:rsidR="00575FA2" w:rsidRPr="00272CE1">
        <w:rPr>
          <w:sz w:val="26"/>
          <w:szCs w:val="26"/>
        </w:rPr>
        <w:t>”, “</w:t>
      </w:r>
      <w:proofErr w:type="spellStart"/>
      <w:r w:rsidR="00575FA2" w:rsidRPr="00272CE1">
        <w:rPr>
          <w:sz w:val="26"/>
          <w:szCs w:val="26"/>
        </w:rPr>
        <w:t>không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rút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vốn</w:t>
      </w:r>
      <w:proofErr w:type="spellEnd"/>
      <w:r w:rsidR="00575FA2" w:rsidRPr="00272CE1">
        <w:rPr>
          <w:sz w:val="26"/>
          <w:szCs w:val="26"/>
        </w:rPr>
        <w:t xml:space="preserve">, </w:t>
      </w:r>
      <w:proofErr w:type="spellStart"/>
      <w:r w:rsidR="00575FA2" w:rsidRPr="00272CE1">
        <w:rPr>
          <w:sz w:val="26"/>
          <w:szCs w:val="26"/>
        </w:rPr>
        <w:t>không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hưởng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lợi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tức</w:t>
      </w:r>
      <w:proofErr w:type="spellEnd"/>
      <w:r w:rsidR="00575FA2" w:rsidRPr="00272CE1">
        <w:rPr>
          <w:sz w:val="26"/>
          <w:szCs w:val="26"/>
        </w:rPr>
        <w:t>:”, “</w:t>
      </w:r>
      <w:proofErr w:type="spellStart"/>
      <w:r w:rsidR="00575FA2" w:rsidRPr="00272CE1">
        <w:rPr>
          <w:sz w:val="26"/>
          <w:szCs w:val="26"/>
        </w:rPr>
        <w:t>lợi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nhuận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tích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lũy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hàng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năm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thuộc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sở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hữu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chung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hợp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nhất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không</w:t>
      </w:r>
      <w:proofErr w:type="spellEnd"/>
      <w:r w:rsidR="00575FA2" w:rsidRPr="00272CE1">
        <w:rPr>
          <w:sz w:val="26"/>
          <w:szCs w:val="26"/>
        </w:rPr>
        <w:t xml:space="preserve"> </w:t>
      </w:r>
      <w:proofErr w:type="spellStart"/>
      <w:r w:rsidR="00575FA2" w:rsidRPr="00272CE1">
        <w:rPr>
          <w:sz w:val="26"/>
          <w:szCs w:val="26"/>
        </w:rPr>
        <w:t>ph</w:t>
      </w:r>
      <w:r w:rsidR="00416CD6">
        <w:rPr>
          <w:sz w:val="26"/>
          <w:szCs w:val="26"/>
        </w:rPr>
        <w:t>â</w:t>
      </w:r>
      <w:r w:rsidR="00575FA2" w:rsidRPr="00272CE1">
        <w:rPr>
          <w:sz w:val="26"/>
          <w:szCs w:val="26"/>
        </w:rPr>
        <w:t>n</w:t>
      </w:r>
      <w:proofErr w:type="spellEnd"/>
      <w:r w:rsidR="00575FA2" w:rsidRPr="00272CE1">
        <w:rPr>
          <w:sz w:val="26"/>
          <w:szCs w:val="26"/>
        </w:rPr>
        <w:t xml:space="preserve"> chia” </w:t>
      </w:r>
    </w:p>
    <w:p w:rsidR="005C4B94" w:rsidRDefault="00575FA2" w:rsidP="005C4B94">
      <w:pPr>
        <w:pStyle w:val="Normal1"/>
        <w:spacing w:before="120"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CF1973">
        <w:rPr>
          <w:i/>
          <w:sz w:val="26"/>
          <w:szCs w:val="26"/>
        </w:rPr>
        <w:t>Thứ</w:t>
      </w:r>
      <w:proofErr w:type="spellEnd"/>
      <w:r w:rsidRPr="00CF1973">
        <w:rPr>
          <w:i/>
          <w:sz w:val="26"/>
          <w:szCs w:val="26"/>
        </w:rPr>
        <w:t xml:space="preserve"> </w:t>
      </w:r>
      <w:proofErr w:type="spellStart"/>
      <w:r w:rsidRPr="00CF1973">
        <w:rPr>
          <w:i/>
          <w:sz w:val="26"/>
          <w:szCs w:val="26"/>
        </w:rPr>
        <w:t>hai</w:t>
      </w:r>
      <w:proofErr w:type="spellEnd"/>
      <w:r w:rsidRPr="00C82C28">
        <w:rPr>
          <w:sz w:val="26"/>
          <w:szCs w:val="26"/>
        </w:rPr>
        <w:t xml:space="preserve">, ĐHTT chia </w:t>
      </w:r>
      <w:proofErr w:type="spellStart"/>
      <w:r w:rsidRPr="00C82C28">
        <w:rPr>
          <w:sz w:val="26"/>
          <w:szCs w:val="26"/>
        </w:rPr>
        <w:t>thành</w:t>
      </w:r>
      <w:proofErr w:type="spellEnd"/>
      <w:r w:rsidRPr="00C82C28">
        <w:rPr>
          <w:sz w:val="26"/>
          <w:szCs w:val="26"/>
        </w:rPr>
        <w:t xml:space="preserve">: </w:t>
      </w:r>
      <w:proofErr w:type="spellStart"/>
      <w:r w:rsidRPr="00C82C28">
        <w:rPr>
          <w:sz w:val="26"/>
          <w:szCs w:val="26"/>
        </w:rPr>
        <w:t>mô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hình</w:t>
      </w:r>
      <w:proofErr w:type="spellEnd"/>
      <w:r w:rsidRPr="00C82C28">
        <w:rPr>
          <w:sz w:val="26"/>
          <w:szCs w:val="26"/>
        </w:rPr>
        <w:t xml:space="preserve"> ĐHTT </w:t>
      </w:r>
      <w:proofErr w:type="spellStart"/>
      <w:r w:rsidRPr="00C82C28">
        <w:rPr>
          <w:sz w:val="26"/>
          <w:szCs w:val="26"/>
        </w:rPr>
        <w:t>không</w:t>
      </w:r>
      <w:proofErr w:type="spellEnd"/>
      <w:r w:rsidRPr="00C82C28">
        <w:rPr>
          <w:sz w:val="26"/>
          <w:szCs w:val="26"/>
        </w:rPr>
        <w:t xml:space="preserve"> </w:t>
      </w:r>
      <w:proofErr w:type="spellStart"/>
      <w:r w:rsidRPr="00C82C28">
        <w:rPr>
          <w:sz w:val="26"/>
          <w:szCs w:val="26"/>
        </w:rPr>
        <w:t>vì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lợi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nhuận</w:t>
      </w:r>
      <w:proofErr w:type="spellEnd"/>
      <w:r w:rsidR="00551C35" w:rsidRPr="00C82C28">
        <w:rPr>
          <w:sz w:val="26"/>
          <w:szCs w:val="26"/>
        </w:rPr>
        <w:t xml:space="preserve"> (ĐH</w:t>
      </w:r>
      <w:r w:rsidR="00F353F7" w:rsidRPr="00C82C28">
        <w:rPr>
          <w:sz w:val="26"/>
          <w:szCs w:val="26"/>
        </w:rPr>
        <w:t>TT</w:t>
      </w:r>
      <w:r w:rsidR="00551C35" w:rsidRPr="00C82C28">
        <w:rPr>
          <w:sz w:val="26"/>
          <w:szCs w:val="26"/>
        </w:rPr>
        <w:t xml:space="preserve">. KVLN) </w:t>
      </w:r>
      <w:proofErr w:type="spellStart"/>
      <w:r w:rsidR="00551C35" w:rsidRPr="00C82C28">
        <w:rPr>
          <w:sz w:val="26"/>
          <w:szCs w:val="26"/>
        </w:rPr>
        <w:t>và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mô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hình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đại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học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tư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vì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lợi</w:t>
      </w:r>
      <w:proofErr w:type="spellEnd"/>
      <w:r w:rsidR="00551C35" w:rsidRPr="00C82C28">
        <w:rPr>
          <w:sz w:val="26"/>
          <w:szCs w:val="26"/>
        </w:rPr>
        <w:t xml:space="preserve"> </w:t>
      </w:r>
      <w:proofErr w:type="spellStart"/>
      <w:r w:rsidR="00551C35" w:rsidRPr="00C82C28">
        <w:rPr>
          <w:sz w:val="26"/>
          <w:szCs w:val="26"/>
        </w:rPr>
        <w:t>nhuận</w:t>
      </w:r>
      <w:proofErr w:type="spellEnd"/>
      <w:r w:rsidR="00551C35" w:rsidRPr="00C82C28">
        <w:rPr>
          <w:sz w:val="26"/>
          <w:szCs w:val="26"/>
        </w:rPr>
        <w:t xml:space="preserve"> (ĐHTT). </w:t>
      </w:r>
      <w:proofErr w:type="spellStart"/>
      <w:r w:rsidR="005C4B94">
        <w:rPr>
          <w:sz w:val="26"/>
          <w:szCs w:val="26"/>
        </w:rPr>
        <w:t>Việc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đầu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tư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sở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hữu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vào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các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mô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hình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đại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học</w:t>
      </w:r>
      <w:proofErr w:type="spellEnd"/>
      <w:r w:rsidR="005C4B94">
        <w:rPr>
          <w:sz w:val="26"/>
          <w:szCs w:val="26"/>
        </w:rPr>
        <w:t xml:space="preserve"> NCL </w:t>
      </w:r>
      <w:proofErr w:type="spellStart"/>
      <w:r w:rsidR="005C4B94">
        <w:rPr>
          <w:sz w:val="26"/>
          <w:szCs w:val="26"/>
        </w:rPr>
        <w:t>rõ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ràng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hơn</w:t>
      </w:r>
      <w:proofErr w:type="spellEnd"/>
      <w:r w:rsidR="005C4B94">
        <w:rPr>
          <w:sz w:val="26"/>
          <w:szCs w:val="26"/>
        </w:rPr>
        <w:t>.</w:t>
      </w:r>
      <w:r w:rsidR="00CF1973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Có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thể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thấy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điều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này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tại</w:t>
      </w:r>
      <w:proofErr w:type="spellEnd"/>
      <w:r w:rsidR="005C4B94">
        <w:rPr>
          <w:sz w:val="26"/>
          <w:szCs w:val="26"/>
        </w:rPr>
        <w:t xml:space="preserve"> </w:t>
      </w:r>
      <w:proofErr w:type="spellStart"/>
      <w:r w:rsidR="005C4B94">
        <w:rPr>
          <w:sz w:val="26"/>
          <w:szCs w:val="26"/>
        </w:rPr>
        <w:t>bảng</w:t>
      </w:r>
      <w:proofErr w:type="spellEnd"/>
      <w:r w:rsidR="005C4B94">
        <w:rPr>
          <w:sz w:val="26"/>
          <w:szCs w:val="26"/>
        </w:rPr>
        <w:t xml:space="preserve"> </w:t>
      </w:r>
      <w:r w:rsidR="00551C35" w:rsidRPr="00C82C28">
        <w:rPr>
          <w:sz w:val="26"/>
          <w:szCs w:val="26"/>
        </w:rPr>
        <w:t>2</w:t>
      </w:r>
    </w:p>
    <w:p w:rsidR="009A424F" w:rsidRDefault="005C4B94" w:rsidP="009A424F">
      <w:pPr>
        <w:pStyle w:val="Normal1"/>
        <w:spacing w:before="120" w:after="12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9A424F" w:rsidRPr="00C82C28">
        <w:rPr>
          <w:sz w:val="26"/>
          <w:szCs w:val="26"/>
        </w:rPr>
        <w:t>Bảng</w:t>
      </w:r>
      <w:proofErr w:type="spellEnd"/>
      <w:r w:rsidR="009A424F" w:rsidRPr="00C82C28">
        <w:rPr>
          <w:sz w:val="26"/>
          <w:szCs w:val="26"/>
        </w:rPr>
        <w:t xml:space="preserve"> </w:t>
      </w:r>
      <w:r w:rsidR="00551C35" w:rsidRPr="00C82C28">
        <w:rPr>
          <w:sz w:val="26"/>
          <w:szCs w:val="26"/>
        </w:rPr>
        <w:t>2</w:t>
      </w:r>
      <w:r w:rsidR="009A424F" w:rsidRPr="00C82C28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 w:rsidR="009A424F" w:rsidRPr="00C82C28">
        <w:rPr>
          <w:sz w:val="26"/>
          <w:szCs w:val="26"/>
        </w:rPr>
        <w:t xml:space="preserve"> </w:t>
      </w:r>
      <w:proofErr w:type="spellStart"/>
      <w:r w:rsidR="009A424F" w:rsidRPr="00C82C28">
        <w:rPr>
          <w:sz w:val="26"/>
          <w:szCs w:val="26"/>
        </w:rPr>
        <w:t>mô</w:t>
      </w:r>
      <w:proofErr w:type="spellEnd"/>
      <w:r w:rsidR="009A424F" w:rsidRPr="00C82C28">
        <w:rPr>
          <w:sz w:val="26"/>
          <w:szCs w:val="26"/>
        </w:rPr>
        <w:t xml:space="preserve"> </w:t>
      </w:r>
      <w:proofErr w:type="spellStart"/>
      <w:r w:rsidR="009A424F" w:rsidRPr="00C82C28">
        <w:rPr>
          <w:sz w:val="26"/>
          <w:szCs w:val="26"/>
        </w:rPr>
        <w:t>hình</w:t>
      </w:r>
      <w:proofErr w:type="spellEnd"/>
      <w:r w:rsidR="009A424F" w:rsidRPr="00C82C28">
        <w:rPr>
          <w:sz w:val="26"/>
          <w:szCs w:val="26"/>
        </w:rPr>
        <w:t xml:space="preserve"> ĐH</w:t>
      </w:r>
      <w:r w:rsidR="00F353F7" w:rsidRPr="00C82C28">
        <w:rPr>
          <w:sz w:val="26"/>
          <w:szCs w:val="26"/>
        </w:rPr>
        <w:t>TT</w:t>
      </w:r>
      <w:r w:rsidR="00551C35" w:rsidRPr="00C82C28">
        <w:rPr>
          <w:sz w:val="26"/>
          <w:szCs w:val="26"/>
        </w:rPr>
        <w:t>.KVLN</w:t>
      </w:r>
      <w:r w:rsidR="009A424F" w:rsidRPr="00C82C28">
        <w:rPr>
          <w:sz w:val="26"/>
          <w:szCs w:val="26"/>
        </w:rPr>
        <w:t xml:space="preserve"> </w:t>
      </w:r>
      <w:proofErr w:type="spellStart"/>
      <w:r w:rsidR="009A424F" w:rsidRPr="00C82C28">
        <w:rPr>
          <w:sz w:val="26"/>
          <w:szCs w:val="26"/>
        </w:rPr>
        <w:t>với</w:t>
      </w:r>
      <w:proofErr w:type="spellEnd"/>
      <w:r w:rsidR="009A424F" w:rsidRPr="00C82C28">
        <w:rPr>
          <w:sz w:val="26"/>
          <w:szCs w:val="26"/>
        </w:rPr>
        <w:t xml:space="preserve"> </w:t>
      </w:r>
      <w:proofErr w:type="spellStart"/>
      <w:r w:rsidR="009A424F" w:rsidRPr="00C82C28">
        <w:rPr>
          <w:sz w:val="26"/>
          <w:szCs w:val="26"/>
        </w:rPr>
        <w:t>mô</w:t>
      </w:r>
      <w:proofErr w:type="spellEnd"/>
      <w:r w:rsidR="009A424F" w:rsidRPr="00C82C28">
        <w:rPr>
          <w:sz w:val="26"/>
          <w:szCs w:val="26"/>
        </w:rPr>
        <w:t xml:space="preserve"> </w:t>
      </w:r>
      <w:proofErr w:type="spellStart"/>
      <w:r w:rsidR="009A424F" w:rsidRPr="00C82C28">
        <w:rPr>
          <w:sz w:val="26"/>
          <w:szCs w:val="26"/>
        </w:rPr>
        <w:t>hình</w:t>
      </w:r>
      <w:proofErr w:type="spellEnd"/>
      <w:r w:rsidR="009A424F" w:rsidRPr="00C82C28">
        <w:rPr>
          <w:sz w:val="26"/>
          <w:szCs w:val="26"/>
        </w:rPr>
        <w:t xml:space="preserve"> ĐHTT</w:t>
      </w:r>
    </w:p>
    <w:tbl>
      <w:tblPr>
        <w:tblW w:w="892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802"/>
        <w:gridCol w:w="2790"/>
        <w:gridCol w:w="3867"/>
      </w:tblGrid>
      <w:tr w:rsidR="009A424F" w:rsidRPr="00C82C28" w:rsidTr="0060588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4F" w:rsidRPr="00C82C28" w:rsidRDefault="009A424F" w:rsidP="0060200B">
            <w:pPr>
              <w:pStyle w:val="Normal1"/>
              <w:spacing w:before="120" w:after="12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9A424F" w:rsidP="0060200B">
            <w:pPr>
              <w:pStyle w:val="Normal1"/>
              <w:spacing w:before="120" w:after="120" w:line="240" w:lineRule="auto"/>
              <w:jc w:val="center"/>
            </w:pPr>
            <w:proofErr w:type="spellStart"/>
            <w:r w:rsidRPr="005C4B94">
              <w:t>Tiêu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chí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9A424F" w:rsidP="00F353F7">
            <w:pPr>
              <w:pStyle w:val="Normal1"/>
              <w:spacing w:before="120" w:after="120" w:line="240" w:lineRule="auto"/>
              <w:jc w:val="center"/>
            </w:pPr>
            <w:proofErr w:type="spellStart"/>
            <w:r w:rsidRPr="005C4B94">
              <w:t>Trường</w:t>
            </w:r>
            <w:proofErr w:type="spellEnd"/>
            <w:r w:rsidRPr="005C4B94">
              <w:t xml:space="preserve"> </w:t>
            </w:r>
            <w:r w:rsidR="00F353F7" w:rsidRPr="005C4B94">
              <w:t>ĐHTT.</w:t>
            </w:r>
            <w:r w:rsidRPr="005C4B94">
              <w:t xml:space="preserve">KVLN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9A424F" w:rsidP="00F353F7">
            <w:pPr>
              <w:pStyle w:val="Normal1"/>
              <w:spacing w:before="120" w:after="120" w:line="240" w:lineRule="auto"/>
              <w:jc w:val="center"/>
            </w:pPr>
            <w:proofErr w:type="spellStart"/>
            <w:r w:rsidRPr="005C4B94">
              <w:t>Trường</w:t>
            </w:r>
            <w:proofErr w:type="spellEnd"/>
            <w:r w:rsidRPr="005C4B94">
              <w:t xml:space="preserve"> </w:t>
            </w:r>
            <w:r w:rsidR="00F353F7" w:rsidRPr="005C4B94">
              <w:t>ĐHTT</w:t>
            </w:r>
          </w:p>
        </w:tc>
      </w:tr>
      <w:tr w:rsidR="009A424F" w:rsidRPr="00C82C28" w:rsidTr="0060588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C82C28" w:rsidRDefault="00DC61E8" w:rsidP="0060200B">
            <w:pPr>
              <w:pStyle w:val="Normal1"/>
              <w:spacing w:before="120" w:after="120" w:line="240" w:lineRule="auto"/>
              <w:jc w:val="both"/>
              <w:rPr>
                <w:sz w:val="26"/>
                <w:szCs w:val="26"/>
              </w:rPr>
            </w:pPr>
            <w:r w:rsidRPr="00C82C28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9A424F" w:rsidP="00786F35">
            <w:pPr>
              <w:pStyle w:val="Normal1"/>
              <w:spacing w:before="120" w:after="120" w:line="240" w:lineRule="auto"/>
            </w:pPr>
            <w:proofErr w:type="spellStart"/>
            <w:r w:rsidRPr="005C4B94">
              <w:t>Đặc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điểm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huy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động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vốn</w:t>
            </w:r>
            <w:proofErr w:type="spellEnd"/>
            <w:r w:rsidRPr="005C4B94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786F35" w:rsidP="00786F35">
            <w:pPr>
              <w:pStyle w:val="Normal1"/>
              <w:spacing w:before="120" w:after="120" w:line="240" w:lineRule="auto"/>
            </w:pPr>
            <w:proofErr w:type="spellStart"/>
            <w:r>
              <w:t>Kèm</w:t>
            </w:r>
            <w:proofErr w:type="spellEnd"/>
            <w:r>
              <w:t xml:space="preserve"> cam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định</w:t>
            </w:r>
            <w:proofErr w:type="spellEnd"/>
            <w:r>
              <w:t xml:space="preserve">  </w:t>
            </w:r>
            <w:r w:rsidR="00DC61E8" w:rsidRPr="005C4B94">
              <w:t>KVLN</w:t>
            </w:r>
            <w:proofErr w:type="gramEnd"/>
            <w:r w:rsidR="009A424F" w:rsidRPr="005C4B94">
              <w:t xml:space="preserve">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786F35" w:rsidP="00786F35">
            <w:pPr>
              <w:pStyle w:val="Normal1"/>
              <w:spacing w:before="120" w:after="120" w:line="240" w:lineRule="auto"/>
            </w:pPr>
            <w:r>
              <w:t>T</w:t>
            </w:r>
            <w:r w:rsidR="00F353F7" w:rsidRPr="005C4B94">
              <w:t xml:space="preserve">heo </w:t>
            </w:r>
            <w:proofErr w:type="spellStart"/>
            <w:r w:rsidR="00F353F7" w:rsidRPr="005C4B94">
              <w:t>hình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thức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góp</w:t>
            </w:r>
            <w:proofErr w:type="spellEnd"/>
            <w:r w:rsidR="00F353F7" w:rsidRPr="005C4B94">
              <w:t xml:space="preserve"> </w:t>
            </w:r>
            <w:proofErr w:type="spellStart"/>
            <w:r w:rsidR="00111D75" w:rsidRPr="005C4B94">
              <w:t>vốn</w:t>
            </w:r>
            <w:proofErr w:type="spellEnd"/>
            <w:r w:rsidR="00111D75" w:rsidRPr="005C4B94">
              <w:t xml:space="preserve">; </w:t>
            </w:r>
            <w:proofErr w:type="spellStart"/>
            <w:r w:rsidR="00BD4B59" w:rsidRPr="005C4B94">
              <w:t>chú</w:t>
            </w:r>
            <w:proofErr w:type="spellEnd"/>
            <w:r w:rsidR="00BD4B59" w:rsidRPr="005C4B94">
              <w:t xml:space="preserve"> </w:t>
            </w:r>
            <w:proofErr w:type="spellStart"/>
            <w:r w:rsidR="00BD4B59" w:rsidRPr="005C4B94">
              <w:t>trọng</w:t>
            </w:r>
            <w:proofErr w:type="spellEnd"/>
            <w:r w:rsidR="00111D75" w:rsidRPr="005C4B94">
              <w:t xml:space="preserve"> </w:t>
            </w:r>
            <w:proofErr w:type="spellStart"/>
            <w:r w:rsidR="00111D75" w:rsidRPr="005C4B94">
              <w:t>vai</w:t>
            </w:r>
            <w:proofErr w:type="spellEnd"/>
            <w:r w:rsidR="00111D75" w:rsidRPr="005C4B94">
              <w:t xml:space="preserve"> </w:t>
            </w:r>
            <w:proofErr w:type="spellStart"/>
            <w:r w:rsidR="00111D75" w:rsidRPr="005C4B94">
              <w:t>trò</w:t>
            </w:r>
            <w:proofErr w:type="spellEnd"/>
            <w:r w:rsidR="00111D75" w:rsidRPr="005C4B94">
              <w:t xml:space="preserve"> </w:t>
            </w:r>
            <w:proofErr w:type="spellStart"/>
            <w:r w:rsidR="00111D75" w:rsidRPr="005C4B94">
              <w:t>tổ</w:t>
            </w:r>
            <w:proofErr w:type="spellEnd"/>
            <w:r w:rsidR="00111D75" w:rsidRPr="005C4B94">
              <w:t xml:space="preserve"> </w:t>
            </w:r>
            <w:proofErr w:type="spellStart"/>
            <w:r w:rsidR="00111D75" w:rsidRPr="005C4B94">
              <w:t>chức</w:t>
            </w:r>
            <w:proofErr w:type="spellEnd"/>
            <w:r w:rsidR="00111D75" w:rsidRPr="005C4B94">
              <w:t xml:space="preserve"> </w:t>
            </w:r>
            <w:proofErr w:type="spellStart"/>
            <w:r w:rsidR="00111D75" w:rsidRPr="005C4B94">
              <w:t>kinh</w:t>
            </w:r>
            <w:proofErr w:type="spellEnd"/>
            <w:r w:rsidR="00111D75" w:rsidRPr="005C4B94">
              <w:t xml:space="preserve"> </w:t>
            </w:r>
            <w:proofErr w:type="spellStart"/>
            <w:r w:rsidR="00111D75" w:rsidRPr="005C4B94">
              <w:t>tế</w:t>
            </w:r>
            <w:proofErr w:type="spellEnd"/>
            <w:r w:rsidR="00111D75" w:rsidRPr="005C4B94">
              <w:t>.</w:t>
            </w:r>
            <w:r w:rsidR="009A424F" w:rsidRPr="005C4B94">
              <w:t xml:space="preserve">  </w:t>
            </w:r>
          </w:p>
        </w:tc>
      </w:tr>
      <w:tr w:rsidR="009A424F" w:rsidRPr="00C82C28" w:rsidTr="0060588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C82C28" w:rsidRDefault="009A424F" w:rsidP="0060200B">
            <w:pPr>
              <w:pStyle w:val="Normal1"/>
              <w:spacing w:before="120" w:after="120" w:line="240" w:lineRule="auto"/>
              <w:jc w:val="both"/>
              <w:rPr>
                <w:sz w:val="26"/>
                <w:szCs w:val="26"/>
              </w:rPr>
            </w:pPr>
            <w:r w:rsidRPr="00C82C28">
              <w:rPr>
                <w:sz w:val="26"/>
                <w:szCs w:val="2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9A424F" w:rsidP="0060200B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5C4B94">
              <w:t>Sở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hữu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111D75" w:rsidP="00786F35">
            <w:pPr>
              <w:pStyle w:val="Normal1"/>
              <w:spacing w:before="120" w:after="120" w:line="240" w:lineRule="auto"/>
            </w:pPr>
            <w:proofErr w:type="spellStart"/>
            <w:r w:rsidRPr="005C4B94">
              <w:t>Sở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hữu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cộng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đồng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nhà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trường</w:t>
            </w:r>
            <w:proofErr w:type="spellEnd"/>
            <w:r w:rsidR="00DC61E8" w:rsidRPr="005C4B94">
              <w:t>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9A424F" w:rsidP="00786F35">
            <w:pPr>
              <w:pStyle w:val="Normal1"/>
              <w:spacing w:before="120" w:after="120" w:line="240" w:lineRule="auto"/>
            </w:pPr>
            <w:proofErr w:type="spellStart"/>
            <w:r w:rsidRPr="005C4B94">
              <w:t>Sở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hữu</w:t>
            </w:r>
            <w:proofErr w:type="spellEnd"/>
            <w:r w:rsidRPr="005C4B94">
              <w:t xml:space="preserve"> </w:t>
            </w:r>
            <w:proofErr w:type="spellStart"/>
            <w:r w:rsidR="00111D75" w:rsidRPr="005C4B94">
              <w:t>cộng</w:t>
            </w:r>
            <w:proofErr w:type="spellEnd"/>
            <w:r w:rsidR="00111D75" w:rsidRPr="005C4B94">
              <w:t xml:space="preserve"> </w:t>
            </w:r>
            <w:proofErr w:type="spellStart"/>
            <w:r w:rsidR="00111D75" w:rsidRPr="005C4B94">
              <w:t>đồng</w:t>
            </w:r>
            <w:proofErr w:type="spellEnd"/>
            <w:r w:rsidR="00111D75" w:rsidRPr="005C4B94">
              <w:t xml:space="preserve"> </w:t>
            </w:r>
            <w:proofErr w:type="spellStart"/>
            <w:r w:rsidR="00111D75" w:rsidRPr="005C4B94">
              <w:t>nhà</w:t>
            </w:r>
            <w:proofErr w:type="spellEnd"/>
            <w:r w:rsidR="00111D75" w:rsidRPr="005C4B94">
              <w:t xml:space="preserve"> </w:t>
            </w:r>
            <w:proofErr w:type="spellStart"/>
            <w:r w:rsidR="00111D75" w:rsidRPr="005C4B94">
              <w:t>trường</w:t>
            </w:r>
            <w:proofErr w:type="spellEnd"/>
            <w:r w:rsidR="00111D75" w:rsidRPr="005C4B94">
              <w:t xml:space="preserve">; </w:t>
            </w:r>
            <w:proofErr w:type="spellStart"/>
            <w:r w:rsidR="00F353F7" w:rsidRPr="005C4B94">
              <w:t>một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số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quyền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tài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sản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tham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chiếu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luật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Doanh</w:t>
            </w:r>
            <w:proofErr w:type="spellEnd"/>
            <w:r w:rsidR="00F353F7" w:rsidRPr="005C4B94">
              <w:t xml:space="preserve"> </w:t>
            </w:r>
            <w:proofErr w:type="spellStart"/>
            <w:r w:rsidR="00F353F7" w:rsidRPr="005C4B94">
              <w:t>nghiệp</w:t>
            </w:r>
            <w:proofErr w:type="spellEnd"/>
            <w:r w:rsidR="00DC61E8" w:rsidRPr="005C4B94">
              <w:t xml:space="preserve"> (DN)</w:t>
            </w:r>
            <w:r w:rsidR="00111D75" w:rsidRPr="005C4B94">
              <w:t>.</w:t>
            </w:r>
            <w:r w:rsidRPr="005C4B94">
              <w:t xml:space="preserve"> </w:t>
            </w:r>
          </w:p>
        </w:tc>
      </w:tr>
      <w:tr w:rsidR="009A424F" w:rsidRPr="00C82C28" w:rsidTr="0060588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C82C28" w:rsidRDefault="009A424F" w:rsidP="0060200B">
            <w:pPr>
              <w:pStyle w:val="Normal1"/>
              <w:spacing w:before="120" w:after="120" w:line="240" w:lineRule="auto"/>
              <w:jc w:val="both"/>
              <w:rPr>
                <w:sz w:val="26"/>
                <w:szCs w:val="26"/>
              </w:rPr>
            </w:pPr>
            <w:r w:rsidRPr="00C82C28">
              <w:rPr>
                <w:sz w:val="26"/>
                <w:szCs w:val="26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9A424F" w:rsidP="0060200B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5C4B94">
              <w:t>Quản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trị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9A424F" w:rsidP="00786F35">
            <w:pPr>
              <w:pStyle w:val="Normal1"/>
              <w:spacing w:before="120" w:after="120" w:line="240" w:lineRule="auto"/>
            </w:pPr>
            <w:proofErr w:type="spellStart"/>
            <w:r w:rsidRPr="005C4B94">
              <w:t>Đối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nhân</w:t>
            </w:r>
            <w:proofErr w:type="spell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E379A8" w:rsidP="00E379A8">
            <w:pPr>
              <w:pStyle w:val="Normal1"/>
              <w:spacing w:before="120" w:after="120" w:line="240" w:lineRule="auto"/>
              <w:jc w:val="both"/>
            </w:pPr>
            <w:proofErr w:type="spellStart"/>
            <w:r w:rsidRPr="005C4B94">
              <w:t>Đ</w:t>
            </w:r>
            <w:r w:rsidR="009A424F" w:rsidRPr="005C4B94">
              <w:t>ối</w:t>
            </w:r>
            <w:proofErr w:type="spellEnd"/>
            <w:r w:rsidR="009A424F" w:rsidRPr="005C4B94">
              <w:t xml:space="preserve"> </w:t>
            </w:r>
            <w:proofErr w:type="spellStart"/>
            <w:r w:rsidRPr="005C4B94">
              <w:t>vốn</w:t>
            </w:r>
            <w:proofErr w:type="spellEnd"/>
            <w:r w:rsidR="009A424F" w:rsidRPr="005C4B94">
              <w:t xml:space="preserve"> </w:t>
            </w:r>
          </w:p>
        </w:tc>
      </w:tr>
      <w:tr w:rsidR="009A424F" w:rsidRPr="00C82C28" w:rsidTr="0060588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C82C28" w:rsidRDefault="009A424F" w:rsidP="0060200B">
            <w:pPr>
              <w:pStyle w:val="Normal1"/>
              <w:spacing w:before="120" w:after="120" w:line="240" w:lineRule="auto"/>
              <w:jc w:val="both"/>
              <w:rPr>
                <w:sz w:val="26"/>
                <w:szCs w:val="26"/>
              </w:rPr>
            </w:pPr>
            <w:r w:rsidRPr="00C82C28">
              <w:rPr>
                <w:sz w:val="26"/>
                <w:szCs w:val="26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9A424F" w:rsidP="0060200B">
            <w:pPr>
              <w:pStyle w:val="Normal1"/>
              <w:spacing w:before="120" w:after="120" w:line="240" w:lineRule="auto"/>
            </w:pPr>
            <w:proofErr w:type="spellStart"/>
            <w:r w:rsidRPr="005C4B94">
              <w:t>Hạch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toán</w:t>
            </w:r>
            <w:proofErr w:type="spellEnd"/>
            <w:r w:rsidRPr="005C4B94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E379A8" w:rsidP="00786F35">
            <w:pPr>
              <w:pStyle w:val="Normal1"/>
              <w:spacing w:before="120" w:after="120" w:line="240" w:lineRule="auto"/>
            </w:pPr>
            <w:r w:rsidRPr="005C4B94">
              <w:t xml:space="preserve">Theo </w:t>
            </w:r>
            <w:proofErr w:type="spellStart"/>
            <w:r w:rsidRPr="005C4B94">
              <w:t>đơn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vị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sự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nghệp</w:t>
            </w:r>
            <w:proofErr w:type="spellEnd"/>
            <w:r w:rsidRPr="005C4B94">
              <w:t xml:space="preserve"> </w:t>
            </w:r>
            <w:proofErr w:type="spellStart"/>
            <w:r w:rsidRPr="005C4B94">
              <w:t>công</w:t>
            </w:r>
            <w:proofErr w:type="spell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Pr="005C4B94" w:rsidRDefault="00E379A8" w:rsidP="00786F35">
            <w:pPr>
              <w:pStyle w:val="Normal1"/>
              <w:spacing w:before="120" w:after="120" w:line="240" w:lineRule="auto"/>
            </w:pPr>
            <w:r w:rsidRPr="005C4B94">
              <w:t xml:space="preserve">Theo </w:t>
            </w:r>
            <w:proofErr w:type="spellStart"/>
            <w:r w:rsidR="009A424F" w:rsidRPr="005C4B94">
              <w:t>cơ</w:t>
            </w:r>
            <w:proofErr w:type="spellEnd"/>
            <w:r w:rsidR="009A424F" w:rsidRPr="005C4B94">
              <w:t xml:space="preserve"> </w:t>
            </w:r>
            <w:proofErr w:type="spellStart"/>
            <w:r w:rsidR="009A424F" w:rsidRPr="005C4B94">
              <w:t>chế</w:t>
            </w:r>
            <w:proofErr w:type="spellEnd"/>
            <w:r w:rsidR="009A424F" w:rsidRPr="005C4B94">
              <w:t xml:space="preserve"> DN</w:t>
            </w:r>
          </w:p>
        </w:tc>
      </w:tr>
    </w:tbl>
    <w:p w:rsidR="005C4B94" w:rsidRDefault="005C4B94" w:rsidP="00BF1695">
      <w:pPr>
        <w:pStyle w:val="Normal1"/>
        <w:spacing w:before="240" w:after="240" w:line="240" w:lineRule="auto"/>
        <w:ind w:firstLine="720"/>
        <w:jc w:val="both"/>
        <w:rPr>
          <w:b/>
          <w:i/>
          <w:sz w:val="26"/>
          <w:szCs w:val="26"/>
        </w:rPr>
      </w:pPr>
      <w:proofErr w:type="spellStart"/>
      <w:r w:rsidRPr="005C4B94">
        <w:rPr>
          <w:b/>
          <w:i/>
          <w:sz w:val="26"/>
          <w:szCs w:val="26"/>
        </w:rPr>
        <w:t>Thay</w:t>
      </w:r>
      <w:proofErr w:type="spellEnd"/>
      <w:r w:rsidRPr="005C4B94">
        <w:rPr>
          <w:b/>
          <w:i/>
          <w:sz w:val="26"/>
          <w:szCs w:val="26"/>
        </w:rPr>
        <w:t xml:space="preserve"> </w:t>
      </w:r>
      <w:proofErr w:type="spellStart"/>
      <w:r w:rsidRPr="005C4B94">
        <w:rPr>
          <w:b/>
          <w:i/>
          <w:sz w:val="26"/>
          <w:szCs w:val="26"/>
        </w:rPr>
        <w:t>lời</w:t>
      </w:r>
      <w:proofErr w:type="spellEnd"/>
      <w:r w:rsidRPr="005C4B94">
        <w:rPr>
          <w:b/>
          <w:i/>
          <w:sz w:val="26"/>
          <w:szCs w:val="26"/>
        </w:rPr>
        <w:t xml:space="preserve"> </w:t>
      </w:r>
      <w:proofErr w:type="spellStart"/>
      <w:r w:rsidRPr="005C4B94">
        <w:rPr>
          <w:b/>
          <w:i/>
          <w:sz w:val="26"/>
          <w:szCs w:val="26"/>
        </w:rPr>
        <w:t>kết</w:t>
      </w:r>
      <w:proofErr w:type="spellEnd"/>
      <w:r>
        <w:rPr>
          <w:b/>
          <w:i/>
          <w:sz w:val="26"/>
          <w:szCs w:val="26"/>
        </w:rPr>
        <w:t>.</w:t>
      </w:r>
    </w:p>
    <w:p w:rsidR="008570B7" w:rsidRPr="00E50AEE" w:rsidRDefault="005C4B94" w:rsidP="00BF1695">
      <w:pPr>
        <w:pStyle w:val="Normal1"/>
        <w:spacing w:before="240" w:after="240" w:line="240" w:lineRule="auto"/>
        <w:ind w:firstLine="720"/>
        <w:jc w:val="both"/>
        <w:rPr>
          <w:sz w:val="26"/>
          <w:szCs w:val="26"/>
        </w:rPr>
      </w:pPr>
      <w:r w:rsidRPr="005C4B94">
        <w:rPr>
          <w:i/>
          <w:sz w:val="26"/>
          <w:szCs w:val="26"/>
        </w:rPr>
        <w:t xml:space="preserve"> </w:t>
      </w:r>
      <w:proofErr w:type="spellStart"/>
      <w:r w:rsidR="00272CE1" w:rsidRPr="00272CE1">
        <w:rPr>
          <w:sz w:val="26"/>
          <w:szCs w:val="26"/>
        </w:rPr>
        <w:t>G</w:t>
      </w:r>
      <w:r w:rsidR="00DB1E60" w:rsidRPr="00E50AEE">
        <w:rPr>
          <w:sz w:val="26"/>
          <w:szCs w:val="26"/>
        </w:rPr>
        <w:t>iáo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dục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đại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học</w:t>
      </w:r>
      <w:proofErr w:type="spellEnd"/>
      <w:r w:rsidR="00DB1E60" w:rsidRPr="00E50AEE">
        <w:rPr>
          <w:sz w:val="26"/>
          <w:szCs w:val="26"/>
        </w:rPr>
        <w:t xml:space="preserve"> NCL </w:t>
      </w:r>
      <w:proofErr w:type="spellStart"/>
      <w:r w:rsidR="00E50AEE">
        <w:rPr>
          <w:sz w:val="26"/>
          <w:szCs w:val="26"/>
        </w:rPr>
        <w:t>ngày</w:t>
      </w:r>
      <w:proofErr w:type="spellEnd"/>
      <w:r w:rsidR="00E50AEE">
        <w:rPr>
          <w:sz w:val="26"/>
          <w:szCs w:val="26"/>
        </w:rPr>
        <w:t xml:space="preserve"> </w:t>
      </w:r>
      <w:proofErr w:type="spellStart"/>
      <w:r w:rsidR="00E50AEE">
        <w:rPr>
          <w:sz w:val="26"/>
          <w:szCs w:val="26"/>
        </w:rPr>
        <w:t>một</w:t>
      </w:r>
      <w:proofErr w:type="spellEnd"/>
      <w:r w:rsidR="00E50AEE">
        <w:rPr>
          <w:sz w:val="26"/>
          <w:szCs w:val="26"/>
        </w:rPr>
        <w:t xml:space="preserve"> </w:t>
      </w:r>
      <w:proofErr w:type="spellStart"/>
      <w:r w:rsidR="00A22167">
        <w:rPr>
          <w:sz w:val="26"/>
          <w:szCs w:val="26"/>
        </w:rPr>
        <w:t>hội</w:t>
      </w:r>
      <w:proofErr w:type="spellEnd"/>
      <w:r w:rsidR="00A22167">
        <w:rPr>
          <w:sz w:val="26"/>
          <w:szCs w:val="26"/>
        </w:rPr>
        <w:t xml:space="preserve"> </w:t>
      </w:r>
      <w:proofErr w:type="spellStart"/>
      <w:r w:rsidR="00A22167">
        <w:rPr>
          <w:sz w:val="26"/>
          <w:szCs w:val="26"/>
        </w:rPr>
        <w:t>nhập</w:t>
      </w:r>
      <w:proofErr w:type="spellEnd"/>
      <w:r w:rsidR="00A22167">
        <w:rPr>
          <w:sz w:val="26"/>
          <w:szCs w:val="26"/>
        </w:rPr>
        <w:t xml:space="preserve"> </w:t>
      </w:r>
      <w:proofErr w:type="spellStart"/>
      <w:r w:rsidR="00A22167">
        <w:rPr>
          <w:sz w:val="26"/>
          <w:szCs w:val="26"/>
        </w:rPr>
        <w:t>sâu</w:t>
      </w:r>
      <w:proofErr w:type="spellEnd"/>
      <w:r w:rsidR="00A22167">
        <w:rPr>
          <w:sz w:val="26"/>
          <w:szCs w:val="26"/>
        </w:rPr>
        <w:t xml:space="preserve"> </w:t>
      </w:r>
      <w:proofErr w:type="spellStart"/>
      <w:r w:rsidR="00A22167">
        <w:rPr>
          <w:sz w:val="26"/>
          <w:szCs w:val="26"/>
        </w:rPr>
        <w:t>vào</w:t>
      </w:r>
      <w:proofErr w:type="spellEnd"/>
      <w:r w:rsidR="00A22167">
        <w:rPr>
          <w:sz w:val="26"/>
          <w:szCs w:val="26"/>
        </w:rPr>
        <w:t xml:space="preserve"> </w:t>
      </w:r>
      <w:proofErr w:type="spellStart"/>
      <w:r w:rsidR="00E50AEE">
        <w:rPr>
          <w:sz w:val="26"/>
          <w:szCs w:val="26"/>
        </w:rPr>
        <w:t>nền</w:t>
      </w:r>
      <w:proofErr w:type="spellEnd"/>
      <w:r w:rsidR="00E50AEE">
        <w:rPr>
          <w:sz w:val="26"/>
          <w:szCs w:val="26"/>
        </w:rPr>
        <w:t xml:space="preserve"> </w:t>
      </w:r>
      <w:proofErr w:type="spellStart"/>
      <w:r w:rsidR="00E50AEE">
        <w:rPr>
          <w:sz w:val="26"/>
          <w:szCs w:val="26"/>
        </w:rPr>
        <w:t>kinh</w:t>
      </w:r>
      <w:proofErr w:type="spellEnd"/>
      <w:r w:rsidR="00E50AEE">
        <w:rPr>
          <w:sz w:val="26"/>
          <w:szCs w:val="26"/>
        </w:rPr>
        <w:t xml:space="preserve"> </w:t>
      </w:r>
      <w:proofErr w:type="spellStart"/>
      <w:r w:rsidR="00E50AEE">
        <w:rPr>
          <w:sz w:val="26"/>
          <w:szCs w:val="26"/>
        </w:rPr>
        <w:t>tế</w:t>
      </w:r>
      <w:proofErr w:type="spellEnd"/>
      <w:r w:rsidR="00E50AEE">
        <w:rPr>
          <w:sz w:val="26"/>
          <w:szCs w:val="26"/>
        </w:rPr>
        <w:t xml:space="preserve"> </w:t>
      </w:r>
      <w:proofErr w:type="spellStart"/>
      <w:r w:rsidR="00E50AEE">
        <w:rPr>
          <w:sz w:val="26"/>
          <w:szCs w:val="26"/>
        </w:rPr>
        <w:t>thị</w:t>
      </w:r>
      <w:proofErr w:type="spellEnd"/>
      <w:r w:rsidR="00E50AEE">
        <w:rPr>
          <w:sz w:val="26"/>
          <w:szCs w:val="26"/>
        </w:rPr>
        <w:t xml:space="preserve"> </w:t>
      </w:r>
      <w:proofErr w:type="spellStart"/>
      <w:r w:rsidR="00E50AEE">
        <w:rPr>
          <w:sz w:val="26"/>
          <w:szCs w:val="26"/>
        </w:rPr>
        <w:t>trường</w:t>
      </w:r>
      <w:proofErr w:type="spellEnd"/>
      <w:r w:rsidR="00DB1E60" w:rsidRPr="00E50AEE">
        <w:rPr>
          <w:sz w:val="26"/>
          <w:szCs w:val="26"/>
        </w:rPr>
        <w:t xml:space="preserve">. </w:t>
      </w:r>
      <w:proofErr w:type="spellStart"/>
      <w:r w:rsidR="008570B7" w:rsidRPr="00E50AEE">
        <w:rPr>
          <w:sz w:val="26"/>
          <w:szCs w:val="26"/>
        </w:rPr>
        <w:t>Thể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chế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hóa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q</w:t>
      </w:r>
      <w:r w:rsidR="00DB1E60" w:rsidRPr="00E50AEE">
        <w:rPr>
          <w:sz w:val="26"/>
          <w:szCs w:val="26"/>
        </w:rPr>
        <w:t>uyề</w:t>
      </w:r>
      <w:r w:rsidR="008570B7" w:rsidRPr="00E50AEE">
        <w:rPr>
          <w:sz w:val="26"/>
          <w:szCs w:val="26"/>
        </w:rPr>
        <w:t>n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tài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sản</w:t>
      </w:r>
      <w:proofErr w:type="spellEnd"/>
      <w:r w:rsidR="00DB1E60" w:rsidRPr="00E50AEE">
        <w:rPr>
          <w:sz w:val="26"/>
          <w:szCs w:val="26"/>
        </w:rPr>
        <w:t xml:space="preserve"> (bao </w:t>
      </w:r>
      <w:proofErr w:type="spellStart"/>
      <w:r w:rsidR="00DB1E60" w:rsidRPr="00E50AEE">
        <w:rPr>
          <w:sz w:val="26"/>
          <w:szCs w:val="26"/>
        </w:rPr>
        <w:t>gồm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quyền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sở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hữu</w:t>
      </w:r>
      <w:proofErr w:type="spellEnd"/>
      <w:r w:rsidR="00DB1E60" w:rsidRPr="00E50AEE">
        <w:rPr>
          <w:sz w:val="26"/>
          <w:szCs w:val="26"/>
        </w:rPr>
        <w:t xml:space="preserve">, </w:t>
      </w:r>
      <w:proofErr w:type="spellStart"/>
      <w:r w:rsidR="00DB1E60" w:rsidRPr="00E50AEE">
        <w:rPr>
          <w:sz w:val="26"/>
          <w:szCs w:val="26"/>
        </w:rPr>
        <w:t>quyền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sử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dụng</w:t>
      </w:r>
      <w:proofErr w:type="spellEnd"/>
      <w:r w:rsidR="00DB1E60" w:rsidRPr="00E50AEE">
        <w:rPr>
          <w:sz w:val="26"/>
          <w:szCs w:val="26"/>
        </w:rPr>
        <w:t xml:space="preserve">, </w:t>
      </w:r>
      <w:proofErr w:type="spellStart"/>
      <w:r w:rsidR="00DB1E60" w:rsidRPr="00E50AEE">
        <w:rPr>
          <w:sz w:val="26"/>
          <w:szCs w:val="26"/>
        </w:rPr>
        <w:t>quyền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định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đoạt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và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hưởng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DB1E60" w:rsidRPr="00E50AEE">
        <w:rPr>
          <w:sz w:val="26"/>
          <w:szCs w:val="26"/>
        </w:rPr>
        <w:t>lợi</w:t>
      </w:r>
      <w:proofErr w:type="spellEnd"/>
      <w:r w:rsidR="00DB1E60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từ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tài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sản</w:t>
      </w:r>
      <w:proofErr w:type="spellEnd"/>
      <w:r w:rsidRPr="00E50AEE">
        <w:rPr>
          <w:sz w:val="26"/>
          <w:szCs w:val="26"/>
        </w:rPr>
        <w:t>)</w:t>
      </w:r>
      <w:r w:rsidR="008570B7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tại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các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cơ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sở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giáo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dục</w:t>
      </w:r>
      <w:proofErr w:type="spellEnd"/>
      <w:r w:rsidR="008570B7" w:rsidRPr="00E50AEE">
        <w:rPr>
          <w:sz w:val="26"/>
          <w:szCs w:val="26"/>
        </w:rPr>
        <w:t xml:space="preserve"> ĐHTT </w:t>
      </w:r>
      <w:proofErr w:type="spellStart"/>
      <w:r w:rsidR="003755CA">
        <w:rPr>
          <w:sz w:val="26"/>
          <w:szCs w:val="26"/>
        </w:rPr>
        <w:t>vẫn</w:t>
      </w:r>
      <w:proofErr w:type="spellEnd"/>
      <w:r w:rsidR="003755CA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là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vấn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8570B7" w:rsidRPr="00E50AEE">
        <w:rPr>
          <w:sz w:val="26"/>
          <w:szCs w:val="26"/>
        </w:rPr>
        <w:t>đề</w:t>
      </w:r>
      <w:proofErr w:type="spellEnd"/>
      <w:r w:rsidR="008570B7" w:rsidRPr="00E50AEE">
        <w:rPr>
          <w:sz w:val="26"/>
          <w:szCs w:val="26"/>
        </w:rPr>
        <w:t xml:space="preserve"> </w:t>
      </w:r>
      <w:proofErr w:type="spellStart"/>
      <w:r w:rsidR="003755CA">
        <w:rPr>
          <w:sz w:val="26"/>
          <w:szCs w:val="26"/>
        </w:rPr>
        <w:t>đặt</w:t>
      </w:r>
      <w:proofErr w:type="spellEnd"/>
      <w:r w:rsidR="003755CA">
        <w:rPr>
          <w:sz w:val="26"/>
          <w:szCs w:val="26"/>
        </w:rPr>
        <w:t xml:space="preserve"> ra</w:t>
      </w:r>
      <w:r w:rsidR="008570B7" w:rsidRPr="00E50AEE">
        <w:rPr>
          <w:sz w:val="26"/>
          <w:szCs w:val="26"/>
        </w:rPr>
        <w:t>.</w:t>
      </w:r>
    </w:p>
    <w:p w:rsidR="00B41E7F" w:rsidRDefault="00E50AEE" w:rsidP="00B41E7F">
      <w:pPr>
        <w:spacing w:line="295" w:lineRule="atLeast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Điều</w:t>
      </w:r>
      <w:proofErr w:type="spellEnd"/>
      <w:r w:rsidR="005C4B94" w:rsidRPr="00E50AEE">
        <w:rPr>
          <w:sz w:val="26"/>
          <w:szCs w:val="26"/>
        </w:rPr>
        <w:t xml:space="preserve"> </w:t>
      </w:r>
      <w:proofErr w:type="spellStart"/>
      <w:r w:rsidR="005C4B94" w:rsidRPr="00E50AEE">
        <w:rPr>
          <w:sz w:val="26"/>
          <w:szCs w:val="26"/>
        </w:rPr>
        <w:t>chúng</w:t>
      </w:r>
      <w:proofErr w:type="spellEnd"/>
      <w:r w:rsidR="005C4B94" w:rsidRPr="00E50AEE">
        <w:rPr>
          <w:sz w:val="26"/>
          <w:szCs w:val="26"/>
        </w:rPr>
        <w:t xml:space="preserve"> ta </w:t>
      </w:r>
      <w:proofErr w:type="spellStart"/>
      <w:r w:rsidR="005C4B94" w:rsidRPr="00E50AEE">
        <w:rPr>
          <w:sz w:val="26"/>
          <w:szCs w:val="26"/>
        </w:rPr>
        <w:t>nhận</w:t>
      </w:r>
      <w:proofErr w:type="spellEnd"/>
      <w:r w:rsidR="005C4B94" w:rsidRPr="00E50AEE">
        <w:rPr>
          <w:sz w:val="26"/>
          <w:szCs w:val="26"/>
        </w:rPr>
        <w:t xml:space="preserve"> ra </w:t>
      </w:r>
      <w:proofErr w:type="spellStart"/>
      <w:r w:rsidR="005C4B94" w:rsidRPr="00E50AEE">
        <w:rPr>
          <w:sz w:val="26"/>
          <w:szCs w:val="26"/>
        </w:rPr>
        <w:t>là</w:t>
      </w:r>
      <w:proofErr w:type="spellEnd"/>
      <w:r w:rsidR="005C4B94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mô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hình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quản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trị</w:t>
      </w:r>
      <w:proofErr w:type="spellEnd"/>
      <w:r w:rsidR="00B41E7F" w:rsidRPr="00E50AEE">
        <w:rPr>
          <w:sz w:val="26"/>
          <w:szCs w:val="26"/>
        </w:rPr>
        <w:t xml:space="preserve"> ĐHTT </w:t>
      </w:r>
      <w:proofErr w:type="spellStart"/>
      <w:r w:rsidR="00B41E7F" w:rsidRPr="00E50AEE">
        <w:rPr>
          <w:sz w:val="26"/>
          <w:szCs w:val="26"/>
        </w:rPr>
        <w:t>của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Việt</w:t>
      </w:r>
      <w:proofErr w:type="spellEnd"/>
      <w:r w:rsidR="00B41E7F" w:rsidRPr="00E50AEE">
        <w:rPr>
          <w:sz w:val="26"/>
          <w:szCs w:val="26"/>
        </w:rPr>
        <w:t xml:space="preserve"> Nam </w:t>
      </w:r>
      <w:proofErr w:type="spellStart"/>
      <w:r w:rsidR="003755CA">
        <w:rPr>
          <w:sz w:val="26"/>
          <w:szCs w:val="26"/>
        </w:rPr>
        <w:t>đang</w:t>
      </w:r>
      <w:proofErr w:type="spellEnd"/>
      <w:r w:rsidR="003755CA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dịch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chuyển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theo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hướng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xóa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bỏ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quản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lí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trực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tiếp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của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Bộ</w:t>
      </w:r>
      <w:proofErr w:type="spellEnd"/>
      <w:r w:rsidR="00B41E7F" w:rsidRPr="00E50AEE">
        <w:rPr>
          <w:sz w:val="26"/>
          <w:szCs w:val="26"/>
        </w:rPr>
        <w:t xml:space="preserve"> GD&amp;ĐT </w:t>
      </w:r>
      <w:proofErr w:type="spellStart"/>
      <w:r w:rsidR="00B41E7F" w:rsidRPr="00E50AEE">
        <w:rPr>
          <w:sz w:val="26"/>
          <w:szCs w:val="26"/>
        </w:rPr>
        <w:t>bằng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cách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giao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nhiều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quyền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tự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chủ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5C4B94" w:rsidRPr="00E50AEE">
        <w:rPr>
          <w:sz w:val="26"/>
          <w:szCs w:val="26"/>
        </w:rPr>
        <w:t>về</w:t>
      </w:r>
      <w:proofErr w:type="spellEnd"/>
      <w:r w:rsidR="005C4B94" w:rsidRPr="00E50AEE">
        <w:rPr>
          <w:sz w:val="26"/>
          <w:szCs w:val="26"/>
        </w:rPr>
        <w:t xml:space="preserve"> </w:t>
      </w:r>
      <w:proofErr w:type="spellStart"/>
      <w:r w:rsidR="005C4B94" w:rsidRPr="00E50AEE">
        <w:rPr>
          <w:sz w:val="26"/>
          <w:szCs w:val="26"/>
        </w:rPr>
        <w:t>tài</w:t>
      </w:r>
      <w:proofErr w:type="spellEnd"/>
      <w:r w:rsidR="005C4B94" w:rsidRPr="00E50AEE">
        <w:rPr>
          <w:sz w:val="26"/>
          <w:szCs w:val="26"/>
        </w:rPr>
        <w:t xml:space="preserve"> </w:t>
      </w:r>
      <w:proofErr w:type="spellStart"/>
      <w:r w:rsidR="005C4B94" w:rsidRPr="00E50AEE">
        <w:rPr>
          <w:sz w:val="26"/>
          <w:szCs w:val="26"/>
        </w:rPr>
        <w:t>chính</w:t>
      </w:r>
      <w:proofErr w:type="spellEnd"/>
      <w:r w:rsidR="005C4B94" w:rsidRPr="00E50AEE">
        <w:rPr>
          <w:sz w:val="26"/>
          <w:szCs w:val="26"/>
        </w:rPr>
        <w:t xml:space="preserve">, </w:t>
      </w:r>
      <w:proofErr w:type="spellStart"/>
      <w:r w:rsidR="005C4B94" w:rsidRPr="00E50AEE">
        <w:rPr>
          <w:sz w:val="26"/>
          <w:szCs w:val="26"/>
        </w:rPr>
        <w:t>nhân</w:t>
      </w:r>
      <w:proofErr w:type="spellEnd"/>
      <w:r w:rsidR="005C4B94" w:rsidRPr="00E50AEE">
        <w:rPr>
          <w:sz w:val="26"/>
          <w:szCs w:val="26"/>
        </w:rPr>
        <w:t xml:space="preserve"> </w:t>
      </w:r>
      <w:proofErr w:type="spellStart"/>
      <w:r w:rsidR="005C4B94" w:rsidRPr="00E50AEE">
        <w:rPr>
          <w:sz w:val="26"/>
          <w:szCs w:val="26"/>
        </w:rPr>
        <w:t>sự</w:t>
      </w:r>
      <w:proofErr w:type="spellEnd"/>
      <w:r w:rsidR="005C4B94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cho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các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trường</w:t>
      </w:r>
      <w:proofErr w:type="spellEnd"/>
      <w:r w:rsidR="00B41E7F" w:rsidRPr="00E50AEE">
        <w:rPr>
          <w:sz w:val="26"/>
          <w:szCs w:val="26"/>
        </w:rPr>
        <w:t xml:space="preserve">. </w:t>
      </w:r>
      <w:proofErr w:type="spellStart"/>
      <w:r w:rsidR="00B41E7F" w:rsidRPr="00E50AEE">
        <w:rPr>
          <w:sz w:val="26"/>
          <w:szCs w:val="26"/>
        </w:rPr>
        <w:t>Và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nhìn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chung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đang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có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xu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hướng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thử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nghiệm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mô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hình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trường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đại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học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hoạt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động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theo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tư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cách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pháp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nhân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độc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lập</w:t>
      </w:r>
      <w:proofErr w:type="spellEnd"/>
      <w:r w:rsidR="00B41E7F" w:rsidRPr="00E50AEE">
        <w:rPr>
          <w:sz w:val="26"/>
          <w:szCs w:val="26"/>
        </w:rPr>
        <w:t xml:space="preserve">, </w:t>
      </w:r>
      <w:proofErr w:type="spellStart"/>
      <w:r w:rsidR="00B41E7F" w:rsidRPr="00E50AEE">
        <w:rPr>
          <w:sz w:val="26"/>
          <w:szCs w:val="26"/>
        </w:rPr>
        <w:t>áp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dụng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các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kỹ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thuật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quản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lý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của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r w:rsidR="00B41E7F" w:rsidRPr="00E50AEE">
        <w:rPr>
          <w:sz w:val="26"/>
          <w:szCs w:val="26"/>
        </w:rPr>
        <w:t>doanh</w:t>
      </w:r>
      <w:proofErr w:type="spellEnd"/>
      <w:r w:rsidR="00B41E7F" w:rsidRPr="00E50AEE">
        <w:rPr>
          <w:sz w:val="26"/>
          <w:szCs w:val="26"/>
        </w:rPr>
        <w:t xml:space="preserve"> </w:t>
      </w:r>
      <w:proofErr w:type="spellStart"/>
      <w:proofErr w:type="gramStart"/>
      <w:r w:rsidR="00B41E7F" w:rsidRPr="00E50AEE">
        <w:rPr>
          <w:sz w:val="26"/>
          <w:szCs w:val="26"/>
        </w:rPr>
        <w:t>nghiệp</w:t>
      </w:r>
      <w:proofErr w:type="spellEnd"/>
      <w:r w:rsidR="00687063">
        <w:rPr>
          <w:sz w:val="26"/>
          <w:szCs w:val="26"/>
        </w:rPr>
        <w:t xml:space="preserve"> </w:t>
      </w:r>
      <w:r w:rsidR="00B41E7F" w:rsidRPr="00E50AEE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/.</w:t>
      </w:r>
    </w:p>
    <w:p w:rsidR="00687063" w:rsidRPr="00E50AEE" w:rsidRDefault="00687063" w:rsidP="00687063">
      <w:pPr>
        <w:spacing w:line="295" w:lineRule="atLeast"/>
        <w:ind w:left="5760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1/2019</w:t>
      </w:r>
    </w:p>
    <w:p w:rsidR="005021A8" w:rsidRDefault="00D11CDE" w:rsidP="007B0985">
      <w:pPr>
        <w:pStyle w:val="Normal1"/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liệu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khảo</w:t>
      </w:r>
      <w:proofErr w:type="spellEnd"/>
    </w:p>
    <w:p w:rsidR="003A0C86" w:rsidRPr="005021A8" w:rsidRDefault="005021A8" w:rsidP="007B0985">
      <w:pPr>
        <w:pStyle w:val="Normal1"/>
        <w:ind w:firstLine="720"/>
        <w:jc w:val="both"/>
        <w:rPr>
          <w:sz w:val="28"/>
          <w:szCs w:val="28"/>
        </w:rPr>
      </w:pPr>
      <w:r w:rsidRPr="001C3F89">
        <w:rPr>
          <w:sz w:val="20"/>
          <w:szCs w:val="20"/>
        </w:rPr>
        <w:t>1</w:t>
      </w:r>
      <w:r w:rsidR="007B0985" w:rsidRPr="001C3F89">
        <w:rPr>
          <w:sz w:val="20"/>
          <w:szCs w:val="20"/>
        </w:rPr>
        <w:t>.</w:t>
      </w:r>
      <w:r>
        <w:rPr>
          <w:sz w:val="28"/>
          <w:szCs w:val="28"/>
        </w:rPr>
        <w:t xml:space="preserve">  </w:t>
      </w:r>
      <w:r w:rsidR="00D11CDE" w:rsidRPr="005021A8">
        <w:rPr>
          <w:sz w:val="20"/>
          <w:szCs w:val="20"/>
        </w:rPr>
        <w:t xml:space="preserve">TS. </w:t>
      </w:r>
      <w:proofErr w:type="spellStart"/>
      <w:r w:rsidR="00D11CDE" w:rsidRPr="005021A8">
        <w:rPr>
          <w:sz w:val="20"/>
          <w:szCs w:val="20"/>
        </w:rPr>
        <w:t>Đặng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Văn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Định</w:t>
      </w:r>
      <w:proofErr w:type="spellEnd"/>
      <w:r w:rsidR="00D11CDE" w:rsidRPr="005021A8">
        <w:rPr>
          <w:sz w:val="20"/>
          <w:szCs w:val="20"/>
        </w:rPr>
        <w:t>: “</w:t>
      </w:r>
      <w:proofErr w:type="spellStart"/>
      <w:r w:rsidR="00D11CDE" w:rsidRPr="005021A8">
        <w:rPr>
          <w:sz w:val="20"/>
          <w:szCs w:val="20"/>
        </w:rPr>
        <w:t>Đầu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tư</w:t>
      </w:r>
      <w:proofErr w:type="spellEnd"/>
      <w:r w:rsidR="00D11CDE" w:rsidRPr="005021A8">
        <w:rPr>
          <w:sz w:val="20"/>
          <w:szCs w:val="20"/>
        </w:rPr>
        <w:t xml:space="preserve">, </w:t>
      </w:r>
      <w:proofErr w:type="spellStart"/>
      <w:r w:rsidR="00D11CDE" w:rsidRPr="005021A8">
        <w:rPr>
          <w:sz w:val="20"/>
          <w:szCs w:val="20"/>
        </w:rPr>
        <w:t>sở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hữu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và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quản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trị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đối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với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trường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đại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học</w:t>
      </w:r>
      <w:proofErr w:type="spellEnd"/>
      <w:r w:rsidR="003755CA">
        <w:rPr>
          <w:sz w:val="20"/>
          <w:szCs w:val="20"/>
        </w:rPr>
        <w:t xml:space="preserve"> </w:t>
      </w:r>
      <w:proofErr w:type="spellStart"/>
      <w:r w:rsidR="003755CA">
        <w:rPr>
          <w:sz w:val="20"/>
          <w:szCs w:val="20"/>
        </w:rPr>
        <w:t>ngoài</w:t>
      </w:r>
      <w:proofErr w:type="spellEnd"/>
      <w:r w:rsidR="003755CA">
        <w:rPr>
          <w:sz w:val="20"/>
          <w:szCs w:val="20"/>
        </w:rPr>
        <w:t xml:space="preserve"> </w:t>
      </w:r>
      <w:proofErr w:type="spellStart"/>
      <w:r w:rsidR="003755CA">
        <w:rPr>
          <w:sz w:val="20"/>
          <w:szCs w:val="20"/>
        </w:rPr>
        <w:t>công</w:t>
      </w:r>
      <w:proofErr w:type="spellEnd"/>
      <w:r w:rsidR="003755CA">
        <w:rPr>
          <w:sz w:val="20"/>
          <w:szCs w:val="20"/>
        </w:rPr>
        <w:t xml:space="preserve"> </w:t>
      </w:r>
      <w:proofErr w:type="spellStart"/>
      <w:r w:rsidR="003755CA">
        <w:rPr>
          <w:sz w:val="20"/>
          <w:szCs w:val="20"/>
        </w:rPr>
        <w:t>lập</w:t>
      </w:r>
      <w:proofErr w:type="spellEnd"/>
      <w:r w:rsidR="003755CA">
        <w:rPr>
          <w:sz w:val="20"/>
          <w:szCs w:val="20"/>
        </w:rPr>
        <w:t xml:space="preserve"> </w:t>
      </w:r>
      <w:proofErr w:type="spellStart"/>
      <w:r w:rsidR="003755CA">
        <w:rPr>
          <w:sz w:val="20"/>
          <w:szCs w:val="20"/>
        </w:rPr>
        <w:t>Việt</w:t>
      </w:r>
      <w:proofErr w:type="spellEnd"/>
      <w:r w:rsidR="003755CA">
        <w:rPr>
          <w:sz w:val="20"/>
          <w:szCs w:val="20"/>
        </w:rPr>
        <w:t xml:space="preserve"> Nam”. </w:t>
      </w:r>
      <w:proofErr w:type="spellStart"/>
      <w:r w:rsidR="00D11CDE" w:rsidRPr="005021A8">
        <w:rPr>
          <w:sz w:val="20"/>
          <w:szCs w:val="20"/>
        </w:rPr>
        <w:t>Thực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trạng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và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các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giải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pháp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cần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thiết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để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củng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cố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và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phát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triển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hệ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thống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các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trường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đại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học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cao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đẳng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ngoài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công</w:t>
      </w:r>
      <w:proofErr w:type="spellEnd"/>
      <w:r w:rsidR="00D11CDE" w:rsidRPr="005021A8">
        <w:rPr>
          <w:sz w:val="20"/>
          <w:szCs w:val="20"/>
        </w:rPr>
        <w:t xml:space="preserve"> </w:t>
      </w:r>
      <w:proofErr w:type="spellStart"/>
      <w:r w:rsidR="00D11CDE" w:rsidRPr="005021A8">
        <w:rPr>
          <w:sz w:val="20"/>
          <w:szCs w:val="20"/>
        </w:rPr>
        <w:t>lập</w:t>
      </w:r>
      <w:proofErr w:type="spellEnd"/>
      <w:r w:rsidR="00D11CDE" w:rsidRPr="005021A8">
        <w:rPr>
          <w:sz w:val="20"/>
          <w:szCs w:val="20"/>
        </w:rPr>
        <w:t xml:space="preserve">. NXB TT&amp;TT </w:t>
      </w:r>
      <w:proofErr w:type="spellStart"/>
      <w:r w:rsidR="00D11CDE" w:rsidRPr="005021A8">
        <w:rPr>
          <w:sz w:val="20"/>
          <w:szCs w:val="20"/>
        </w:rPr>
        <w:t>năm</w:t>
      </w:r>
      <w:proofErr w:type="spellEnd"/>
      <w:r w:rsidR="00D11CDE" w:rsidRPr="005021A8">
        <w:rPr>
          <w:sz w:val="20"/>
          <w:szCs w:val="20"/>
        </w:rPr>
        <w:t xml:space="preserve"> 2017.</w:t>
      </w:r>
    </w:p>
    <w:p w:rsidR="005021A8" w:rsidRPr="005021A8" w:rsidRDefault="005021A8" w:rsidP="007B0985">
      <w:pPr>
        <w:pStyle w:val="Normal1"/>
        <w:spacing w:before="120" w:after="12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B0985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5021A8">
        <w:rPr>
          <w:sz w:val="20"/>
          <w:szCs w:val="20"/>
        </w:rPr>
        <w:t xml:space="preserve">PGS </w:t>
      </w:r>
      <w:proofErr w:type="spellStart"/>
      <w:r w:rsidRPr="005021A8">
        <w:rPr>
          <w:sz w:val="20"/>
          <w:szCs w:val="20"/>
        </w:rPr>
        <w:t>Phạm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Thị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Huyền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và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dồng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nghiệp</w:t>
      </w:r>
      <w:proofErr w:type="spellEnd"/>
      <w:r w:rsidRPr="005021A8">
        <w:rPr>
          <w:sz w:val="20"/>
          <w:szCs w:val="20"/>
        </w:rPr>
        <w:t xml:space="preserve">. </w:t>
      </w:r>
      <w:proofErr w:type="spellStart"/>
      <w:r w:rsidRPr="005021A8">
        <w:rPr>
          <w:sz w:val="20"/>
          <w:szCs w:val="20"/>
        </w:rPr>
        <w:t>Báo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áo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tổng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hợp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kết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quả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nghiên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cứu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các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trường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đại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học</w:t>
      </w:r>
      <w:proofErr w:type="spellEnd"/>
      <w:r w:rsidRPr="005021A8">
        <w:rPr>
          <w:sz w:val="20"/>
          <w:szCs w:val="20"/>
        </w:rPr>
        <w:t xml:space="preserve"> NCL </w:t>
      </w:r>
      <w:proofErr w:type="spellStart"/>
      <w:r w:rsidR="003755CA">
        <w:rPr>
          <w:sz w:val="20"/>
          <w:szCs w:val="20"/>
        </w:rPr>
        <w:t>T</w:t>
      </w:r>
      <w:r w:rsidRPr="005021A8">
        <w:rPr>
          <w:sz w:val="20"/>
          <w:szCs w:val="20"/>
        </w:rPr>
        <w:t>ài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liệu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dùng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làm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báo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cáo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của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Bộ</w:t>
      </w:r>
      <w:proofErr w:type="spellEnd"/>
      <w:r w:rsidRPr="005021A8">
        <w:rPr>
          <w:sz w:val="20"/>
          <w:szCs w:val="20"/>
        </w:rPr>
        <w:t xml:space="preserve"> GD&amp;ĐT </w:t>
      </w:r>
      <w:proofErr w:type="spellStart"/>
      <w:r w:rsidRPr="005021A8">
        <w:rPr>
          <w:sz w:val="20"/>
          <w:szCs w:val="20"/>
        </w:rPr>
        <w:t>tại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Hội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nghị</w:t>
      </w:r>
      <w:proofErr w:type="spellEnd"/>
      <w:r w:rsidRPr="005021A8">
        <w:rPr>
          <w:sz w:val="20"/>
          <w:szCs w:val="20"/>
        </w:rPr>
        <w:t xml:space="preserve"> NCL </w:t>
      </w:r>
      <w:proofErr w:type="spellStart"/>
      <w:r w:rsidRPr="005021A8">
        <w:rPr>
          <w:sz w:val="20"/>
          <w:szCs w:val="20"/>
        </w:rPr>
        <w:t>tháng</w:t>
      </w:r>
      <w:proofErr w:type="spellEnd"/>
      <w:r w:rsidRPr="005021A8">
        <w:rPr>
          <w:sz w:val="20"/>
          <w:szCs w:val="20"/>
        </w:rPr>
        <w:t xml:space="preserve"> 4/2017.</w:t>
      </w:r>
    </w:p>
    <w:p w:rsidR="005021A8" w:rsidRDefault="005021A8" w:rsidP="007B0985">
      <w:pPr>
        <w:pStyle w:val="Normal1"/>
        <w:spacing w:before="120" w:after="12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B0985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5021A8">
        <w:rPr>
          <w:sz w:val="20"/>
          <w:szCs w:val="20"/>
        </w:rPr>
        <w:t xml:space="preserve">GS. </w:t>
      </w:r>
      <w:proofErr w:type="spellStart"/>
      <w:r w:rsidRPr="005021A8">
        <w:rPr>
          <w:sz w:val="20"/>
          <w:szCs w:val="20"/>
        </w:rPr>
        <w:t>Trần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Phương</w:t>
      </w:r>
      <w:proofErr w:type="spellEnd"/>
      <w:r w:rsidRPr="005021A8">
        <w:rPr>
          <w:sz w:val="20"/>
          <w:szCs w:val="20"/>
        </w:rPr>
        <w:t xml:space="preserve">. </w:t>
      </w:r>
      <w:proofErr w:type="spellStart"/>
      <w:r w:rsidRPr="005021A8">
        <w:rPr>
          <w:sz w:val="20"/>
          <w:szCs w:val="20"/>
        </w:rPr>
        <w:t>Mô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hình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tư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thục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của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Trường</w:t>
      </w:r>
      <w:proofErr w:type="spellEnd"/>
      <w:r w:rsidRPr="005021A8">
        <w:rPr>
          <w:sz w:val="20"/>
          <w:szCs w:val="20"/>
        </w:rPr>
        <w:t xml:space="preserve"> ĐH </w:t>
      </w:r>
      <w:proofErr w:type="spellStart"/>
      <w:r w:rsidRPr="005021A8">
        <w:rPr>
          <w:sz w:val="20"/>
          <w:szCs w:val="20"/>
        </w:rPr>
        <w:t>Kinh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doanh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và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Công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nghệ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Hà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Nội</w:t>
      </w:r>
      <w:proofErr w:type="spellEnd"/>
      <w:r w:rsidRPr="005021A8">
        <w:rPr>
          <w:sz w:val="20"/>
          <w:szCs w:val="20"/>
        </w:rPr>
        <w:t xml:space="preserve">. </w:t>
      </w:r>
      <w:proofErr w:type="spellStart"/>
      <w:r w:rsidRPr="005021A8">
        <w:rPr>
          <w:sz w:val="20"/>
          <w:szCs w:val="20"/>
        </w:rPr>
        <w:t>Mô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hình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trường</w:t>
      </w:r>
      <w:proofErr w:type="spellEnd"/>
      <w:r w:rsidRPr="005021A8">
        <w:rPr>
          <w:sz w:val="20"/>
          <w:szCs w:val="20"/>
        </w:rPr>
        <w:t xml:space="preserve"> ĐH </w:t>
      </w:r>
      <w:proofErr w:type="spellStart"/>
      <w:r w:rsidRPr="005021A8">
        <w:rPr>
          <w:sz w:val="20"/>
          <w:szCs w:val="20"/>
        </w:rPr>
        <w:t>tư</w:t>
      </w:r>
      <w:proofErr w:type="spellEnd"/>
      <w:r w:rsidRPr="005021A8">
        <w:rPr>
          <w:sz w:val="20"/>
          <w:szCs w:val="20"/>
        </w:rPr>
        <w:t xml:space="preserve"> ở </w:t>
      </w:r>
      <w:proofErr w:type="spellStart"/>
      <w:r w:rsidRPr="005021A8">
        <w:rPr>
          <w:sz w:val="20"/>
          <w:szCs w:val="20"/>
        </w:rPr>
        <w:t>Việt</w:t>
      </w:r>
      <w:proofErr w:type="spellEnd"/>
      <w:r w:rsidRPr="005021A8">
        <w:rPr>
          <w:sz w:val="20"/>
          <w:szCs w:val="20"/>
        </w:rPr>
        <w:t xml:space="preserve"> Nam. NXB Khoa </w:t>
      </w:r>
      <w:proofErr w:type="spellStart"/>
      <w:r w:rsidRPr="005021A8">
        <w:rPr>
          <w:sz w:val="20"/>
          <w:szCs w:val="20"/>
        </w:rPr>
        <w:t>học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kỹ</w:t>
      </w:r>
      <w:proofErr w:type="spellEnd"/>
      <w:r w:rsidRPr="005021A8">
        <w:rPr>
          <w:sz w:val="20"/>
          <w:szCs w:val="20"/>
        </w:rPr>
        <w:t xml:space="preserve"> </w:t>
      </w:r>
      <w:proofErr w:type="spellStart"/>
      <w:r w:rsidRPr="005021A8">
        <w:rPr>
          <w:sz w:val="20"/>
          <w:szCs w:val="20"/>
        </w:rPr>
        <w:t>thuật</w:t>
      </w:r>
      <w:proofErr w:type="spellEnd"/>
      <w:r w:rsidRPr="005021A8">
        <w:rPr>
          <w:sz w:val="20"/>
          <w:szCs w:val="20"/>
        </w:rPr>
        <w:t xml:space="preserve"> 2011. </w:t>
      </w:r>
    </w:p>
    <w:p w:rsidR="00687063" w:rsidRPr="005021A8" w:rsidRDefault="00687063" w:rsidP="007B0985">
      <w:pPr>
        <w:pStyle w:val="Normal1"/>
        <w:spacing w:before="120" w:after="120"/>
        <w:ind w:firstLine="720"/>
        <w:jc w:val="both"/>
        <w:rPr>
          <w:sz w:val="20"/>
          <w:szCs w:val="20"/>
        </w:rPr>
      </w:pPr>
    </w:p>
    <w:sectPr w:rsidR="00687063" w:rsidRPr="005021A8" w:rsidSect="003A0C86">
      <w:headerReference w:type="default" r:id="rId9"/>
      <w:footerReference w:type="default" r:id="rId10"/>
      <w:pgSz w:w="11907" w:h="16840"/>
      <w:pgMar w:top="1418" w:right="1134" w:bottom="1134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FF" w:rsidRDefault="005361FF" w:rsidP="003A0C86">
      <w:pPr>
        <w:spacing w:after="0" w:line="240" w:lineRule="auto"/>
      </w:pPr>
      <w:r>
        <w:separator/>
      </w:r>
    </w:p>
  </w:endnote>
  <w:endnote w:type="continuationSeparator" w:id="0">
    <w:p w:rsidR="005361FF" w:rsidRDefault="005361FF" w:rsidP="003A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86" w:rsidRDefault="006124B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D11CDE">
      <w:rPr>
        <w:color w:val="000000"/>
      </w:rPr>
      <w:instrText>PAGE</w:instrText>
    </w:r>
    <w:r>
      <w:rPr>
        <w:color w:val="000000"/>
      </w:rPr>
      <w:fldChar w:fldCharType="separate"/>
    </w:r>
    <w:r w:rsidR="00F74887">
      <w:rPr>
        <w:noProof/>
        <w:color w:val="000000"/>
      </w:rPr>
      <w:t>5</w:t>
    </w:r>
    <w:r>
      <w:rPr>
        <w:color w:val="000000"/>
      </w:rPr>
      <w:fldChar w:fldCharType="end"/>
    </w:r>
  </w:p>
  <w:p w:rsidR="003A0C86" w:rsidRDefault="003A0C8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FF" w:rsidRDefault="005361FF" w:rsidP="003A0C86">
      <w:pPr>
        <w:spacing w:after="0" w:line="240" w:lineRule="auto"/>
      </w:pPr>
      <w:r>
        <w:separator/>
      </w:r>
    </w:p>
  </w:footnote>
  <w:footnote w:type="continuationSeparator" w:id="0">
    <w:p w:rsidR="005361FF" w:rsidRDefault="005361FF" w:rsidP="003A0C86">
      <w:pPr>
        <w:spacing w:after="0" w:line="240" w:lineRule="auto"/>
      </w:pPr>
      <w:r>
        <w:continuationSeparator/>
      </w:r>
    </w:p>
  </w:footnote>
  <w:footnote w:id="1">
    <w:p w:rsidR="00A7765E" w:rsidRDefault="00A7765E" w:rsidP="00A7765E">
      <w:pPr>
        <w:pStyle w:val="Normal1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Lãi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suất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người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góp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vốn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không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phải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phân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phối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lợi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nhuận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sau</w:t>
      </w:r>
      <w:proofErr w:type="spellEnd"/>
      <w:r>
        <w:rPr>
          <w:color w:val="000000"/>
          <w:sz w:val="20"/>
          <w:szCs w:val="20"/>
        </w:rPr>
        <w:t xml:space="preserve"> 1 </w:t>
      </w:r>
      <w:proofErr w:type="spellStart"/>
      <w:r>
        <w:rPr>
          <w:color w:val="000000"/>
          <w:sz w:val="20"/>
          <w:szCs w:val="20"/>
        </w:rPr>
        <w:t>năm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doanh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được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hạch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toán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vào</w:t>
      </w:r>
      <w:proofErr w:type="spellEnd"/>
      <w:r>
        <w:rPr>
          <w:color w:val="000000"/>
          <w:sz w:val="20"/>
          <w:szCs w:val="20"/>
        </w:rPr>
        <w:t xml:space="preserve"> chi </w:t>
      </w:r>
      <w:proofErr w:type="spellStart"/>
      <w:r>
        <w:rPr>
          <w:color w:val="000000"/>
          <w:sz w:val="20"/>
          <w:szCs w:val="20"/>
        </w:rPr>
        <w:t>phí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giống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như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như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lãi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suất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ngân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hàng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vốn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Mô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hình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Trường</w:t>
      </w:r>
      <w:proofErr w:type="spellEnd"/>
      <w:r>
        <w:rPr>
          <w:color w:val="000000"/>
          <w:sz w:val="20"/>
          <w:szCs w:val="20"/>
        </w:rPr>
        <w:t xml:space="preserve"> ĐH </w:t>
      </w:r>
      <w:proofErr w:type="spellStart"/>
      <w:r>
        <w:rPr>
          <w:color w:val="000000"/>
          <w:sz w:val="20"/>
          <w:szCs w:val="20"/>
        </w:rPr>
        <w:t>tư</w:t>
      </w:r>
      <w:proofErr w:type="spellEnd"/>
      <w:r>
        <w:rPr>
          <w:color w:val="000000"/>
          <w:sz w:val="20"/>
          <w:szCs w:val="20"/>
        </w:rPr>
        <w:t xml:space="preserve"> ở VN [</w:t>
      </w:r>
      <w:r w:rsidR="00A32F94">
        <w:rPr>
          <w:color w:val="000000"/>
          <w:sz w:val="20"/>
          <w:szCs w:val="20"/>
        </w:rPr>
        <w:t>3]</w:t>
      </w:r>
      <w:r>
        <w:rPr>
          <w:color w:val="000000"/>
          <w:sz w:val="20"/>
          <w:szCs w:val="20"/>
        </w:rPr>
        <w:t xml:space="preserve">. tr.59, 114.  </w:t>
      </w:r>
    </w:p>
  </w:footnote>
  <w:footnote w:id="2">
    <w:p w:rsidR="00A7765E" w:rsidRDefault="00A7765E" w:rsidP="00A776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EF4"/>
        <w:spacing w:after="120" w:line="240" w:lineRule="auto"/>
        <w:jc w:val="both"/>
        <w:rPr>
          <w:b/>
          <w:color w:val="003366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. </w:t>
      </w:r>
      <w:proofErr w:type="spellStart"/>
      <w:r>
        <w:rPr>
          <w:color w:val="000000"/>
          <w:sz w:val="18"/>
          <w:szCs w:val="18"/>
        </w:rPr>
        <w:t>Tiền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thân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của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Trường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đại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học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Tôn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Đức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Thắng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là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Trường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đại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học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công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nghệ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dân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lập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Tôn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Đức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Thắng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được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thành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lập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Quyết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định</w:t>
      </w:r>
      <w:proofErr w:type="spellEnd"/>
      <w:r>
        <w:rPr>
          <w:color w:val="000000"/>
          <w:sz w:val="18"/>
          <w:szCs w:val="18"/>
        </w:rPr>
        <w:t xml:space="preserve"> 787/</w:t>
      </w:r>
      <w:proofErr w:type="spellStart"/>
      <w:r>
        <w:rPr>
          <w:color w:val="000000"/>
          <w:sz w:val="18"/>
          <w:szCs w:val="18"/>
        </w:rPr>
        <w:t>TTg</w:t>
      </w:r>
      <w:proofErr w:type="spellEnd"/>
      <w:r>
        <w:rPr>
          <w:color w:val="000000"/>
          <w:sz w:val="18"/>
          <w:szCs w:val="18"/>
        </w:rPr>
        <w:t xml:space="preserve">-QĐ </w:t>
      </w:r>
      <w:proofErr w:type="spellStart"/>
      <w:r>
        <w:rPr>
          <w:color w:val="000000"/>
          <w:sz w:val="18"/>
          <w:szCs w:val="18"/>
        </w:rPr>
        <w:t>ngày</w:t>
      </w:r>
      <w:proofErr w:type="spellEnd"/>
      <w:r>
        <w:rPr>
          <w:color w:val="000000"/>
          <w:sz w:val="18"/>
          <w:szCs w:val="18"/>
        </w:rPr>
        <w:t xml:space="preserve"> 24/9/1997 </w:t>
      </w:r>
      <w:proofErr w:type="spellStart"/>
      <w:r>
        <w:rPr>
          <w:color w:val="000000"/>
          <w:sz w:val="18"/>
          <w:szCs w:val="18"/>
        </w:rPr>
        <w:t>của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Thủ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tướng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Chính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phủ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Ngày</w:t>
      </w:r>
      <w:proofErr w:type="spellEnd"/>
      <w:r>
        <w:rPr>
          <w:color w:val="000000"/>
          <w:sz w:val="18"/>
          <w:szCs w:val="18"/>
        </w:rPr>
        <w:t xml:space="preserve"> 28/01/2003, </w:t>
      </w:r>
      <w:proofErr w:type="spellStart"/>
      <w:r>
        <w:rPr>
          <w:color w:val="000000"/>
          <w:sz w:val="18"/>
          <w:szCs w:val="18"/>
        </w:rPr>
        <w:t>Thủ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tướng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Chính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phủ</w:t>
      </w:r>
      <w:proofErr w:type="spellEnd"/>
      <w:r>
        <w:rPr>
          <w:color w:val="000000"/>
          <w:sz w:val="18"/>
          <w:szCs w:val="18"/>
        </w:rPr>
        <w:t xml:space="preserve"> ra </w:t>
      </w:r>
      <w:proofErr w:type="spellStart"/>
      <w:r>
        <w:rPr>
          <w:color w:val="000000"/>
          <w:sz w:val="18"/>
          <w:szCs w:val="18"/>
        </w:rPr>
        <w:t>Quyết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định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số</w:t>
      </w:r>
      <w:proofErr w:type="spellEnd"/>
      <w:r>
        <w:rPr>
          <w:color w:val="000000"/>
          <w:sz w:val="18"/>
          <w:szCs w:val="18"/>
        </w:rPr>
        <w:t xml:space="preserve"> 18/2003/</w:t>
      </w:r>
      <w:proofErr w:type="spellStart"/>
      <w:r>
        <w:rPr>
          <w:color w:val="000000"/>
          <w:sz w:val="18"/>
          <w:szCs w:val="18"/>
        </w:rPr>
        <w:t>TTg</w:t>
      </w:r>
      <w:proofErr w:type="spellEnd"/>
      <w:r>
        <w:rPr>
          <w:color w:val="000000"/>
          <w:sz w:val="18"/>
          <w:szCs w:val="18"/>
        </w:rPr>
        <w:t xml:space="preserve">-QĐ </w:t>
      </w:r>
      <w:proofErr w:type="spellStart"/>
      <w:r>
        <w:rPr>
          <w:color w:val="000000"/>
          <w:sz w:val="18"/>
          <w:szCs w:val="18"/>
        </w:rPr>
        <w:t>chuyển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đổi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pháp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nhân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của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trường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thành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Trường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đại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học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bán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công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Tôn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Đức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Thắng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trực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thuộc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Ủy</w:t>
      </w:r>
      <w:proofErr w:type="spellEnd"/>
      <w:r>
        <w:rPr>
          <w:color w:val="000000"/>
          <w:sz w:val="18"/>
          <w:szCs w:val="18"/>
        </w:rPr>
        <w:t xml:space="preserve"> ban </w:t>
      </w:r>
      <w:proofErr w:type="spellStart"/>
      <w:r>
        <w:rPr>
          <w:color w:val="000000"/>
          <w:sz w:val="18"/>
          <w:szCs w:val="18"/>
        </w:rPr>
        <w:t>nhân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dân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thành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phố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Hồ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Chí</w:t>
      </w:r>
      <w:proofErr w:type="spellEnd"/>
      <w:r>
        <w:rPr>
          <w:color w:val="000000"/>
          <w:sz w:val="18"/>
          <w:szCs w:val="18"/>
        </w:rPr>
        <w:t xml:space="preserve"> Minh. </w:t>
      </w:r>
      <w:proofErr w:type="spellStart"/>
      <w:r>
        <w:rPr>
          <w:color w:val="000000"/>
          <w:sz w:val="18"/>
          <w:szCs w:val="18"/>
        </w:rPr>
        <w:t>Đến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ngày</w:t>
      </w:r>
      <w:proofErr w:type="spellEnd"/>
      <w:r>
        <w:rPr>
          <w:color w:val="000000"/>
          <w:sz w:val="18"/>
          <w:szCs w:val="18"/>
        </w:rPr>
        <w:t xml:space="preserve"> 11/06/2008, </w:t>
      </w:r>
      <w:proofErr w:type="spellStart"/>
      <w:r>
        <w:rPr>
          <w:color w:val="000000"/>
          <w:sz w:val="18"/>
          <w:szCs w:val="18"/>
        </w:rPr>
        <w:t>Thủ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tướng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Chính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phủ</w:t>
      </w:r>
      <w:proofErr w:type="spellEnd"/>
      <w:r>
        <w:rPr>
          <w:color w:val="000000"/>
          <w:sz w:val="18"/>
          <w:szCs w:val="18"/>
        </w:rPr>
        <w:t xml:space="preserve"> ra </w:t>
      </w:r>
      <w:proofErr w:type="spellStart"/>
      <w:r>
        <w:rPr>
          <w:color w:val="000000"/>
          <w:sz w:val="18"/>
          <w:szCs w:val="18"/>
        </w:rPr>
        <w:t>Quyết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định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số</w:t>
      </w:r>
      <w:proofErr w:type="spellEnd"/>
      <w:r>
        <w:rPr>
          <w:color w:val="000000"/>
          <w:sz w:val="18"/>
          <w:szCs w:val="18"/>
        </w:rPr>
        <w:t xml:space="preserve"> 747/</w:t>
      </w:r>
      <w:proofErr w:type="spellStart"/>
      <w:r>
        <w:rPr>
          <w:color w:val="000000"/>
          <w:sz w:val="18"/>
          <w:szCs w:val="18"/>
        </w:rPr>
        <w:t>TTg</w:t>
      </w:r>
      <w:proofErr w:type="spellEnd"/>
      <w:r>
        <w:rPr>
          <w:color w:val="000000"/>
          <w:sz w:val="18"/>
          <w:szCs w:val="18"/>
        </w:rPr>
        <w:t>-</w:t>
      </w:r>
      <w:r>
        <w:rPr>
          <w:color w:val="000000"/>
          <w:sz w:val="20"/>
          <w:szCs w:val="20"/>
        </w:rPr>
        <w:t xml:space="preserve">QĐ </w:t>
      </w:r>
      <w:proofErr w:type="spellStart"/>
      <w:r>
        <w:rPr>
          <w:color w:val="000000"/>
          <w:sz w:val="20"/>
          <w:szCs w:val="20"/>
        </w:rPr>
        <w:t>đổi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tên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Trường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đại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học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bán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công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Tôn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Đức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Thắng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thành</w:t>
      </w:r>
      <w:proofErr w:type="spellEnd"/>
      <w:r>
        <w:rPr>
          <w:color w:val="003366"/>
          <w:sz w:val="20"/>
          <w:szCs w:val="20"/>
        </w:rPr>
        <w:t> </w:t>
      </w:r>
      <w:proofErr w:type="spellStart"/>
      <w:r>
        <w:rPr>
          <w:color w:val="003366"/>
          <w:sz w:val="20"/>
          <w:szCs w:val="20"/>
        </w:rPr>
        <w:t>Trường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đại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học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Tôn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Đức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Thắng</w:t>
      </w:r>
      <w:proofErr w:type="spellEnd"/>
      <w:r>
        <w:rPr>
          <w:b/>
          <w:color w:val="003366"/>
          <w:sz w:val="20"/>
          <w:szCs w:val="20"/>
        </w:rPr>
        <w:t> </w:t>
      </w:r>
      <w:proofErr w:type="spellStart"/>
      <w:r>
        <w:rPr>
          <w:color w:val="003366"/>
          <w:sz w:val="20"/>
          <w:szCs w:val="20"/>
        </w:rPr>
        <w:t>và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chuyển</w:t>
      </w:r>
      <w:proofErr w:type="spellEnd"/>
      <w:r>
        <w:rPr>
          <w:b/>
          <w:color w:val="003366"/>
          <w:sz w:val="20"/>
          <w:szCs w:val="20"/>
        </w:rPr>
        <w:t xml:space="preserve"> </w:t>
      </w:r>
      <w:proofErr w:type="spellStart"/>
      <w:r>
        <w:rPr>
          <w:b/>
          <w:color w:val="003366"/>
          <w:sz w:val="20"/>
          <w:szCs w:val="20"/>
        </w:rPr>
        <w:t>về</w:t>
      </w:r>
      <w:proofErr w:type="spellEnd"/>
      <w:r>
        <w:rPr>
          <w:b/>
          <w:color w:val="003366"/>
          <w:sz w:val="20"/>
          <w:szCs w:val="20"/>
        </w:rPr>
        <w:t> </w:t>
      </w:r>
      <w:proofErr w:type="spellStart"/>
      <w:r>
        <w:rPr>
          <w:color w:val="003366"/>
          <w:sz w:val="20"/>
          <w:szCs w:val="20"/>
        </w:rPr>
        <w:t>trực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thuộc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Tổng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Liên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đoàn</w:t>
      </w:r>
      <w:proofErr w:type="spellEnd"/>
      <w:r>
        <w:rPr>
          <w:color w:val="003366"/>
          <w:sz w:val="20"/>
          <w:szCs w:val="20"/>
        </w:rPr>
        <w:t xml:space="preserve"> Lao </w:t>
      </w:r>
      <w:proofErr w:type="spellStart"/>
      <w:r>
        <w:rPr>
          <w:color w:val="003366"/>
          <w:sz w:val="20"/>
          <w:szCs w:val="20"/>
        </w:rPr>
        <w:t>động</w:t>
      </w:r>
      <w:proofErr w:type="spellEnd"/>
      <w:r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Việt</w:t>
      </w:r>
      <w:proofErr w:type="spellEnd"/>
      <w:r>
        <w:rPr>
          <w:color w:val="003366"/>
          <w:sz w:val="20"/>
          <w:szCs w:val="20"/>
        </w:rPr>
        <w:t xml:space="preserve"> Nam</w:t>
      </w:r>
      <w:r>
        <w:rPr>
          <w:b/>
          <w:color w:val="003366"/>
          <w:sz w:val="20"/>
          <w:szCs w:val="20"/>
        </w:rPr>
        <w:t>.</w:t>
      </w:r>
    </w:p>
    <w:p w:rsidR="00A7765E" w:rsidRDefault="00A7765E" w:rsidP="00A776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0" w:rsidRDefault="00006570">
    <w:pPr>
      <w:pStyle w:val="Header"/>
    </w:pPr>
    <w:proofErr w:type="spellStart"/>
    <w:r>
      <w:t>Hội</w:t>
    </w:r>
    <w:proofErr w:type="spellEnd"/>
    <w:r>
      <w:t xml:space="preserve"> </w:t>
    </w:r>
    <w:proofErr w:type="spellStart"/>
    <w:r>
      <w:t>thảo</w:t>
    </w:r>
    <w:proofErr w:type="spellEnd"/>
    <w:r>
      <w:t xml:space="preserve"> </w:t>
    </w:r>
    <w:proofErr w:type="spellStart"/>
    <w:r>
      <w:t>Điểm</w:t>
    </w:r>
    <w:proofErr w:type="spellEnd"/>
    <w:r>
      <w:t xml:space="preserve"> </w:t>
    </w:r>
    <w:proofErr w:type="spellStart"/>
    <w:r>
      <w:t>lại</w:t>
    </w:r>
    <w:proofErr w:type="spellEnd"/>
    <w:r>
      <w:t xml:space="preserve"> </w:t>
    </w:r>
    <w:proofErr w:type="spellStart"/>
    <w:r>
      <w:t>Pháp</w:t>
    </w:r>
    <w:proofErr w:type="spellEnd"/>
    <w:r>
      <w:t xml:space="preserve"> </w:t>
    </w:r>
    <w:proofErr w:type="spellStart"/>
    <w:r>
      <w:t>luật</w:t>
    </w:r>
    <w:proofErr w:type="spellEnd"/>
    <w:r>
      <w:t xml:space="preserve"> </w:t>
    </w:r>
    <w:proofErr w:type="spellStart"/>
    <w:r>
      <w:t>kinh</w:t>
    </w:r>
    <w:proofErr w:type="spellEnd"/>
    <w:r>
      <w:t xml:space="preserve"> </w:t>
    </w:r>
    <w:proofErr w:type="spellStart"/>
    <w:r>
      <w:t>doanh</w:t>
    </w:r>
    <w:proofErr w:type="spellEnd"/>
    <w:r>
      <w:t xml:space="preserve"> 2018 - VCCI</w:t>
    </w:r>
    <w:r>
      <w:ptab w:relativeTo="margin" w:alignment="right" w:leader="none"/>
    </w:r>
    <w:proofErr w:type="spellStart"/>
    <w:r>
      <w:t>Hà</w:t>
    </w:r>
    <w:proofErr w:type="spellEnd"/>
    <w:r>
      <w:t xml:space="preserve"> </w:t>
    </w:r>
    <w:proofErr w:type="spellStart"/>
    <w:r>
      <w:t>Nội</w:t>
    </w:r>
    <w:proofErr w:type="spellEnd"/>
    <w:r>
      <w:t xml:space="preserve">, </w:t>
    </w:r>
    <w:proofErr w:type="spellStart"/>
    <w:r>
      <w:t>ngày</w:t>
    </w:r>
    <w:proofErr w:type="spellEnd"/>
    <w:r>
      <w:t xml:space="preserve"> 15/01/2019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3893"/>
    <w:multiLevelType w:val="hybridMultilevel"/>
    <w:tmpl w:val="2A5C9334"/>
    <w:lvl w:ilvl="0" w:tplc="42EA7D8E">
      <w:start w:val="3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24DA0876"/>
    <w:multiLevelType w:val="hybridMultilevel"/>
    <w:tmpl w:val="0B840ACC"/>
    <w:lvl w:ilvl="0" w:tplc="E1BC7DA8">
      <w:start w:val="1"/>
      <w:numFmt w:val="decimal"/>
      <w:lvlText w:val="%1."/>
      <w:lvlJc w:val="left"/>
      <w:pPr>
        <w:ind w:left="1845" w:hanging="9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36A217A"/>
    <w:multiLevelType w:val="multilevel"/>
    <w:tmpl w:val="1A0EF5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C1618D"/>
    <w:multiLevelType w:val="hybridMultilevel"/>
    <w:tmpl w:val="B936E742"/>
    <w:lvl w:ilvl="0" w:tplc="14DCA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B25FA"/>
    <w:multiLevelType w:val="multilevel"/>
    <w:tmpl w:val="DDB044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A753FC9"/>
    <w:multiLevelType w:val="multilevel"/>
    <w:tmpl w:val="DDB0446C"/>
    <w:lvl w:ilvl="0">
      <w:start w:val="1"/>
      <w:numFmt w:val="decimal"/>
      <w:lvlText w:val="%1."/>
      <w:lvlJc w:val="left"/>
      <w:pPr>
        <w:ind w:left="-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AB95FAF"/>
    <w:multiLevelType w:val="multilevel"/>
    <w:tmpl w:val="1A0EF5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86"/>
    <w:rsid w:val="00003969"/>
    <w:rsid w:val="000060E9"/>
    <w:rsid w:val="00006570"/>
    <w:rsid w:val="00012BBE"/>
    <w:rsid w:val="00013DEC"/>
    <w:rsid w:val="00016763"/>
    <w:rsid w:val="000341C1"/>
    <w:rsid w:val="00051555"/>
    <w:rsid w:val="0005446C"/>
    <w:rsid w:val="00054FF7"/>
    <w:rsid w:val="00056205"/>
    <w:rsid w:val="00067972"/>
    <w:rsid w:val="000B0BBB"/>
    <w:rsid w:val="000B74C1"/>
    <w:rsid w:val="000C237B"/>
    <w:rsid w:val="000C6ADD"/>
    <w:rsid w:val="000C7F28"/>
    <w:rsid w:val="000D37EB"/>
    <w:rsid w:val="000F694F"/>
    <w:rsid w:val="0010184B"/>
    <w:rsid w:val="00102B33"/>
    <w:rsid w:val="00111D75"/>
    <w:rsid w:val="00112A0B"/>
    <w:rsid w:val="00116E29"/>
    <w:rsid w:val="00117A45"/>
    <w:rsid w:val="001420B4"/>
    <w:rsid w:val="00157EB3"/>
    <w:rsid w:val="001610B5"/>
    <w:rsid w:val="00161970"/>
    <w:rsid w:val="00181F98"/>
    <w:rsid w:val="00194382"/>
    <w:rsid w:val="001A6332"/>
    <w:rsid w:val="001A7B45"/>
    <w:rsid w:val="001C3F89"/>
    <w:rsid w:val="001C4F67"/>
    <w:rsid w:val="001D7D49"/>
    <w:rsid w:val="00200221"/>
    <w:rsid w:val="00210AC7"/>
    <w:rsid w:val="00211454"/>
    <w:rsid w:val="002175D9"/>
    <w:rsid w:val="002330E1"/>
    <w:rsid w:val="00261CFB"/>
    <w:rsid w:val="002678CB"/>
    <w:rsid w:val="00272CE1"/>
    <w:rsid w:val="00293021"/>
    <w:rsid w:val="00293E84"/>
    <w:rsid w:val="002A2359"/>
    <w:rsid w:val="002A3AEB"/>
    <w:rsid w:val="002B3CFC"/>
    <w:rsid w:val="002C6F14"/>
    <w:rsid w:val="002D1DE8"/>
    <w:rsid w:val="002E0284"/>
    <w:rsid w:val="002E361E"/>
    <w:rsid w:val="003051C8"/>
    <w:rsid w:val="00311374"/>
    <w:rsid w:val="00323CAE"/>
    <w:rsid w:val="003245A6"/>
    <w:rsid w:val="00332CD6"/>
    <w:rsid w:val="00344AFC"/>
    <w:rsid w:val="00361102"/>
    <w:rsid w:val="003638F6"/>
    <w:rsid w:val="003648C4"/>
    <w:rsid w:val="00374784"/>
    <w:rsid w:val="003748E2"/>
    <w:rsid w:val="003755CA"/>
    <w:rsid w:val="00385D2F"/>
    <w:rsid w:val="003919FD"/>
    <w:rsid w:val="00396E90"/>
    <w:rsid w:val="003A0C86"/>
    <w:rsid w:val="003A242F"/>
    <w:rsid w:val="003A34BF"/>
    <w:rsid w:val="003D07B6"/>
    <w:rsid w:val="003D2A3F"/>
    <w:rsid w:val="003E05DD"/>
    <w:rsid w:val="003E1339"/>
    <w:rsid w:val="003F5DF6"/>
    <w:rsid w:val="003F6CF4"/>
    <w:rsid w:val="00402A61"/>
    <w:rsid w:val="0040695B"/>
    <w:rsid w:val="00415406"/>
    <w:rsid w:val="00416CD6"/>
    <w:rsid w:val="0044071C"/>
    <w:rsid w:val="00443AB3"/>
    <w:rsid w:val="00443DB8"/>
    <w:rsid w:val="00457229"/>
    <w:rsid w:val="004624E8"/>
    <w:rsid w:val="00466F44"/>
    <w:rsid w:val="004766B7"/>
    <w:rsid w:val="004A07BB"/>
    <w:rsid w:val="004A0D3D"/>
    <w:rsid w:val="004B42C5"/>
    <w:rsid w:val="004E48B8"/>
    <w:rsid w:val="004F6BFE"/>
    <w:rsid w:val="004F783E"/>
    <w:rsid w:val="00500B3F"/>
    <w:rsid w:val="005021A8"/>
    <w:rsid w:val="00502222"/>
    <w:rsid w:val="00504370"/>
    <w:rsid w:val="005242CA"/>
    <w:rsid w:val="00527B65"/>
    <w:rsid w:val="005361FF"/>
    <w:rsid w:val="00551C35"/>
    <w:rsid w:val="00557DED"/>
    <w:rsid w:val="00561C9F"/>
    <w:rsid w:val="0056234C"/>
    <w:rsid w:val="00571D5F"/>
    <w:rsid w:val="00575FA2"/>
    <w:rsid w:val="00590F5E"/>
    <w:rsid w:val="005A109C"/>
    <w:rsid w:val="005B540F"/>
    <w:rsid w:val="005C4B94"/>
    <w:rsid w:val="005E4FD6"/>
    <w:rsid w:val="005E514A"/>
    <w:rsid w:val="005E7238"/>
    <w:rsid w:val="0060588C"/>
    <w:rsid w:val="006124BB"/>
    <w:rsid w:val="00613B01"/>
    <w:rsid w:val="006170D2"/>
    <w:rsid w:val="006176BC"/>
    <w:rsid w:val="00620609"/>
    <w:rsid w:val="00632EAE"/>
    <w:rsid w:val="00634526"/>
    <w:rsid w:val="00640A70"/>
    <w:rsid w:val="0064155F"/>
    <w:rsid w:val="00643644"/>
    <w:rsid w:val="00653112"/>
    <w:rsid w:val="00653B0E"/>
    <w:rsid w:val="00687063"/>
    <w:rsid w:val="00697024"/>
    <w:rsid w:val="006A261B"/>
    <w:rsid w:val="006A6A10"/>
    <w:rsid w:val="006B54E7"/>
    <w:rsid w:val="006C0EAD"/>
    <w:rsid w:val="006C1593"/>
    <w:rsid w:val="006C2F9D"/>
    <w:rsid w:val="006D1730"/>
    <w:rsid w:val="006E02B7"/>
    <w:rsid w:val="006E209B"/>
    <w:rsid w:val="00711419"/>
    <w:rsid w:val="00712C7D"/>
    <w:rsid w:val="007139B9"/>
    <w:rsid w:val="007235C0"/>
    <w:rsid w:val="00742B1B"/>
    <w:rsid w:val="00751776"/>
    <w:rsid w:val="00764B55"/>
    <w:rsid w:val="0077363E"/>
    <w:rsid w:val="00777F0C"/>
    <w:rsid w:val="007816F6"/>
    <w:rsid w:val="00781C29"/>
    <w:rsid w:val="00786F35"/>
    <w:rsid w:val="007B0985"/>
    <w:rsid w:val="007B364D"/>
    <w:rsid w:val="007E485F"/>
    <w:rsid w:val="007E4A2B"/>
    <w:rsid w:val="007E6FF1"/>
    <w:rsid w:val="00811DF4"/>
    <w:rsid w:val="00832141"/>
    <w:rsid w:val="00832E47"/>
    <w:rsid w:val="00853B14"/>
    <w:rsid w:val="008570B7"/>
    <w:rsid w:val="008605BB"/>
    <w:rsid w:val="00873947"/>
    <w:rsid w:val="00883833"/>
    <w:rsid w:val="008A27DA"/>
    <w:rsid w:val="008B1F51"/>
    <w:rsid w:val="008B76FF"/>
    <w:rsid w:val="008E7B74"/>
    <w:rsid w:val="00912D92"/>
    <w:rsid w:val="00916CBB"/>
    <w:rsid w:val="009207B6"/>
    <w:rsid w:val="00932539"/>
    <w:rsid w:val="009537F8"/>
    <w:rsid w:val="0096437A"/>
    <w:rsid w:val="00970FC1"/>
    <w:rsid w:val="0098548E"/>
    <w:rsid w:val="009A424F"/>
    <w:rsid w:val="009B6319"/>
    <w:rsid w:val="009B7D83"/>
    <w:rsid w:val="00A14756"/>
    <w:rsid w:val="00A1559F"/>
    <w:rsid w:val="00A174A4"/>
    <w:rsid w:val="00A21C2E"/>
    <w:rsid w:val="00A22167"/>
    <w:rsid w:val="00A25A19"/>
    <w:rsid w:val="00A270CA"/>
    <w:rsid w:val="00A27C59"/>
    <w:rsid w:val="00A32F94"/>
    <w:rsid w:val="00A33186"/>
    <w:rsid w:val="00A43259"/>
    <w:rsid w:val="00A4347D"/>
    <w:rsid w:val="00A52AF8"/>
    <w:rsid w:val="00A57D65"/>
    <w:rsid w:val="00A7765E"/>
    <w:rsid w:val="00A85BD2"/>
    <w:rsid w:val="00AD0C06"/>
    <w:rsid w:val="00AE58DB"/>
    <w:rsid w:val="00AE7D94"/>
    <w:rsid w:val="00AF2017"/>
    <w:rsid w:val="00AF3DBB"/>
    <w:rsid w:val="00AF5534"/>
    <w:rsid w:val="00B1254C"/>
    <w:rsid w:val="00B234EF"/>
    <w:rsid w:val="00B2547F"/>
    <w:rsid w:val="00B3375C"/>
    <w:rsid w:val="00B41E7F"/>
    <w:rsid w:val="00B42BD8"/>
    <w:rsid w:val="00B47E04"/>
    <w:rsid w:val="00B608EC"/>
    <w:rsid w:val="00B761AA"/>
    <w:rsid w:val="00B76C22"/>
    <w:rsid w:val="00BA40E0"/>
    <w:rsid w:val="00BD30ED"/>
    <w:rsid w:val="00BD3A87"/>
    <w:rsid w:val="00BD4885"/>
    <w:rsid w:val="00BD4B59"/>
    <w:rsid w:val="00BF1695"/>
    <w:rsid w:val="00BF7105"/>
    <w:rsid w:val="00C004D4"/>
    <w:rsid w:val="00C00633"/>
    <w:rsid w:val="00C12563"/>
    <w:rsid w:val="00C23941"/>
    <w:rsid w:val="00C35665"/>
    <w:rsid w:val="00C358B1"/>
    <w:rsid w:val="00C45D85"/>
    <w:rsid w:val="00C46A51"/>
    <w:rsid w:val="00C53510"/>
    <w:rsid w:val="00C63F9E"/>
    <w:rsid w:val="00C734E5"/>
    <w:rsid w:val="00C82C28"/>
    <w:rsid w:val="00C940B8"/>
    <w:rsid w:val="00C958E3"/>
    <w:rsid w:val="00CA767A"/>
    <w:rsid w:val="00CA7BF8"/>
    <w:rsid w:val="00CB7B25"/>
    <w:rsid w:val="00CC3A61"/>
    <w:rsid w:val="00CE1978"/>
    <w:rsid w:val="00CF1973"/>
    <w:rsid w:val="00D11CDE"/>
    <w:rsid w:val="00D2402F"/>
    <w:rsid w:val="00D41724"/>
    <w:rsid w:val="00D650A1"/>
    <w:rsid w:val="00DA5BC1"/>
    <w:rsid w:val="00DB0496"/>
    <w:rsid w:val="00DB1E60"/>
    <w:rsid w:val="00DC2191"/>
    <w:rsid w:val="00DC607F"/>
    <w:rsid w:val="00DC61E8"/>
    <w:rsid w:val="00DE31D7"/>
    <w:rsid w:val="00DE3B9F"/>
    <w:rsid w:val="00E005C8"/>
    <w:rsid w:val="00E06912"/>
    <w:rsid w:val="00E12816"/>
    <w:rsid w:val="00E31674"/>
    <w:rsid w:val="00E3371E"/>
    <w:rsid w:val="00E36B07"/>
    <w:rsid w:val="00E379A8"/>
    <w:rsid w:val="00E41CF8"/>
    <w:rsid w:val="00E50AEE"/>
    <w:rsid w:val="00E62BC2"/>
    <w:rsid w:val="00E638E7"/>
    <w:rsid w:val="00E65A81"/>
    <w:rsid w:val="00E72881"/>
    <w:rsid w:val="00E950A6"/>
    <w:rsid w:val="00E96D60"/>
    <w:rsid w:val="00EA3598"/>
    <w:rsid w:val="00ED3474"/>
    <w:rsid w:val="00ED55D4"/>
    <w:rsid w:val="00ED5BC3"/>
    <w:rsid w:val="00EE1C26"/>
    <w:rsid w:val="00EF341C"/>
    <w:rsid w:val="00F200E6"/>
    <w:rsid w:val="00F24B4C"/>
    <w:rsid w:val="00F353F7"/>
    <w:rsid w:val="00F74887"/>
    <w:rsid w:val="00F75DBF"/>
    <w:rsid w:val="00F75E5D"/>
    <w:rsid w:val="00F76C7A"/>
    <w:rsid w:val="00F86432"/>
    <w:rsid w:val="00FA27FC"/>
    <w:rsid w:val="00FC0BA5"/>
    <w:rsid w:val="00FC16CF"/>
    <w:rsid w:val="00FD3FC4"/>
    <w:rsid w:val="00FE00F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1B82"/>
  <w15:docId w15:val="{A5188D7A-EE17-4927-949B-696F5C0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A6"/>
  </w:style>
  <w:style w:type="paragraph" w:styleId="Heading1">
    <w:name w:val="heading 1"/>
    <w:basedOn w:val="Normal1"/>
    <w:next w:val="Normal1"/>
    <w:rsid w:val="003A0C86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rsid w:val="003A0C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A0C86"/>
    <w:pPr>
      <w:keepNext/>
      <w:keepLines/>
      <w:spacing w:before="40" w:after="0" w:line="259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rsid w:val="003A0C8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A0C86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1"/>
    <w:next w:val="Normal1"/>
    <w:rsid w:val="003A0C86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A0C86"/>
  </w:style>
  <w:style w:type="paragraph" w:styleId="Title">
    <w:name w:val="Title"/>
    <w:basedOn w:val="Normal1"/>
    <w:next w:val="Normal1"/>
    <w:rsid w:val="003A0C86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1"/>
    <w:next w:val="Normal1"/>
    <w:rsid w:val="003A0C86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rsid w:val="003A0C86"/>
    <w:tblPr>
      <w:tblStyleRowBandSize w:val="1"/>
      <w:tblStyleColBandSize w:val="1"/>
    </w:tblPr>
  </w:style>
  <w:style w:type="table" w:customStyle="1" w:styleId="a0">
    <w:basedOn w:val="TableNormal"/>
    <w:rsid w:val="003A0C86"/>
    <w:tblPr>
      <w:tblStyleRowBandSize w:val="1"/>
      <w:tblStyleColBandSize w:val="1"/>
    </w:tblPr>
  </w:style>
  <w:style w:type="table" w:customStyle="1" w:styleId="a1">
    <w:basedOn w:val="TableNormal"/>
    <w:rsid w:val="003A0C86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E514A"/>
    <w:pPr>
      <w:spacing w:before="100" w:beforeAutospacing="1" w:after="100" w:afterAutospacing="1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2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A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A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70"/>
  </w:style>
  <w:style w:type="paragraph" w:styleId="Footer">
    <w:name w:val="footer"/>
    <w:basedOn w:val="Normal"/>
    <w:link w:val="FooterChar"/>
    <w:uiPriority w:val="99"/>
    <w:unhideWhenUsed/>
    <w:rsid w:val="0000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1C66-6B6F-4FF0-87B1-B653E4D2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Hoa Ta</cp:lastModifiedBy>
  <cp:revision>2</cp:revision>
  <cp:lastPrinted>2019-01-13T23:12:00Z</cp:lastPrinted>
  <dcterms:created xsi:type="dcterms:W3CDTF">2019-01-14T10:36:00Z</dcterms:created>
  <dcterms:modified xsi:type="dcterms:W3CDTF">2019-01-14T10:36:00Z</dcterms:modified>
</cp:coreProperties>
</file>