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245"/>
      </w:tblGrid>
      <w:tr w:rsidR="00EE0B70" w:rsidRPr="00EE0B70" w:rsidTr="00F4658B">
        <w:tc>
          <w:tcPr>
            <w:tcW w:w="4219" w:type="dxa"/>
          </w:tcPr>
          <w:p w:rsidR="004A26CB" w:rsidRPr="00F4658B" w:rsidRDefault="004A26CB" w:rsidP="00F4658B">
            <w:pPr>
              <w:jc w:val="center"/>
              <w:rPr>
                <w:b/>
              </w:rPr>
            </w:pPr>
            <w:r w:rsidRPr="00F4658B">
              <w:rPr>
                <w:b/>
              </w:rPr>
              <w:t>PHÒNG THƯƠNG MẠI</w:t>
            </w:r>
          </w:p>
          <w:p w:rsidR="004A26CB" w:rsidRPr="00F4658B" w:rsidRDefault="004A26CB" w:rsidP="00F4658B">
            <w:pPr>
              <w:jc w:val="center"/>
              <w:rPr>
                <w:b/>
              </w:rPr>
            </w:pPr>
            <w:r w:rsidRPr="00F4658B">
              <w:rPr>
                <w:b/>
              </w:rPr>
              <w:t>VÀ CÔNG NGHIỆP VIỆT NAM</w:t>
            </w:r>
          </w:p>
          <w:p w:rsidR="004A26CB" w:rsidRPr="00F4658B" w:rsidRDefault="00F4658B" w:rsidP="00F4658B">
            <w:pPr>
              <w:jc w:val="center"/>
              <w:rPr>
                <w:b/>
              </w:rPr>
            </w:pPr>
            <w:r>
              <w:rPr>
                <w:b/>
                <w:noProof/>
              </w:rPr>
              <mc:AlternateContent>
                <mc:Choice Requires="wps">
                  <w:drawing>
                    <wp:anchor distT="0" distB="0" distL="114300" distR="114300" simplePos="0" relativeHeight="251659264" behindDoc="0" locked="0" layoutInCell="1" allowOverlap="1" wp14:anchorId="07E07EF4" wp14:editId="4A730971">
                      <wp:simplePos x="0" y="0"/>
                      <wp:positionH relativeFrom="column">
                        <wp:posOffset>499745</wp:posOffset>
                      </wp:positionH>
                      <wp:positionV relativeFrom="paragraph">
                        <wp:posOffset>60960</wp:posOffset>
                      </wp:positionV>
                      <wp:extent cx="1543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543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9.35pt,4.8pt" to="160.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" strokecolor="#4579b8 [3044]"/>
                  </w:pict>
                </mc:Fallback>
              </mc:AlternateContent>
            </w:r>
          </w:p>
          <w:p w:rsidR="004A26CB" w:rsidRPr="00F4658B" w:rsidRDefault="004A26CB" w:rsidP="00F4658B">
            <w:pPr>
              <w:jc w:val="center"/>
              <w:rPr>
                <w:b/>
              </w:rPr>
            </w:pPr>
            <w:r w:rsidRPr="00F4658B">
              <w:rPr>
                <w:b/>
              </w:rPr>
              <w:t>Số:</w:t>
            </w:r>
            <w:r w:rsidR="00B830D7">
              <w:rPr>
                <w:b/>
              </w:rPr>
              <w:t xml:space="preserve">   </w:t>
            </w:r>
            <w:r w:rsidR="00B830D7" w:rsidRPr="00B830D7">
              <w:rPr>
                <w:b/>
                <w:sz w:val="28"/>
              </w:rPr>
              <w:t>0270</w:t>
            </w:r>
            <w:r w:rsidRPr="00F4658B">
              <w:rPr>
                <w:b/>
              </w:rPr>
              <w:t xml:space="preserve">  /PTM-PC</w:t>
            </w:r>
          </w:p>
          <w:p w:rsidR="004A26CB" w:rsidRPr="00EE0B70" w:rsidRDefault="004A26CB" w:rsidP="00F4658B">
            <w:pPr>
              <w:jc w:val="center"/>
            </w:pPr>
            <w:r w:rsidRPr="00EE0B70">
              <w:t>Vv: góp ý Dự thảo Nghị định quy định về quản lý, bảo vệ kết cấu hạ tầng giao thông đường sắt</w:t>
            </w:r>
          </w:p>
        </w:tc>
        <w:tc>
          <w:tcPr>
            <w:tcW w:w="5245" w:type="dxa"/>
          </w:tcPr>
          <w:p w:rsidR="004A26CB" w:rsidRPr="00F4658B" w:rsidRDefault="004A26CB" w:rsidP="00F4658B">
            <w:pPr>
              <w:jc w:val="center"/>
              <w:rPr>
                <w:b/>
              </w:rPr>
            </w:pPr>
            <w:r w:rsidRPr="00F4658B">
              <w:rPr>
                <w:b/>
              </w:rPr>
              <w:t>CỘNG HÒA XÃ HỘI CHỦ NGHĨA VIỆT NAM</w:t>
            </w:r>
          </w:p>
          <w:p w:rsidR="004A26CB" w:rsidRPr="00F4658B" w:rsidRDefault="004A26CB" w:rsidP="00F4658B">
            <w:pPr>
              <w:jc w:val="center"/>
              <w:rPr>
                <w:b/>
              </w:rPr>
            </w:pPr>
            <w:r w:rsidRPr="00F4658B">
              <w:rPr>
                <w:b/>
              </w:rPr>
              <w:t>Độc lập – Tự do – Hạnh phúc</w:t>
            </w:r>
          </w:p>
          <w:p w:rsidR="004A26CB" w:rsidRPr="00F4658B" w:rsidRDefault="00F4658B" w:rsidP="00F4658B">
            <w:pPr>
              <w:jc w:val="center"/>
              <w:rPr>
                <w:b/>
              </w:rPr>
            </w:pPr>
            <w:r>
              <w:rPr>
                <w:b/>
                <w:noProof/>
              </w:rPr>
              <mc:AlternateContent>
                <mc:Choice Requires="wps">
                  <w:drawing>
                    <wp:anchor distT="0" distB="0" distL="114300" distR="114300" simplePos="0" relativeHeight="251660288" behindDoc="0" locked="0" layoutInCell="1" allowOverlap="1" wp14:anchorId="3A3E13BC" wp14:editId="7A87EB69">
                      <wp:simplePos x="0" y="0"/>
                      <wp:positionH relativeFrom="column">
                        <wp:posOffset>687704</wp:posOffset>
                      </wp:positionH>
                      <wp:positionV relativeFrom="paragraph">
                        <wp:posOffset>60960</wp:posOffset>
                      </wp:positionV>
                      <wp:extent cx="17811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781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4.15pt,4.8pt" to="194.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" strokecolor="#4579b8 [3044]"/>
                  </w:pict>
                </mc:Fallback>
              </mc:AlternateContent>
            </w:r>
          </w:p>
          <w:p w:rsidR="004A26CB" w:rsidRPr="00F4658B" w:rsidRDefault="004A26CB" w:rsidP="00F4658B">
            <w:pPr>
              <w:jc w:val="right"/>
              <w:rPr>
                <w:i/>
              </w:rPr>
            </w:pPr>
            <w:r w:rsidRPr="00F4658B">
              <w:rPr>
                <w:i/>
              </w:rPr>
              <w:t xml:space="preserve">Hà Nội, ngày  </w:t>
            </w:r>
            <w:r w:rsidR="00112D46">
              <w:rPr>
                <w:i/>
              </w:rPr>
              <w:t>26</w:t>
            </w:r>
            <w:bookmarkStart w:id="0" w:name="_GoBack"/>
            <w:bookmarkEnd w:id="0"/>
            <w:r w:rsidRPr="00F4658B">
              <w:rPr>
                <w:i/>
              </w:rPr>
              <w:t xml:space="preserve">   tháng 02 năm 2018</w:t>
            </w:r>
          </w:p>
        </w:tc>
      </w:tr>
    </w:tbl>
    <w:p w:rsidR="00B57C2D" w:rsidRPr="00F4658B" w:rsidRDefault="004A26CB" w:rsidP="00F4658B">
      <w:pPr>
        <w:spacing w:before="360" w:after="360"/>
        <w:jc w:val="center"/>
        <w:rPr>
          <w:sz w:val="30"/>
          <w:szCs w:val="30"/>
        </w:rPr>
      </w:pPr>
      <w:r w:rsidRPr="00F4658B">
        <w:rPr>
          <w:sz w:val="30"/>
          <w:szCs w:val="30"/>
        </w:rPr>
        <w:t>Kính gửi: Vụ Kết cấu hạ tầng, Bộ Giao thông vận tải</w:t>
      </w:r>
    </w:p>
    <w:p w:rsidR="00EA1806" w:rsidRPr="00F4658B" w:rsidRDefault="004A26CB" w:rsidP="00B24942">
      <w:pPr>
        <w:spacing w:before="120" w:after="120" w:line="312" w:lineRule="auto"/>
        <w:ind w:firstLine="360"/>
        <w:jc w:val="both"/>
        <w:rPr>
          <w:sz w:val="26"/>
          <w:szCs w:val="26"/>
        </w:rPr>
      </w:pPr>
      <w:r w:rsidRPr="00F4658B">
        <w:rPr>
          <w:sz w:val="26"/>
          <w:szCs w:val="26"/>
        </w:rPr>
        <w:t xml:space="preserve">Trả lời Công văn số 177/BGTVT-KCHT của Bộ Giao thông vận tải về việc đề nghị góp ý </w:t>
      </w:r>
      <w:r w:rsidR="00EA1806" w:rsidRPr="00F4658B">
        <w:rPr>
          <w:sz w:val="26"/>
          <w:szCs w:val="26"/>
        </w:rPr>
        <w:t>Dự thảo Nghị định quy định về quản lý, bảo vệ kết cấu hạ tầng giao thông đường sắt (sau đây gọi tắt là Dự thảo), Phòng Thương mại và Công nghiệp Việt Nam, trên cơ sở ý kiến của doanh nghiệp, hiệp hội, có một số ý kiến như sau:</w:t>
      </w:r>
    </w:p>
    <w:p w:rsidR="00EA1806" w:rsidRPr="002F1C69" w:rsidRDefault="00B24942" w:rsidP="00F4658B">
      <w:pPr>
        <w:pStyle w:val="ListParagraph"/>
        <w:numPr>
          <w:ilvl w:val="0"/>
          <w:numId w:val="2"/>
        </w:numPr>
        <w:spacing w:before="120" w:after="120" w:line="312" w:lineRule="auto"/>
        <w:jc w:val="both"/>
        <w:rPr>
          <w:b/>
          <w:sz w:val="26"/>
          <w:szCs w:val="26"/>
        </w:rPr>
      </w:pPr>
      <w:r w:rsidRPr="002F1C69">
        <w:rPr>
          <w:b/>
          <w:sz w:val="26"/>
          <w:szCs w:val="26"/>
        </w:rPr>
        <w:t>Về quy định t</w:t>
      </w:r>
      <w:r w:rsidR="00EA1806" w:rsidRPr="002F1C69">
        <w:rPr>
          <w:b/>
          <w:sz w:val="26"/>
          <w:szCs w:val="26"/>
        </w:rPr>
        <w:t>háo dỡ tuyến, đoạn tuyến, ga đường sắt chuyên dùng</w:t>
      </w:r>
    </w:p>
    <w:p w:rsidR="00B24942" w:rsidRDefault="00EA1806" w:rsidP="00B24942">
      <w:pPr>
        <w:spacing w:before="120" w:after="120" w:line="312" w:lineRule="auto"/>
        <w:ind w:firstLine="360"/>
        <w:jc w:val="both"/>
        <w:rPr>
          <w:sz w:val="26"/>
          <w:szCs w:val="26"/>
        </w:rPr>
      </w:pPr>
      <w:r w:rsidRPr="00B24942">
        <w:rPr>
          <w:sz w:val="26"/>
          <w:szCs w:val="26"/>
        </w:rPr>
        <w:t>Chương II Dự thảo quy định về thủ tục tháo dỡ tuyến, đoạn tuyến, ga đường sắt quốc gia, đường sắt đô thị</w:t>
      </w:r>
      <w:r w:rsidR="006228A3" w:rsidRPr="00B24942">
        <w:rPr>
          <w:sz w:val="26"/>
          <w:szCs w:val="26"/>
        </w:rPr>
        <w:t xml:space="preserve"> trong khi đó lại không có quy định nào liên quan đến hoạt động tháo dỡ tuyến, đoạn tuyến, ga đường sắt chuyên dùng. </w:t>
      </w:r>
    </w:p>
    <w:p w:rsidR="00B24942" w:rsidRDefault="006228A3" w:rsidP="00B24942">
      <w:pPr>
        <w:spacing w:before="120" w:after="120" w:line="312" w:lineRule="auto"/>
        <w:ind w:firstLine="360"/>
        <w:jc w:val="both"/>
        <w:rPr>
          <w:sz w:val="26"/>
          <w:szCs w:val="26"/>
        </w:rPr>
      </w:pPr>
      <w:r w:rsidRPr="00B24942">
        <w:rPr>
          <w:sz w:val="26"/>
          <w:szCs w:val="26"/>
        </w:rPr>
        <w:t xml:space="preserve">Điều này khiến cho việc thực hiện trên thực tế gặp khó khăn do không rõ về chính sách đối với hoạt động tháo dỡ cho loại đường sắt này (chủ đầu tư có phải xin phép cơ quan nhà nước có thẩm quyền nào không hay là được phép tự quyết định?). </w:t>
      </w:r>
    </w:p>
    <w:p w:rsidR="00EA1806" w:rsidRPr="00B24942" w:rsidRDefault="00B24942" w:rsidP="00B24942">
      <w:pPr>
        <w:spacing w:before="120" w:after="120" w:line="312" w:lineRule="auto"/>
        <w:ind w:firstLine="360"/>
        <w:jc w:val="both"/>
        <w:rPr>
          <w:sz w:val="26"/>
          <w:szCs w:val="26"/>
        </w:rPr>
      </w:pPr>
      <w:r w:rsidRPr="00B24942">
        <w:rPr>
          <w:sz w:val="26"/>
          <w:szCs w:val="26"/>
        </w:rPr>
        <w:t xml:space="preserve">Vì vậy, </w:t>
      </w:r>
      <w:r>
        <w:rPr>
          <w:sz w:val="26"/>
          <w:szCs w:val="26"/>
          <w:u w:val="single"/>
        </w:rPr>
        <w:t>đ</w:t>
      </w:r>
      <w:r w:rsidR="006228A3" w:rsidRPr="00B24942">
        <w:rPr>
          <w:sz w:val="26"/>
          <w:szCs w:val="26"/>
          <w:u w:val="single"/>
        </w:rPr>
        <w:t>ề nghị Ban soạn thảo</w:t>
      </w:r>
      <w:r w:rsidR="006228A3" w:rsidRPr="00B24942">
        <w:rPr>
          <w:sz w:val="26"/>
          <w:szCs w:val="26"/>
        </w:rPr>
        <w:t xml:space="preserve"> quy định rõ vấn đề này.</w:t>
      </w:r>
    </w:p>
    <w:p w:rsidR="006228A3" w:rsidRPr="002F1C69" w:rsidRDefault="006228A3" w:rsidP="00F4658B">
      <w:pPr>
        <w:pStyle w:val="ListParagraph"/>
        <w:numPr>
          <w:ilvl w:val="0"/>
          <w:numId w:val="2"/>
        </w:numPr>
        <w:spacing w:before="120" w:after="120" w:line="312" w:lineRule="auto"/>
        <w:jc w:val="both"/>
        <w:rPr>
          <w:b/>
          <w:sz w:val="26"/>
          <w:szCs w:val="26"/>
        </w:rPr>
      </w:pPr>
      <w:r w:rsidRPr="002F1C69">
        <w:rPr>
          <w:b/>
          <w:sz w:val="26"/>
          <w:szCs w:val="26"/>
        </w:rPr>
        <w:t>Một số</w:t>
      </w:r>
      <w:r w:rsidR="00C92BBD" w:rsidRPr="002F1C69">
        <w:rPr>
          <w:b/>
          <w:sz w:val="26"/>
          <w:szCs w:val="26"/>
        </w:rPr>
        <w:t xml:space="preserve"> quy định</w:t>
      </w:r>
      <w:r w:rsidRPr="002F1C69">
        <w:rPr>
          <w:b/>
          <w:sz w:val="26"/>
          <w:szCs w:val="26"/>
        </w:rPr>
        <w:t xml:space="preserve"> thủ tục chưa rõ ràng</w:t>
      </w:r>
    </w:p>
    <w:p w:rsidR="00C92BBD" w:rsidRPr="00C92BBD" w:rsidRDefault="00C92BBD" w:rsidP="00F4658B">
      <w:pPr>
        <w:pStyle w:val="ListParagraph"/>
        <w:numPr>
          <w:ilvl w:val="0"/>
          <w:numId w:val="4"/>
        </w:numPr>
        <w:spacing w:before="120" w:after="120" w:line="312" w:lineRule="auto"/>
        <w:jc w:val="both"/>
        <w:rPr>
          <w:i/>
          <w:sz w:val="26"/>
          <w:szCs w:val="26"/>
        </w:rPr>
      </w:pPr>
      <w:r w:rsidRPr="00C92BBD">
        <w:rPr>
          <w:i/>
          <w:sz w:val="26"/>
          <w:szCs w:val="26"/>
        </w:rPr>
        <w:t>Thủ tục xin chấp thuận</w:t>
      </w:r>
      <w:r w:rsidR="00BF41C3">
        <w:rPr>
          <w:i/>
          <w:sz w:val="26"/>
          <w:szCs w:val="26"/>
        </w:rPr>
        <w:t xml:space="preserve"> (Chương III)</w:t>
      </w:r>
    </w:p>
    <w:p w:rsidR="00C92BBD" w:rsidRPr="00C92BBD" w:rsidRDefault="006228A3" w:rsidP="00C92BBD">
      <w:pPr>
        <w:spacing w:before="120" w:after="120" w:line="312" w:lineRule="auto"/>
        <w:ind w:firstLine="360"/>
        <w:jc w:val="both"/>
        <w:rPr>
          <w:sz w:val="26"/>
          <w:szCs w:val="26"/>
        </w:rPr>
      </w:pPr>
      <w:r w:rsidRPr="00C92BBD">
        <w:rPr>
          <w:sz w:val="26"/>
          <w:szCs w:val="26"/>
        </w:rPr>
        <w:t xml:space="preserve">Chương III Dự thảo quy định về phạm vi bảo vệ công trình, hành lang an toàn giao thông đường sắt, trong đó có các </w:t>
      </w:r>
      <w:r w:rsidR="00B24942" w:rsidRPr="00C92BBD">
        <w:rPr>
          <w:sz w:val="26"/>
          <w:szCs w:val="26"/>
        </w:rPr>
        <w:t xml:space="preserve">quy trình </w:t>
      </w:r>
      <w:r w:rsidRPr="00C92BBD">
        <w:rPr>
          <w:sz w:val="26"/>
          <w:szCs w:val="26"/>
        </w:rPr>
        <w:t>dạng</w:t>
      </w:r>
      <w:r w:rsidR="00C92BBD" w:rsidRPr="00C92BBD">
        <w:rPr>
          <w:sz w:val="26"/>
          <w:szCs w:val="26"/>
        </w:rPr>
        <w:t xml:space="preserve"> thủ tục hành chính</w:t>
      </w:r>
      <w:r w:rsidRPr="00C92BBD">
        <w:rPr>
          <w:sz w:val="26"/>
          <w:szCs w:val="26"/>
        </w:rPr>
        <w:t>:</w:t>
      </w:r>
      <w:r w:rsidR="00C92BBD" w:rsidRPr="00C92BBD">
        <w:rPr>
          <w:sz w:val="26"/>
          <w:szCs w:val="26"/>
        </w:rPr>
        <w:t xml:space="preserve"> </w:t>
      </w:r>
      <w:r w:rsidRPr="00C92BBD">
        <w:rPr>
          <w:sz w:val="26"/>
          <w:szCs w:val="26"/>
        </w:rPr>
        <w:t xml:space="preserve">chủ đầu tư có những hoạt động ảnh hưởng đến công trình, hành lang an toàn giao thông đường sắt thì trước khi thực hiện </w:t>
      </w:r>
      <w:r w:rsidRPr="00C92BBD">
        <w:rPr>
          <w:i/>
          <w:sz w:val="26"/>
          <w:szCs w:val="26"/>
        </w:rPr>
        <w:t>phải được cấp có thẩm quyền chấp thuận</w:t>
      </w:r>
      <w:r w:rsidRPr="00C92BBD">
        <w:rPr>
          <w:sz w:val="26"/>
          <w:szCs w:val="26"/>
        </w:rPr>
        <w:t xml:space="preserve"> (ví dụ:</w:t>
      </w:r>
      <w:r w:rsidR="00A8440C" w:rsidRPr="00C92BBD">
        <w:rPr>
          <w:sz w:val="26"/>
          <w:szCs w:val="26"/>
        </w:rPr>
        <w:t xml:space="preserve"> phải được cấp có thẩm quyền phê duyệt trước khi thực hiện đối với các giải pháp kỹ thuật để không làm ảnh hưởng đến sự ổn định, tuổi thọ và bảo đảm an toàn cho công trình cầu đường sắt – khoản 6 Điều 10; …</w:t>
      </w:r>
      <w:r w:rsidRPr="00C92BBD">
        <w:rPr>
          <w:sz w:val="26"/>
          <w:szCs w:val="26"/>
        </w:rPr>
        <w:t>)</w:t>
      </w:r>
      <w:r w:rsidR="00A8440C" w:rsidRPr="00C92BBD">
        <w:rPr>
          <w:sz w:val="26"/>
          <w:szCs w:val="26"/>
        </w:rPr>
        <w:t xml:space="preserve">. </w:t>
      </w:r>
    </w:p>
    <w:p w:rsidR="00C92BBD" w:rsidRPr="00C92BBD" w:rsidRDefault="00A8440C" w:rsidP="00C92BBD">
      <w:pPr>
        <w:spacing w:before="120" w:after="120" w:line="312" w:lineRule="auto"/>
        <w:ind w:firstLine="360"/>
        <w:jc w:val="both"/>
        <w:rPr>
          <w:sz w:val="26"/>
          <w:szCs w:val="26"/>
        </w:rPr>
      </w:pPr>
      <w:r w:rsidRPr="00C92BBD">
        <w:rPr>
          <w:sz w:val="26"/>
          <w:szCs w:val="26"/>
        </w:rPr>
        <w:t>Đây được xem là một dạng thủ tục hành chính</w:t>
      </w:r>
      <w:r w:rsidR="00C92BBD" w:rsidRPr="00C92BBD">
        <w:rPr>
          <w:sz w:val="26"/>
          <w:szCs w:val="26"/>
        </w:rPr>
        <w:t xml:space="preserve"> (xin phép)</w:t>
      </w:r>
      <w:r w:rsidRPr="00C92BBD">
        <w:rPr>
          <w:sz w:val="26"/>
          <w:szCs w:val="26"/>
        </w:rPr>
        <w:t>, nhưng lại chưa được quy định rõ ràng</w:t>
      </w:r>
      <w:r w:rsidR="00C92BBD" w:rsidRPr="00C92BBD">
        <w:rPr>
          <w:sz w:val="26"/>
          <w:szCs w:val="26"/>
        </w:rPr>
        <w:t xml:space="preserve"> về các nội dung liên quan</w:t>
      </w:r>
      <w:r w:rsidRPr="00C92BBD">
        <w:rPr>
          <w:sz w:val="26"/>
          <w:szCs w:val="26"/>
        </w:rPr>
        <w:t xml:space="preserve">, </w:t>
      </w:r>
      <w:r w:rsidR="00C92BBD" w:rsidRPr="00C92BBD">
        <w:rPr>
          <w:sz w:val="26"/>
          <w:szCs w:val="26"/>
        </w:rPr>
        <w:t>đặc biệt là</w:t>
      </w:r>
      <w:r w:rsidRPr="00C92BBD">
        <w:rPr>
          <w:sz w:val="26"/>
          <w:szCs w:val="26"/>
        </w:rPr>
        <w:t xml:space="preserve"> về hồ sơ, trình tự, thủ tục để có được sự chấp thuận/phê duyệt của cơ quan nhà nước có thẩm quyền. </w:t>
      </w:r>
    </w:p>
    <w:p w:rsidR="006228A3" w:rsidRDefault="00A8440C" w:rsidP="00C92BBD">
      <w:pPr>
        <w:spacing w:before="120" w:after="120" w:line="312" w:lineRule="auto"/>
        <w:ind w:firstLine="360"/>
        <w:jc w:val="both"/>
        <w:rPr>
          <w:sz w:val="26"/>
          <w:szCs w:val="26"/>
        </w:rPr>
      </w:pPr>
      <w:r w:rsidRPr="00C92BBD">
        <w:rPr>
          <w:sz w:val="26"/>
          <w:szCs w:val="26"/>
        </w:rPr>
        <w:t xml:space="preserve">Để đảm bảo tính minh bạch của quy định, </w:t>
      </w:r>
      <w:r w:rsidRPr="00C92BBD">
        <w:rPr>
          <w:sz w:val="26"/>
          <w:szCs w:val="26"/>
          <w:u w:val="single"/>
        </w:rPr>
        <w:t>đề nghị Ban soạn thảo</w:t>
      </w:r>
      <w:r w:rsidRPr="00C92BBD">
        <w:rPr>
          <w:sz w:val="26"/>
          <w:szCs w:val="26"/>
        </w:rPr>
        <w:t xml:space="preserve"> quy định rõ các thủ tục này quy định tại điểm đ khoản 1 Điều 9; khoản 6 Điều 10; điểm c khoản 2 Điều 11; điểm d khoản 1 Điều 13; Điều 14; điểm c khoản 1 Điề</w:t>
      </w:r>
      <w:r w:rsidR="001B5FDB">
        <w:rPr>
          <w:sz w:val="26"/>
          <w:szCs w:val="26"/>
        </w:rPr>
        <w:t>u 18.</w:t>
      </w:r>
    </w:p>
    <w:p w:rsidR="001B5FDB" w:rsidRPr="00C92BBD" w:rsidRDefault="001B5FDB" w:rsidP="00C92BBD">
      <w:pPr>
        <w:spacing w:before="120" w:after="120" w:line="312" w:lineRule="auto"/>
        <w:ind w:firstLine="360"/>
        <w:jc w:val="both"/>
        <w:rPr>
          <w:sz w:val="26"/>
          <w:szCs w:val="26"/>
        </w:rPr>
      </w:pPr>
    </w:p>
    <w:p w:rsidR="00224B05" w:rsidRPr="00C92BBD" w:rsidRDefault="00224B05" w:rsidP="00F4658B">
      <w:pPr>
        <w:pStyle w:val="ListParagraph"/>
        <w:numPr>
          <w:ilvl w:val="0"/>
          <w:numId w:val="4"/>
        </w:numPr>
        <w:spacing w:before="120" w:after="120" w:line="312" w:lineRule="auto"/>
        <w:jc w:val="both"/>
        <w:rPr>
          <w:i/>
          <w:sz w:val="26"/>
          <w:szCs w:val="26"/>
        </w:rPr>
      </w:pPr>
      <w:r w:rsidRPr="00C92BBD">
        <w:rPr>
          <w:i/>
          <w:sz w:val="26"/>
          <w:szCs w:val="26"/>
        </w:rPr>
        <w:lastRenderedPageBreak/>
        <w:t>Xây dựng công trình thiết yếu trong phạm vi đất dành cho đường sắt (Điều 27):</w:t>
      </w:r>
    </w:p>
    <w:p w:rsidR="002F1C69" w:rsidRDefault="00224B05" w:rsidP="00C92BBD">
      <w:pPr>
        <w:spacing w:before="120" w:after="120" w:line="312" w:lineRule="auto"/>
        <w:ind w:firstLine="360"/>
        <w:jc w:val="both"/>
        <w:rPr>
          <w:sz w:val="26"/>
          <w:szCs w:val="26"/>
        </w:rPr>
      </w:pPr>
      <w:r w:rsidRPr="00C92BBD">
        <w:rPr>
          <w:sz w:val="26"/>
          <w:szCs w:val="26"/>
        </w:rPr>
        <w:t xml:space="preserve">Khoản 2 Điều 27 Dự thảo quy định trường hợp phải xây dựng công trình thiết yếu phục vụ quốc phòng, an ninh, kinh tế - xã hội trong hành lang an toàn giao thông đường sắt có chồng lấn với hành lang an toàn đường sắt, chủ đầu tư dự án </w:t>
      </w:r>
      <w:r w:rsidRPr="002F1C69">
        <w:rPr>
          <w:i/>
          <w:sz w:val="26"/>
          <w:szCs w:val="26"/>
        </w:rPr>
        <w:t>phải được sự thống nhất của các cơ quan quản lý nhà nước, chuyên ngành có liên quan</w:t>
      </w:r>
      <w:r w:rsidRPr="00C92BBD">
        <w:rPr>
          <w:sz w:val="26"/>
          <w:szCs w:val="26"/>
        </w:rPr>
        <w:t xml:space="preserve">. </w:t>
      </w:r>
    </w:p>
    <w:p w:rsidR="00D962AE" w:rsidRDefault="00224B05" w:rsidP="00C92BBD">
      <w:pPr>
        <w:spacing w:before="120" w:after="120" w:line="312" w:lineRule="auto"/>
        <w:ind w:firstLine="360"/>
        <w:jc w:val="both"/>
        <w:rPr>
          <w:sz w:val="26"/>
          <w:szCs w:val="26"/>
        </w:rPr>
      </w:pPr>
      <w:r w:rsidRPr="00C92BBD">
        <w:rPr>
          <w:sz w:val="26"/>
          <w:szCs w:val="26"/>
        </w:rPr>
        <w:t xml:space="preserve">Đây được xem là một thủ tục hành chính, nhưng </w:t>
      </w:r>
      <w:r w:rsidR="002F1C69">
        <w:rPr>
          <w:sz w:val="26"/>
          <w:szCs w:val="26"/>
        </w:rPr>
        <w:t xml:space="preserve">Dự thảo </w:t>
      </w:r>
      <w:r w:rsidRPr="00C92BBD">
        <w:rPr>
          <w:sz w:val="26"/>
          <w:szCs w:val="26"/>
        </w:rPr>
        <w:t xml:space="preserve">lại chưa </w:t>
      </w:r>
      <w:r w:rsidR="002F1C69">
        <w:rPr>
          <w:sz w:val="26"/>
          <w:szCs w:val="26"/>
        </w:rPr>
        <w:t>có</w:t>
      </w:r>
      <w:r w:rsidRPr="00C92BBD">
        <w:rPr>
          <w:sz w:val="26"/>
          <w:szCs w:val="26"/>
        </w:rPr>
        <w:t xml:space="preserve"> quy định</w:t>
      </w:r>
      <w:r w:rsidR="002F1C69">
        <w:rPr>
          <w:sz w:val="26"/>
          <w:szCs w:val="26"/>
        </w:rPr>
        <w:t xml:space="preserve"> nào</w:t>
      </w:r>
      <w:r w:rsidRPr="00C92BBD">
        <w:rPr>
          <w:sz w:val="26"/>
          <w:szCs w:val="26"/>
        </w:rPr>
        <w:t xml:space="preserve"> trình tự, thủ tục</w:t>
      </w:r>
      <w:r w:rsidR="005C490F" w:rsidRPr="00C92BBD">
        <w:rPr>
          <w:sz w:val="26"/>
          <w:szCs w:val="26"/>
        </w:rPr>
        <w:t xml:space="preserve"> để chủ đầu tư có được sự thống nhất của các cơ quan quản lý nhà nước (do một cơ quan nhà nước làm đầu mối hay chủ đầu tư phải gửi xin ý kiến của tất cả các cơ quan nhà nước khác? Hồ sơ để xin ý kiến là gì? …). </w:t>
      </w:r>
    </w:p>
    <w:p w:rsidR="00224B05" w:rsidRPr="00C92BBD" w:rsidRDefault="005C490F" w:rsidP="00C92BBD">
      <w:pPr>
        <w:spacing w:before="120" w:after="120" w:line="312" w:lineRule="auto"/>
        <w:ind w:firstLine="360"/>
        <w:jc w:val="both"/>
        <w:rPr>
          <w:sz w:val="26"/>
          <w:szCs w:val="26"/>
        </w:rPr>
      </w:pPr>
      <w:r w:rsidRPr="00C92BBD">
        <w:rPr>
          <w:sz w:val="26"/>
          <w:szCs w:val="26"/>
          <w:u w:val="single"/>
        </w:rPr>
        <w:t>Đề nghị Ban soạn thảo</w:t>
      </w:r>
      <w:r w:rsidRPr="00C92BBD">
        <w:rPr>
          <w:sz w:val="26"/>
          <w:szCs w:val="26"/>
        </w:rPr>
        <w:t xml:space="preserve"> quy định rõ về thủ tục này.</w:t>
      </w:r>
    </w:p>
    <w:p w:rsidR="00970F16" w:rsidRPr="00D962AE" w:rsidRDefault="005C490F" w:rsidP="00F4658B">
      <w:pPr>
        <w:pStyle w:val="ListParagraph"/>
        <w:numPr>
          <w:ilvl w:val="0"/>
          <w:numId w:val="2"/>
        </w:numPr>
        <w:spacing w:before="120" w:after="120" w:line="312" w:lineRule="auto"/>
        <w:jc w:val="both"/>
        <w:rPr>
          <w:b/>
          <w:sz w:val="26"/>
          <w:szCs w:val="26"/>
        </w:rPr>
      </w:pPr>
      <w:r w:rsidRPr="00D962AE">
        <w:rPr>
          <w:b/>
          <w:sz w:val="26"/>
          <w:szCs w:val="26"/>
        </w:rPr>
        <w:t>Về khai thác tài nguyên và các hoạt động khác ở vùng lân cận phạm vi đất dành cho đường sắt (khoản 2 Điều 29)</w:t>
      </w:r>
    </w:p>
    <w:p w:rsidR="005C490F" w:rsidRPr="00D962AE" w:rsidRDefault="00EE0B70" w:rsidP="00D962AE">
      <w:pPr>
        <w:spacing w:before="120" w:after="120" w:line="312" w:lineRule="auto"/>
        <w:ind w:firstLine="360"/>
        <w:jc w:val="both"/>
        <w:rPr>
          <w:sz w:val="26"/>
          <w:szCs w:val="26"/>
        </w:rPr>
      </w:pPr>
      <w:r w:rsidRPr="00D962AE">
        <w:rPr>
          <w:sz w:val="26"/>
          <w:szCs w:val="26"/>
        </w:rPr>
        <w:t>Điểm a khoản 2 Điều 29 Dự thảo quy định “t</w:t>
      </w:r>
      <w:r w:rsidRPr="00D962AE">
        <w:rPr>
          <w:sz w:val="26"/>
          <w:szCs w:val="26"/>
          <w:lang w:val="nl-NL"/>
        </w:rPr>
        <w:t xml:space="preserve">rước khi khai thác tài nguyên hoặc tiến hành hoạt động khác, chủ đầu tư công trình, tổ chức, các nhân phải có giải pháp kỹ thuật đảm bảo an toàn công trình, an toàn giao thông vận tải đường sắt, bảo vệ môi trường và phòng chống cháy nổ để </w:t>
      </w:r>
      <w:r w:rsidRPr="00D962AE">
        <w:rPr>
          <w:i/>
          <w:sz w:val="26"/>
          <w:szCs w:val="26"/>
          <w:lang w:val="nl-NL"/>
        </w:rPr>
        <w:t>lấy ý kiến</w:t>
      </w:r>
      <w:r w:rsidRPr="00D962AE">
        <w:rPr>
          <w:sz w:val="26"/>
          <w:szCs w:val="26"/>
          <w:lang w:val="nl-NL"/>
        </w:rPr>
        <w:t xml:space="preserve"> của </w:t>
      </w:r>
      <w:r w:rsidRPr="00D962AE">
        <w:rPr>
          <w:rFonts w:eastAsia="Times New Roman"/>
          <w:sz w:val="26"/>
          <w:szCs w:val="26"/>
        </w:rPr>
        <w:t>c</w:t>
      </w:r>
      <w:r w:rsidRPr="00D962AE">
        <w:rPr>
          <w:rFonts w:eastAsia="Times New Roman"/>
          <w:sz w:val="26"/>
          <w:szCs w:val="26"/>
          <w:lang w:val="vi-VN"/>
        </w:rPr>
        <w:t>ơ quan quản lý nhà nước quản lý tài sản kết cấu hạ tầng đường sắt</w:t>
      </w:r>
      <w:r w:rsidRPr="00D962AE">
        <w:rPr>
          <w:sz w:val="26"/>
          <w:szCs w:val="26"/>
          <w:lang w:val="nl-NL"/>
        </w:rPr>
        <w:t>, doanh nghiệp kinh doanh kết cấu hạ tầng đường sắt hoặc doanh nghiệp kinh doanh đường sắt đô thị</w:t>
      </w:r>
      <w:r w:rsidRPr="00D962AE">
        <w:rPr>
          <w:sz w:val="26"/>
          <w:szCs w:val="26"/>
        </w:rPr>
        <w:t>”</w:t>
      </w:r>
      <w:r w:rsidR="00526506" w:rsidRPr="00D962AE">
        <w:rPr>
          <w:sz w:val="26"/>
          <w:szCs w:val="26"/>
        </w:rPr>
        <w:t>.</w:t>
      </w:r>
    </w:p>
    <w:p w:rsidR="00526506" w:rsidRPr="00F4658B" w:rsidRDefault="00526506" w:rsidP="00F4658B">
      <w:pPr>
        <w:pStyle w:val="ListParagraph"/>
        <w:spacing w:before="120" w:after="120" w:line="312" w:lineRule="auto"/>
        <w:jc w:val="both"/>
        <w:rPr>
          <w:sz w:val="26"/>
          <w:szCs w:val="26"/>
        </w:rPr>
      </w:pPr>
      <w:r w:rsidRPr="00F4658B">
        <w:rPr>
          <w:sz w:val="26"/>
          <w:szCs w:val="26"/>
        </w:rPr>
        <w:t>Quy định này cần được xem xét ở các vấn đề sau:</w:t>
      </w:r>
    </w:p>
    <w:p w:rsidR="00526506" w:rsidRPr="00F4658B" w:rsidRDefault="00526506" w:rsidP="00F4658B">
      <w:pPr>
        <w:pStyle w:val="ListParagraph"/>
        <w:numPr>
          <w:ilvl w:val="0"/>
          <w:numId w:val="4"/>
        </w:numPr>
        <w:spacing w:before="120" w:after="120" w:line="312" w:lineRule="auto"/>
        <w:jc w:val="both"/>
        <w:rPr>
          <w:sz w:val="26"/>
          <w:szCs w:val="26"/>
        </w:rPr>
      </w:pPr>
      <w:r w:rsidRPr="00F4658B">
        <w:rPr>
          <w:sz w:val="26"/>
          <w:szCs w:val="26"/>
        </w:rPr>
        <w:t>Tính thống nhất: Theo quy định tại điểm b khoản 4 Điều 23 Luật đường sắt, thì trường hợp khai thác tài nguyên và các hoạt động khác ở vùng lân cận phạm vi đất dành cho đường sắt, không yêu cầu chủ đầu tư lấy ý kiến các chủ thể nêu trên. Do vậy, quy định tại Dự thảo là chưa thống nhất với Luật đường sắt;</w:t>
      </w:r>
    </w:p>
    <w:p w:rsidR="00AC292C" w:rsidRDefault="00526506" w:rsidP="00F4658B">
      <w:pPr>
        <w:pStyle w:val="ListParagraph"/>
        <w:numPr>
          <w:ilvl w:val="0"/>
          <w:numId w:val="4"/>
        </w:numPr>
        <w:spacing w:before="120" w:after="120" w:line="312" w:lineRule="auto"/>
        <w:jc w:val="both"/>
        <w:rPr>
          <w:sz w:val="26"/>
          <w:szCs w:val="26"/>
        </w:rPr>
      </w:pPr>
      <w:r w:rsidRPr="00F4658B">
        <w:rPr>
          <w:sz w:val="26"/>
          <w:szCs w:val="26"/>
        </w:rPr>
        <w:t xml:space="preserve">Tính minh bạch: </w:t>
      </w:r>
      <w:r w:rsidR="00AC292C">
        <w:rPr>
          <w:sz w:val="26"/>
          <w:szCs w:val="26"/>
        </w:rPr>
        <w:t>C</w:t>
      </w:r>
      <w:r w:rsidRPr="00F4658B">
        <w:rPr>
          <w:sz w:val="26"/>
          <w:szCs w:val="26"/>
        </w:rPr>
        <w:t>ác cơ quan nhà nước</w:t>
      </w:r>
      <w:r w:rsidR="007C1C9F" w:rsidRPr="00F4658B">
        <w:rPr>
          <w:sz w:val="26"/>
          <w:szCs w:val="26"/>
        </w:rPr>
        <w:t>, các doanh nghiệp kinh doanh kết cấu hạ tầng đường sắt/doanh nghiệp kinh doanh đường sắt đô thị</w:t>
      </w:r>
      <w:r w:rsidRPr="00F4658B">
        <w:rPr>
          <w:sz w:val="26"/>
          <w:szCs w:val="26"/>
        </w:rPr>
        <w:t xml:space="preserve"> sẽ cho ý kiến về vấn đề gì? Việc có ý kiến của</w:t>
      </w:r>
      <w:r w:rsidR="007C1C9F" w:rsidRPr="00F4658B">
        <w:rPr>
          <w:sz w:val="26"/>
          <w:szCs w:val="26"/>
        </w:rPr>
        <w:t xml:space="preserve"> các chủ thể trên</w:t>
      </w:r>
      <w:r w:rsidRPr="00F4658B">
        <w:rPr>
          <w:sz w:val="26"/>
          <w:szCs w:val="26"/>
        </w:rPr>
        <w:t xml:space="preserve"> có phải là cơ sở để chủ đầu tư khai thác tài nguyên/thực hiện các hoạt động khác không? Nếu có, thì hình thức của việc cho ý kiến này là gì (giấy chấp thuận??)</w:t>
      </w:r>
      <w:r w:rsidR="00AC292C">
        <w:rPr>
          <w:sz w:val="26"/>
          <w:szCs w:val="26"/>
        </w:rPr>
        <w:t>? Giá trị pháp lý của các ý kiến này thế nào? (chỉ để tham khảo, để giải trình bổ sung hay buộc phải tuân theo).</w:t>
      </w:r>
    </w:p>
    <w:p w:rsidR="00526506" w:rsidRDefault="000061A9" w:rsidP="000061A9">
      <w:pPr>
        <w:pStyle w:val="ListParagraph"/>
        <w:numPr>
          <w:ilvl w:val="0"/>
          <w:numId w:val="4"/>
        </w:numPr>
        <w:spacing w:before="120" w:after="120" w:line="312" w:lineRule="auto"/>
        <w:jc w:val="both"/>
        <w:rPr>
          <w:sz w:val="26"/>
          <w:szCs w:val="26"/>
        </w:rPr>
      </w:pPr>
      <w:r>
        <w:rPr>
          <w:sz w:val="26"/>
          <w:szCs w:val="26"/>
        </w:rPr>
        <w:t xml:space="preserve">Về mặt thủ tục, trong số các chủ thể cần </w:t>
      </w:r>
      <w:r w:rsidR="007C1C9F" w:rsidRPr="00F4658B">
        <w:rPr>
          <w:sz w:val="26"/>
          <w:szCs w:val="26"/>
        </w:rPr>
        <w:t>lấy ý kiến</w:t>
      </w:r>
      <w:r>
        <w:rPr>
          <w:sz w:val="26"/>
          <w:szCs w:val="26"/>
        </w:rPr>
        <w:t xml:space="preserve"> có</w:t>
      </w:r>
      <w:r w:rsidR="007C1C9F" w:rsidRPr="00F4658B">
        <w:rPr>
          <w:sz w:val="26"/>
          <w:szCs w:val="26"/>
        </w:rPr>
        <w:t xml:space="preserve"> cơ quan nhà nước</w:t>
      </w:r>
      <w:r>
        <w:rPr>
          <w:sz w:val="26"/>
          <w:szCs w:val="26"/>
        </w:rPr>
        <w:t>, như vậy việc lấy ý kiến</w:t>
      </w:r>
      <w:r w:rsidR="00526506" w:rsidRPr="00F4658B">
        <w:rPr>
          <w:sz w:val="26"/>
          <w:szCs w:val="26"/>
        </w:rPr>
        <w:t xml:space="preserve"> cũng được xem là thủ tục hành chính</w:t>
      </w:r>
      <w:r>
        <w:rPr>
          <w:sz w:val="26"/>
          <w:szCs w:val="26"/>
        </w:rPr>
        <w:t xml:space="preserve"> và cần phải được </w:t>
      </w:r>
      <w:r w:rsidR="00526506" w:rsidRPr="00F4658B">
        <w:rPr>
          <w:sz w:val="26"/>
          <w:szCs w:val="26"/>
        </w:rPr>
        <w:t xml:space="preserve">quy định rõ về trình tự, thủ tục. </w:t>
      </w:r>
    </w:p>
    <w:p w:rsidR="00F15C46" w:rsidRDefault="00F4658B" w:rsidP="005A375F">
      <w:pPr>
        <w:pStyle w:val="ListParagraph"/>
        <w:spacing w:before="120" w:after="120" w:line="312" w:lineRule="auto"/>
        <w:ind w:left="0" w:firstLine="426"/>
        <w:jc w:val="both"/>
        <w:rPr>
          <w:sz w:val="26"/>
          <w:szCs w:val="26"/>
        </w:rPr>
      </w:pPr>
      <w:r w:rsidRPr="00F4658B">
        <w:rPr>
          <w:sz w:val="26"/>
          <w:szCs w:val="26"/>
        </w:rPr>
        <w:t xml:space="preserve">Từ những phân tích trên, </w:t>
      </w:r>
      <w:r w:rsidRPr="00F4658B">
        <w:rPr>
          <w:sz w:val="26"/>
          <w:szCs w:val="26"/>
          <w:u w:val="single"/>
        </w:rPr>
        <w:t>đề nghị Ban soạn thảo</w:t>
      </w:r>
      <w:r w:rsidR="00A33B01">
        <w:rPr>
          <w:sz w:val="26"/>
          <w:szCs w:val="26"/>
        </w:rPr>
        <w:t>:</w:t>
      </w:r>
    </w:p>
    <w:p w:rsidR="00346A64" w:rsidRDefault="00D259FA" w:rsidP="00F15C46">
      <w:pPr>
        <w:pStyle w:val="ListParagraph"/>
        <w:numPr>
          <w:ilvl w:val="0"/>
          <w:numId w:val="4"/>
        </w:numPr>
        <w:spacing w:before="120" w:after="120" w:line="312" w:lineRule="auto"/>
        <w:jc w:val="both"/>
        <w:rPr>
          <w:sz w:val="26"/>
          <w:szCs w:val="26"/>
          <w:lang w:val="nl-NL"/>
        </w:rPr>
      </w:pPr>
      <w:r>
        <w:rPr>
          <w:sz w:val="26"/>
          <w:szCs w:val="26"/>
        </w:rPr>
        <w:t>B</w:t>
      </w:r>
      <w:r w:rsidR="00F4658B" w:rsidRPr="00F4658B">
        <w:rPr>
          <w:sz w:val="26"/>
          <w:szCs w:val="26"/>
        </w:rPr>
        <w:t xml:space="preserve">ỏ quy định phải lấy ý kiến </w:t>
      </w:r>
      <w:r w:rsidR="00F4658B" w:rsidRPr="00F4658B">
        <w:rPr>
          <w:sz w:val="26"/>
          <w:szCs w:val="26"/>
          <w:lang w:val="nl-NL"/>
        </w:rPr>
        <w:t xml:space="preserve">của </w:t>
      </w:r>
      <w:r w:rsidR="00F4658B" w:rsidRPr="00F4658B">
        <w:rPr>
          <w:rFonts w:eastAsia="Times New Roman"/>
          <w:sz w:val="26"/>
          <w:szCs w:val="26"/>
        </w:rPr>
        <w:t>c</w:t>
      </w:r>
      <w:r w:rsidR="00F4658B" w:rsidRPr="00F4658B">
        <w:rPr>
          <w:rFonts w:eastAsia="Times New Roman"/>
          <w:sz w:val="26"/>
          <w:szCs w:val="26"/>
          <w:lang w:val="vi-VN"/>
        </w:rPr>
        <w:t>ơ quan quản lý nhà nước quản lý tài sản kết cấu hạ tầng đường sắt</w:t>
      </w:r>
      <w:r w:rsidR="00F4658B" w:rsidRPr="00F4658B">
        <w:rPr>
          <w:sz w:val="26"/>
          <w:szCs w:val="26"/>
          <w:lang w:val="nl-NL"/>
        </w:rPr>
        <w:t>, doanh nghiệp kinh doanh kết cấu hạ tầng đường sắt hoặc doanh nghiệp kinh doanh đường sắt đô thị</w:t>
      </w:r>
      <w:r>
        <w:rPr>
          <w:sz w:val="26"/>
          <w:szCs w:val="26"/>
          <w:lang w:val="nl-NL"/>
        </w:rPr>
        <w:t>;</w:t>
      </w:r>
      <w:r w:rsidR="00EA6F58">
        <w:rPr>
          <w:sz w:val="26"/>
          <w:szCs w:val="26"/>
          <w:lang w:val="nl-NL"/>
        </w:rPr>
        <w:t xml:space="preserve"> </w:t>
      </w:r>
      <w:r w:rsidR="00346A64">
        <w:rPr>
          <w:sz w:val="26"/>
          <w:szCs w:val="26"/>
          <w:lang w:val="nl-NL"/>
        </w:rPr>
        <w:t>và</w:t>
      </w:r>
    </w:p>
    <w:p w:rsidR="00F4658B" w:rsidRDefault="00D259FA" w:rsidP="00F15C46">
      <w:pPr>
        <w:pStyle w:val="ListParagraph"/>
        <w:numPr>
          <w:ilvl w:val="0"/>
          <w:numId w:val="4"/>
        </w:numPr>
        <w:spacing w:before="120" w:after="120" w:line="312" w:lineRule="auto"/>
        <w:jc w:val="both"/>
        <w:rPr>
          <w:sz w:val="26"/>
          <w:szCs w:val="26"/>
          <w:lang w:val="nl-NL"/>
        </w:rPr>
      </w:pPr>
      <w:r>
        <w:rPr>
          <w:sz w:val="26"/>
          <w:szCs w:val="26"/>
          <w:lang w:val="nl-NL"/>
        </w:rPr>
        <w:lastRenderedPageBreak/>
        <w:t>Thay thế bằng quy định:</w:t>
      </w:r>
      <w:r w:rsidR="00F4658B" w:rsidRPr="00F4658B">
        <w:rPr>
          <w:sz w:val="26"/>
          <w:szCs w:val="26"/>
          <w:lang w:val="nl-NL"/>
        </w:rPr>
        <w:t xml:space="preserve"> chủ đầu tư sẽ phải </w:t>
      </w:r>
      <w:r w:rsidR="00EA6F58">
        <w:rPr>
          <w:sz w:val="26"/>
          <w:szCs w:val="26"/>
          <w:lang w:val="nl-NL"/>
        </w:rPr>
        <w:t>lấy ý kiến của</w:t>
      </w:r>
      <w:r w:rsidR="00F4658B" w:rsidRPr="00F4658B">
        <w:rPr>
          <w:sz w:val="26"/>
          <w:szCs w:val="26"/>
          <w:lang w:val="nl-NL"/>
        </w:rPr>
        <w:t xml:space="preserve"> của cơ quan quản lý nhà nước và cơ quan nhà nước </w:t>
      </w:r>
      <w:r>
        <w:rPr>
          <w:sz w:val="26"/>
          <w:szCs w:val="26"/>
          <w:lang w:val="nl-NL"/>
        </w:rPr>
        <w:t>khi</w:t>
      </w:r>
      <w:r w:rsidR="00EA6F58">
        <w:rPr>
          <w:sz w:val="26"/>
          <w:szCs w:val="26"/>
          <w:lang w:val="nl-NL"/>
        </w:rPr>
        <w:t xml:space="preserve"> cho ý kiến</w:t>
      </w:r>
      <w:r w:rsidR="00F4658B" w:rsidRPr="00F4658B">
        <w:rPr>
          <w:sz w:val="26"/>
          <w:szCs w:val="26"/>
          <w:lang w:val="nl-NL"/>
        </w:rPr>
        <w:t xml:space="preserve"> </w:t>
      </w:r>
      <w:r>
        <w:rPr>
          <w:sz w:val="26"/>
          <w:szCs w:val="26"/>
          <w:lang w:val="nl-NL"/>
        </w:rPr>
        <w:t>sẽ phải tiến hành tham khảo</w:t>
      </w:r>
      <w:r w:rsidR="00F4658B" w:rsidRPr="00F4658B">
        <w:rPr>
          <w:sz w:val="26"/>
          <w:szCs w:val="26"/>
          <w:lang w:val="nl-NL"/>
        </w:rPr>
        <w:t xml:space="preserve"> ý kiến từ nhiều chủ thể có liên quan, trong đó có doanh nghiệp kinh doanh kết cấu hạ tầng đường sắt hoặc doanh nghiệp kinh doanh đường sắt đô thị</w:t>
      </w:r>
      <w:r>
        <w:rPr>
          <w:sz w:val="26"/>
          <w:szCs w:val="26"/>
          <w:lang w:val="nl-NL"/>
        </w:rPr>
        <w:t xml:space="preserve"> và chịu trách nhiệm về quyết định của mình.</w:t>
      </w:r>
    </w:p>
    <w:p w:rsidR="00F4658B" w:rsidRPr="00F4658B" w:rsidRDefault="00F4658B" w:rsidP="00F4658B">
      <w:pPr>
        <w:spacing w:before="120" w:after="120" w:line="312" w:lineRule="auto"/>
        <w:ind w:firstLine="360"/>
        <w:jc w:val="both"/>
        <w:rPr>
          <w:sz w:val="26"/>
          <w:szCs w:val="26"/>
          <w:lang w:val="sv-SE"/>
        </w:rPr>
      </w:pPr>
      <w:r w:rsidRPr="00F4658B">
        <w:rPr>
          <w:sz w:val="26"/>
          <w:szCs w:val="26"/>
          <w:lang w:val="sv-SE"/>
        </w:rPr>
        <w:t xml:space="preserve">Trên đây là một số ý kiến ban đầu của Phòng Thương mại và Công nghiệp Việt Nam đối với </w:t>
      </w:r>
      <w:r w:rsidRPr="00F4658B">
        <w:rPr>
          <w:sz w:val="26"/>
          <w:szCs w:val="26"/>
        </w:rPr>
        <w:t>Dự thảo Nghị định quy định về quản lý, bảo vệ kết cấu hạ tầng giao thông đường sắt</w:t>
      </w:r>
      <w:r w:rsidRPr="00F4658B">
        <w:rPr>
          <w:sz w:val="26"/>
          <w:szCs w:val="26"/>
          <w:lang w:val="sv-SE"/>
        </w:rPr>
        <w:t>. Rất mong cơ quan soạn thảo cân nhắc để chỉnh sửa, hoàn thiện Dự thảo này.</w:t>
      </w:r>
    </w:p>
    <w:p w:rsidR="00F4658B" w:rsidRPr="00F4658B" w:rsidRDefault="00F4658B" w:rsidP="00F4658B">
      <w:pPr>
        <w:spacing w:before="120" w:after="120" w:line="312" w:lineRule="auto"/>
        <w:ind w:firstLine="720"/>
        <w:jc w:val="both"/>
        <w:rPr>
          <w:sz w:val="26"/>
          <w:szCs w:val="26"/>
          <w:lang w:val="sv-SE"/>
        </w:rPr>
      </w:pPr>
      <w:r w:rsidRPr="00F4658B">
        <w:rPr>
          <w:sz w:val="26"/>
          <w:szCs w:val="26"/>
          <w:lang w:val="sv-SE"/>
        </w:rPr>
        <w:t>Trân trọng cảm ơn sự hợp tác của quý Cơ quan.</w:t>
      </w:r>
    </w:p>
    <w:tbl>
      <w:tblPr>
        <w:tblW w:w="10188" w:type="dxa"/>
        <w:tblLook w:val="01E0" w:firstRow="1" w:lastRow="1" w:firstColumn="1" w:lastColumn="1" w:noHBand="0" w:noVBand="0"/>
      </w:tblPr>
      <w:tblGrid>
        <w:gridCol w:w="3978"/>
        <w:gridCol w:w="6210"/>
      </w:tblGrid>
      <w:tr w:rsidR="00F4658B" w:rsidRPr="001167E3" w:rsidTr="00CB3F10">
        <w:trPr>
          <w:trHeight w:val="2419"/>
        </w:trPr>
        <w:tc>
          <w:tcPr>
            <w:tcW w:w="3978" w:type="dxa"/>
          </w:tcPr>
          <w:p w:rsidR="00F4658B" w:rsidRPr="001167E3" w:rsidRDefault="00F4658B" w:rsidP="00CB3F10">
            <w:pPr>
              <w:spacing w:before="60" w:after="0" w:line="240" w:lineRule="auto"/>
              <w:jc w:val="both"/>
              <w:rPr>
                <w:b/>
                <w:i/>
              </w:rPr>
            </w:pPr>
            <w:r w:rsidRPr="001167E3">
              <w:rPr>
                <w:b/>
                <w:i/>
              </w:rPr>
              <w:t>Nơi nhận:</w:t>
            </w:r>
          </w:p>
          <w:p w:rsidR="00F4658B" w:rsidRDefault="00F4658B" w:rsidP="00F4658B">
            <w:pPr>
              <w:numPr>
                <w:ilvl w:val="0"/>
                <w:numId w:val="5"/>
              </w:numPr>
              <w:tabs>
                <w:tab w:val="clear" w:pos="720"/>
              </w:tabs>
              <w:spacing w:before="60" w:after="0" w:line="240" w:lineRule="auto"/>
              <w:ind w:left="284" w:hanging="142"/>
              <w:jc w:val="both"/>
            </w:pPr>
            <w:r w:rsidRPr="001167E3">
              <w:t>Như trên;</w:t>
            </w:r>
          </w:p>
          <w:p w:rsidR="00F4658B" w:rsidRPr="001167E3" w:rsidRDefault="00F4658B" w:rsidP="00F4658B">
            <w:pPr>
              <w:numPr>
                <w:ilvl w:val="0"/>
                <w:numId w:val="5"/>
              </w:numPr>
              <w:tabs>
                <w:tab w:val="clear" w:pos="720"/>
              </w:tabs>
              <w:spacing w:before="60" w:after="0" w:line="240" w:lineRule="auto"/>
              <w:ind w:left="284" w:hanging="142"/>
              <w:jc w:val="both"/>
            </w:pPr>
            <w:r>
              <w:t>Văn phòng Chính phủ, Bộ Tư pháp</w:t>
            </w:r>
          </w:p>
          <w:p w:rsidR="00F4658B" w:rsidRPr="001167E3" w:rsidRDefault="00F4658B" w:rsidP="00F4658B">
            <w:pPr>
              <w:numPr>
                <w:ilvl w:val="0"/>
                <w:numId w:val="5"/>
              </w:numPr>
              <w:tabs>
                <w:tab w:val="clear" w:pos="720"/>
              </w:tabs>
              <w:spacing w:before="60" w:after="0" w:line="240" w:lineRule="auto"/>
              <w:ind w:left="284" w:hanging="142"/>
              <w:jc w:val="both"/>
            </w:pPr>
            <w:r w:rsidRPr="001167E3">
              <w:t>Chủ tịch Vũ Tiến Lộc (để báo cáo);</w:t>
            </w:r>
          </w:p>
          <w:p w:rsidR="00F4658B" w:rsidRPr="001167E3" w:rsidRDefault="00F4658B" w:rsidP="00F4658B">
            <w:pPr>
              <w:numPr>
                <w:ilvl w:val="0"/>
                <w:numId w:val="5"/>
              </w:numPr>
              <w:tabs>
                <w:tab w:val="clear" w:pos="720"/>
              </w:tabs>
              <w:spacing w:before="60" w:after="0" w:line="240" w:lineRule="auto"/>
              <w:ind w:left="284" w:hanging="142"/>
              <w:jc w:val="both"/>
            </w:pPr>
            <w:r w:rsidRPr="001167E3">
              <w:t>Lưu VT, PC</w:t>
            </w:r>
          </w:p>
          <w:p w:rsidR="00F4658B" w:rsidRPr="001167E3" w:rsidRDefault="00F4658B" w:rsidP="00CB3F10">
            <w:pPr>
              <w:tabs>
                <w:tab w:val="center" w:pos="6240"/>
              </w:tabs>
              <w:spacing w:after="0" w:line="240" w:lineRule="auto"/>
              <w:jc w:val="both"/>
              <w:rPr>
                <w:b/>
              </w:rPr>
            </w:pPr>
          </w:p>
          <w:p w:rsidR="00F4658B" w:rsidRPr="001167E3" w:rsidRDefault="00F4658B" w:rsidP="00CB3F10">
            <w:pPr>
              <w:jc w:val="center"/>
            </w:pPr>
          </w:p>
        </w:tc>
        <w:tc>
          <w:tcPr>
            <w:tcW w:w="6210" w:type="dxa"/>
          </w:tcPr>
          <w:p w:rsidR="00F4658B" w:rsidRPr="0088488E" w:rsidRDefault="00F4658B" w:rsidP="00CB3F10">
            <w:pPr>
              <w:tabs>
                <w:tab w:val="center" w:pos="6240"/>
              </w:tabs>
              <w:spacing w:before="60" w:after="0" w:line="240" w:lineRule="auto"/>
              <w:jc w:val="center"/>
              <w:rPr>
                <w:b/>
                <w:sz w:val="26"/>
                <w:szCs w:val="26"/>
              </w:rPr>
            </w:pPr>
            <w:r w:rsidRPr="0088488E">
              <w:rPr>
                <w:b/>
                <w:sz w:val="26"/>
                <w:szCs w:val="26"/>
              </w:rPr>
              <w:t>TL. CHỦ TỊCH</w:t>
            </w:r>
          </w:p>
          <w:p w:rsidR="00F4658B" w:rsidRPr="0088488E" w:rsidRDefault="00F4658B" w:rsidP="00CB3F10">
            <w:pPr>
              <w:tabs>
                <w:tab w:val="center" w:pos="6240"/>
              </w:tabs>
              <w:spacing w:before="60" w:after="0" w:line="240" w:lineRule="auto"/>
              <w:jc w:val="center"/>
              <w:rPr>
                <w:b/>
                <w:sz w:val="26"/>
                <w:szCs w:val="26"/>
              </w:rPr>
            </w:pPr>
            <w:r w:rsidRPr="0088488E">
              <w:rPr>
                <w:b/>
                <w:sz w:val="26"/>
                <w:szCs w:val="26"/>
              </w:rPr>
              <w:t xml:space="preserve">TRƯỞNG BAN </w:t>
            </w:r>
          </w:p>
          <w:p w:rsidR="00F4658B" w:rsidRPr="0088488E" w:rsidRDefault="00F4658B" w:rsidP="00CB3F10">
            <w:pPr>
              <w:tabs>
                <w:tab w:val="center" w:pos="6240"/>
              </w:tabs>
              <w:spacing w:before="60" w:after="0" w:line="240" w:lineRule="auto"/>
              <w:jc w:val="center"/>
              <w:rPr>
                <w:b/>
                <w:sz w:val="26"/>
                <w:szCs w:val="26"/>
              </w:rPr>
            </w:pPr>
            <w:r w:rsidRPr="0088488E">
              <w:rPr>
                <w:b/>
                <w:sz w:val="26"/>
                <w:szCs w:val="26"/>
              </w:rPr>
              <w:t>THUỘC BAN PHÁP CHẾ</w:t>
            </w:r>
          </w:p>
          <w:p w:rsidR="00F4658B" w:rsidRPr="0088488E" w:rsidRDefault="00F4658B" w:rsidP="00CB3F10">
            <w:pPr>
              <w:tabs>
                <w:tab w:val="center" w:pos="6240"/>
              </w:tabs>
              <w:spacing w:after="0" w:line="240" w:lineRule="auto"/>
              <w:jc w:val="center"/>
              <w:rPr>
                <w:b/>
                <w:sz w:val="26"/>
                <w:szCs w:val="26"/>
              </w:rPr>
            </w:pPr>
          </w:p>
          <w:p w:rsidR="00F4658B" w:rsidRPr="0088488E" w:rsidRDefault="00F4658B" w:rsidP="00CB3F10">
            <w:pPr>
              <w:tabs>
                <w:tab w:val="center" w:pos="6240"/>
              </w:tabs>
              <w:spacing w:after="0" w:line="240" w:lineRule="auto"/>
              <w:jc w:val="center"/>
              <w:rPr>
                <w:b/>
                <w:sz w:val="26"/>
                <w:szCs w:val="26"/>
              </w:rPr>
            </w:pPr>
          </w:p>
          <w:p w:rsidR="00F4658B" w:rsidRPr="0088488E" w:rsidRDefault="00F4658B" w:rsidP="00CB3F10">
            <w:pPr>
              <w:tabs>
                <w:tab w:val="center" w:pos="6240"/>
              </w:tabs>
              <w:spacing w:after="0" w:line="240" w:lineRule="auto"/>
              <w:rPr>
                <w:i/>
                <w:sz w:val="26"/>
                <w:szCs w:val="26"/>
              </w:rPr>
            </w:pPr>
          </w:p>
          <w:p w:rsidR="00F4658B" w:rsidRPr="0088488E" w:rsidRDefault="00F4658B" w:rsidP="00CB3F10">
            <w:pPr>
              <w:tabs>
                <w:tab w:val="center" w:pos="6240"/>
              </w:tabs>
              <w:spacing w:after="0" w:line="240" w:lineRule="auto"/>
              <w:rPr>
                <w:i/>
                <w:sz w:val="26"/>
                <w:szCs w:val="26"/>
              </w:rPr>
            </w:pPr>
          </w:p>
          <w:p w:rsidR="00F4658B" w:rsidRPr="0088488E" w:rsidRDefault="00F4658B" w:rsidP="00CB3F10">
            <w:pPr>
              <w:tabs>
                <w:tab w:val="center" w:pos="6240"/>
              </w:tabs>
              <w:spacing w:after="0" w:line="240" w:lineRule="auto"/>
              <w:rPr>
                <w:b/>
                <w:sz w:val="26"/>
                <w:szCs w:val="26"/>
              </w:rPr>
            </w:pPr>
          </w:p>
          <w:p w:rsidR="00F4658B" w:rsidRPr="0088488E" w:rsidRDefault="00F4658B" w:rsidP="00CB3F10">
            <w:pPr>
              <w:tabs>
                <w:tab w:val="center" w:pos="6240"/>
              </w:tabs>
              <w:spacing w:after="0" w:line="240" w:lineRule="auto"/>
              <w:jc w:val="center"/>
              <w:rPr>
                <w:b/>
                <w:sz w:val="26"/>
                <w:szCs w:val="26"/>
              </w:rPr>
            </w:pPr>
            <w:r w:rsidRPr="0088488E">
              <w:rPr>
                <w:b/>
                <w:sz w:val="26"/>
                <w:szCs w:val="26"/>
              </w:rPr>
              <w:t>Nguyễn Thị Thu Trang</w:t>
            </w:r>
          </w:p>
        </w:tc>
      </w:tr>
    </w:tbl>
    <w:p w:rsidR="00F4658B" w:rsidRPr="001167E3" w:rsidRDefault="00F4658B" w:rsidP="00F4658B"/>
    <w:p w:rsidR="00F4658B" w:rsidRPr="001167E3" w:rsidRDefault="00F4658B" w:rsidP="00F4658B">
      <w:pPr>
        <w:pStyle w:val="CommentText"/>
        <w:spacing w:before="120" w:after="120" w:line="312" w:lineRule="auto"/>
        <w:ind w:firstLine="360"/>
        <w:jc w:val="both"/>
        <w:rPr>
          <w:rFonts w:ascii="Times New Roman" w:hAnsi="Times New Roman"/>
          <w:sz w:val="24"/>
          <w:szCs w:val="24"/>
          <w:lang w:val="sv-SE"/>
        </w:rPr>
      </w:pPr>
    </w:p>
    <w:p w:rsidR="00F4658B" w:rsidRDefault="00F4658B" w:rsidP="00F4658B"/>
    <w:p w:rsidR="00F4658B" w:rsidRPr="00111E97" w:rsidRDefault="00F4658B" w:rsidP="00F4658B">
      <w:pPr>
        <w:pStyle w:val="ListParagraph"/>
      </w:pPr>
    </w:p>
    <w:p w:rsidR="00F4658B" w:rsidRPr="00EE0B70" w:rsidRDefault="00F4658B" w:rsidP="007C1C9F">
      <w:pPr>
        <w:pStyle w:val="ListParagraph"/>
      </w:pPr>
    </w:p>
    <w:sectPr w:rsidR="00F4658B" w:rsidRPr="00EE0B70" w:rsidSect="007A61E9">
      <w:footerReference w:type="default" r:id="rId8"/>
      <w:pgSz w:w="11907" w:h="16840" w:code="9"/>
      <w:pgMar w:top="567" w:right="1418"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7D" w:rsidRDefault="00D37E7D" w:rsidP="00F4658B">
      <w:pPr>
        <w:spacing w:after="0" w:line="240" w:lineRule="auto"/>
      </w:pPr>
      <w:r>
        <w:separator/>
      </w:r>
    </w:p>
  </w:endnote>
  <w:endnote w:type="continuationSeparator" w:id="0">
    <w:p w:rsidR="00D37E7D" w:rsidRDefault="00D37E7D" w:rsidP="00F4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433019"/>
      <w:docPartObj>
        <w:docPartGallery w:val="Page Numbers (Bottom of Page)"/>
        <w:docPartUnique/>
      </w:docPartObj>
    </w:sdtPr>
    <w:sdtEndPr>
      <w:rPr>
        <w:noProof/>
      </w:rPr>
    </w:sdtEndPr>
    <w:sdtContent>
      <w:p w:rsidR="00F4658B" w:rsidRDefault="00F4658B">
        <w:pPr>
          <w:pStyle w:val="Footer"/>
          <w:jc w:val="center"/>
        </w:pPr>
        <w:r>
          <w:fldChar w:fldCharType="begin"/>
        </w:r>
        <w:r>
          <w:instrText xml:space="preserve"> PAGE   \* MERGEFORMAT </w:instrText>
        </w:r>
        <w:r>
          <w:fldChar w:fldCharType="separate"/>
        </w:r>
        <w:r w:rsidR="00112D46">
          <w:rPr>
            <w:noProof/>
          </w:rPr>
          <w:t>1</w:t>
        </w:r>
        <w:r>
          <w:rPr>
            <w:noProof/>
          </w:rPr>
          <w:fldChar w:fldCharType="end"/>
        </w:r>
      </w:p>
    </w:sdtContent>
  </w:sdt>
  <w:p w:rsidR="00F4658B" w:rsidRDefault="00F46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7D" w:rsidRDefault="00D37E7D" w:rsidP="00F4658B">
      <w:pPr>
        <w:spacing w:after="0" w:line="240" w:lineRule="auto"/>
      </w:pPr>
      <w:r>
        <w:separator/>
      </w:r>
    </w:p>
  </w:footnote>
  <w:footnote w:type="continuationSeparator" w:id="0">
    <w:p w:rsidR="00D37E7D" w:rsidRDefault="00D37E7D" w:rsidP="00F46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1DB4"/>
    <w:multiLevelType w:val="hybridMultilevel"/>
    <w:tmpl w:val="B62A1D3C"/>
    <w:lvl w:ilvl="0" w:tplc="229CFB3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0D0760C"/>
    <w:multiLevelType w:val="hybridMultilevel"/>
    <w:tmpl w:val="AB428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A6BB2"/>
    <w:multiLevelType w:val="hybridMultilevel"/>
    <w:tmpl w:val="53D808A0"/>
    <w:lvl w:ilvl="0" w:tplc="C82248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747E4D"/>
    <w:multiLevelType w:val="hybridMultilevel"/>
    <w:tmpl w:val="0F6E67B2"/>
    <w:lvl w:ilvl="0" w:tplc="C8AE352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CB"/>
    <w:rsid w:val="000061A9"/>
    <w:rsid w:val="00033F99"/>
    <w:rsid w:val="00112D46"/>
    <w:rsid w:val="001B5FDB"/>
    <w:rsid w:val="001D6C6F"/>
    <w:rsid w:val="00224B05"/>
    <w:rsid w:val="00276E23"/>
    <w:rsid w:val="002F1C69"/>
    <w:rsid w:val="00346A64"/>
    <w:rsid w:val="003F0301"/>
    <w:rsid w:val="0045213C"/>
    <w:rsid w:val="00491258"/>
    <w:rsid w:val="004A26CB"/>
    <w:rsid w:val="00526506"/>
    <w:rsid w:val="005A375F"/>
    <w:rsid w:val="005C490F"/>
    <w:rsid w:val="005C66B2"/>
    <w:rsid w:val="006228A3"/>
    <w:rsid w:val="00667363"/>
    <w:rsid w:val="006E4DB8"/>
    <w:rsid w:val="00700F28"/>
    <w:rsid w:val="007A61E9"/>
    <w:rsid w:val="007C1C9F"/>
    <w:rsid w:val="007F770E"/>
    <w:rsid w:val="00811C53"/>
    <w:rsid w:val="009463B3"/>
    <w:rsid w:val="00970F16"/>
    <w:rsid w:val="00A33B01"/>
    <w:rsid w:val="00A8440C"/>
    <w:rsid w:val="00AC0847"/>
    <w:rsid w:val="00AC292C"/>
    <w:rsid w:val="00B00AF9"/>
    <w:rsid w:val="00B24942"/>
    <w:rsid w:val="00B830D7"/>
    <w:rsid w:val="00BB4C20"/>
    <w:rsid w:val="00BF41C3"/>
    <w:rsid w:val="00C92BBD"/>
    <w:rsid w:val="00D259FA"/>
    <w:rsid w:val="00D37E7D"/>
    <w:rsid w:val="00D962AE"/>
    <w:rsid w:val="00EA1806"/>
    <w:rsid w:val="00EA6F58"/>
    <w:rsid w:val="00ED2581"/>
    <w:rsid w:val="00EE0B70"/>
    <w:rsid w:val="00EE4AC2"/>
    <w:rsid w:val="00F15C46"/>
    <w:rsid w:val="00F4658B"/>
    <w:rsid w:val="00F6237C"/>
    <w:rsid w:val="00F6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1806"/>
    <w:pPr>
      <w:ind w:left="720"/>
      <w:contextualSpacing/>
    </w:pPr>
  </w:style>
  <w:style w:type="character" w:styleId="CommentReference">
    <w:name w:val="annotation reference"/>
    <w:basedOn w:val="DefaultParagraphFont"/>
    <w:uiPriority w:val="99"/>
    <w:semiHidden/>
    <w:unhideWhenUsed/>
    <w:rsid w:val="00A8440C"/>
    <w:rPr>
      <w:sz w:val="16"/>
      <w:szCs w:val="16"/>
    </w:rPr>
  </w:style>
  <w:style w:type="paragraph" w:styleId="CommentText">
    <w:name w:val="annotation text"/>
    <w:basedOn w:val="Normal"/>
    <w:link w:val="CommentTextChar"/>
    <w:uiPriority w:val="99"/>
    <w:unhideWhenUsed/>
    <w:rsid w:val="00A8440C"/>
    <w:pPr>
      <w:spacing w:line="240"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A8440C"/>
    <w:rPr>
      <w:rFonts w:ascii="Calibri" w:eastAsia="Calibri" w:hAnsi="Calibri"/>
      <w:sz w:val="20"/>
      <w:szCs w:val="20"/>
    </w:rPr>
  </w:style>
  <w:style w:type="paragraph" w:styleId="BalloonText">
    <w:name w:val="Balloon Text"/>
    <w:basedOn w:val="Normal"/>
    <w:link w:val="BalloonTextChar"/>
    <w:uiPriority w:val="99"/>
    <w:semiHidden/>
    <w:unhideWhenUsed/>
    <w:rsid w:val="00A84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40C"/>
    <w:rPr>
      <w:rFonts w:ascii="Tahoma" w:hAnsi="Tahoma" w:cs="Tahoma"/>
      <w:sz w:val="16"/>
      <w:szCs w:val="16"/>
    </w:rPr>
  </w:style>
  <w:style w:type="paragraph" w:styleId="Header">
    <w:name w:val="header"/>
    <w:basedOn w:val="Normal"/>
    <w:link w:val="HeaderChar"/>
    <w:uiPriority w:val="99"/>
    <w:unhideWhenUsed/>
    <w:rsid w:val="00F46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58B"/>
  </w:style>
  <w:style w:type="paragraph" w:styleId="Footer">
    <w:name w:val="footer"/>
    <w:basedOn w:val="Normal"/>
    <w:link w:val="FooterChar"/>
    <w:uiPriority w:val="99"/>
    <w:unhideWhenUsed/>
    <w:rsid w:val="00F46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58B"/>
  </w:style>
  <w:style w:type="paragraph" w:styleId="CommentSubject">
    <w:name w:val="annotation subject"/>
    <w:basedOn w:val="CommentText"/>
    <w:next w:val="CommentText"/>
    <w:link w:val="CommentSubjectChar"/>
    <w:uiPriority w:val="99"/>
    <w:semiHidden/>
    <w:unhideWhenUsed/>
    <w:rsid w:val="001D6C6F"/>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1D6C6F"/>
    <w:rPr>
      <w:rFonts w:ascii="Calibri" w:eastAsia="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1806"/>
    <w:pPr>
      <w:ind w:left="720"/>
      <w:contextualSpacing/>
    </w:pPr>
  </w:style>
  <w:style w:type="character" w:styleId="CommentReference">
    <w:name w:val="annotation reference"/>
    <w:basedOn w:val="DefaultParagraphFont"/>
    <w:uiPriority w:val="99"/>
    <w:semiHidden/>
    <w:unhideWhenUsed/>
    <w:rsid w:val="00A8440C"/>
    <w:rPr>
      <w:sz w:val="16"/>
      <w:szCs w:val="16"/>
    </w:rPr>
  </w:style>
  <w:style w:type="paragraph" w:styleId="CommentText">
    <w:name w:val="annotation text"/>
    <w:basedOn w:val="Normal"/>
    <w:link w:val="CommentTextChar"/>
    <w:uiPriority w:val="99"/>
    <w:unhideWhenUsed/>
    <w:rsid w:val="00A8440C"/>
    <w:pPr>
      <w:spacing w:line="240"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A8440C"/>
    <w:rPr>
      <w:rFonts w:ascii="Calibri" w:eastAsia="Calibri" w:hAnsi="Calibri"/>
      <w:sz w:val="20"/>
      <w:szCs w:val="20"/>
    </w:rPr>
  </w:style>
  <w:style w:type="paragraph" w:styleId="BalloonText">
    <w:name w:val="Balloon Text"/>
    <w:basedOn w:val="Normal"/>
    <w:link w:val="BalloonTextChar"/>
    <w:uiPriority w:val="99"/>
    <w:semiHidden/>
    <w:unhideWhenUsed/>
    <w:rsid w:val="00A84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40C"/>
    <w:rPr>
      <w:rFonts w:ascii="Tahoma" w:hAnsi="Tahoma" w:cs="Tahoma"/>
      <w:sz w:val="16"/>
      <w:szCs w:val="16"/>
    </w:rPr>
  </w:style>
  <w:style w:type="paragraph" w:styleId="Header">
    <w:name w:val="header"/>
    <w:basedOn w:val="Normal"/>
    <w:link w:val="HeaderChar"/>
    <w:uiPriority w:val="99"/>
    <w:unhideWhenUsed/>
    <w:rsid w:val="00F46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58B"/>
  </w:style>
  <w:style w:type="paragraph" w:styleId="Footer">
    <w:name w:val="footer"/>
    <w:basedOn w:val="Normal"/>
    <w:link w:val="FooterChar"/>
    <w:uiPriority w:val="99"/>
    <w:unhideWhenUsed/>
    <w:rsid w:val="00F46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58B"/>
  </w:style>
  <w:style w:type="paragraph" w:styleId="CommentSubject">
    <w:name w:val="annotation subject"/>
    <w:basedOn w:val="CommentText"/>
    <w:next w:val="CommentText"/>
    <w:link w:val="CommentSubjectChar"/>
    <w:uiPriority w:val="99"/>
    <w:semiHidden/>
    <w:unhideWhenUsed/>
    <w:rsid w:val="001D6C6F"/>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1D6C6F"/>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Hong</cp:lastModifiedBy>
  <cp:revision>6</cp:revision>
  <cp:lastPrinted>2018-02-26T07:17:00Z</cp:lastPrinted>
  <dcterms:created xsi:type="dcterms:W3CDTF">2018-02-26T07:16:00Z</dcterms:created>
  <dcterms:modified xsi:type="dcterms:W3CDTF">2018-02-26T07:34:00Z</dcterms:modified>
</cp:coreProperties>
</file>