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MỘT SỐ NỘI DUNG GỢI Ý GÓP Ý DỰ THẢO THÔNG TƯ QUY ĐỊNH VỀ VẬN TẢI HÀNG HÓA TRÊN ĐƯỜNG SẮT QUỐC GIA &amp; ĐƯỜNG SẮT CHUYÊN DÙNG CÓ KẾT NỐI VỚI ĐƯỜNG SẮT QUỐC GIA</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(thay thế Thông tư 83/2014/TT-BGTVT ngày 30/12/2014) </w:t>
      </w:r>
      <w:r w:rsidDel="00000000" w:rsidR="00000000" w:rsidRPr="00000000">
        <w:rPr>
          <w:rtl w:val="0"/>
        </w:rPr>
      </w:r>
    </w:p>
    <w:p w:rsidR="00000000" w:rsidDel="00000000" w:rsidP="00000000" w:rsidRDefault="00000000" w:rsidRPr="00000000">
      <w:pPr>
        <w:tabs>
          <w:tab w:val="left" w:pos="15309"/>
        </w:tabs>
        <w:spacing w:after="0" w:before="240" w:line="240" w:lineRule="auto"/>
        <w:ind w:left="8465" w:firstLine="0"/>
        <w:contextualSpacing w:val="0"/>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Đơn vị góp ý:</w:t>
        <w:tab/>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line="288" w:lineRule="auto"/>
        <w:contextualSpacing w:val="0"/>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Góp ý có thể tập trung (nhưng không giới hạn) vào các vấn đề sau:</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360"/>
          <w:tab w:val="left" w:pos="1080"/>
        </w:tabs>
        <w:spacing w:after="0" w:before="120" w:line="288" w:lineRule="auto"/>
        <w:ind w:left="360" w:right="0" w:hanging="360"/>
        <w:contextualSpacing w:val="1"/>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nội dung quy định có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hợp lý</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không, nếu không, vui lòng nêu lý do;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360"/>
          <w:tab w:val="left" w:pos="1080"/>
        </w:tabs>
        <w:spacing w:after="120" w:before="0" w:line="288" w:lineRule="auto"/>
        <w:ind w:left="0" w:right="0" w:firstLine="0"/>
        <w:contextualSpacing w:val="1"/>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vấn đề khác dự kiến phát sinh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vướng mắc</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khi văn bản được triển khai thực hiện và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đề xuất</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kiến nghị</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nhằm hoàn thiện các quy định chưa phù hợp.</w:t>
      </w:r>
    </w:p>
    <w:p w:rsidR="00000000" w:rsidDel="00000000" w:rsidP="00000000" w:rsidRDefault="00000000" w:rsidRPr="00000000">
      <w:pPr>
        <w:tabs>
          <w:tab w:val="left" w:pos="1080"/>
        </w:tabs>
        <w:spacing w:after="120" w:before="120" w:line="312" w:lineRule="auto"/>
        <w:contextualSpacing w:val="0"/>
        <w:jc w:val="both"/>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Phương thức góp ý: </w:t>
      </w:r>
      <w:r w:rsidDel="00000000" w:rsidR="00000000" w:rsidRPr="00000000">
        <w:rPr>
          <w:rFonts w:ascii="Times New Roman" w:cs="Times New Roman" w:eastAsia="Times New Roman" w:hAnsi="Times New Roman"/>
          <w:b w:val="1"/>
          <w:sz w:val="26"/>
          <w:szCs w:val="26"/>
          <w:u w:val="single"/>
          <w:vertAlign w:val="baseline"/>
          <w:rtl w:val="0"/>
        </w:rPr>
        <w:t xml:space="preserve">theo đường Công văn</w:t>
      </w:r>
      <w:r w:rsidDel="00000000" w:rsidR="00000000" w:rsidRPr="00000000">
        <w:rPr>
          <w:rFonts w:ascii="Times New Roman" w:cs="Times New Roman" w:eastAsia="Times New Roman" w:hAnsi="Times New Roman"/>
          <w:b w:val="1"/>
          <w:sz w:val="26"/>
          <w:szCs w:val="26"/>
          <w:vertAlign w:val="baseline"/>
          <w:rtl w:val="0"/>
        </w:rPr>
        <w:t xml:space="preserve"> hoặc điền vào mẫu dưới đây. </w:t>
      </w:r>
      <w:r w:rsidDel="00000000" w:rsidR="00000000" w:rsidRPr="00000000">
        <w:rPr>
          <w:rtl w:val="0"/>
        </w:rPr>
      </w:r>
    </w:p>
    <w:p w:rsidR="00000000" w:rsidDel="00000000" w:rsidP="00000000" w:rsidRDefault="00000000" w:rsidRPr="00000000">
      <w:pPr>
        <w:tabs>
          <w:tab w:val="left" w:pos="90"/>
          <w:tab w:val="left" w:pos="1080"/>
        </w:tabs>
        <w:spacing w:after="120" w:before="120" w:line="288" w:lineRule="auto"/>
        <w:contextualSpacing w:val="0"/>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Để góp ý được đầy đủ và chính xác, rất mong Quý Doanh nghiệp/Hiệp hội theo dõi toàn văn Dự thảo và Tờ trình trên website của VCCI tại địa chỉ: www.vibonline.com.vn - Mục Dự thảo.</w:t>
      </w:r>
      <w:r w:rsidDel="00000000" w:rsidR="00000000" w:rsidRPr="00000000">
        <w:rPr>
          <w:rtl w:val="0"/>
        </w:rPr>
      </w:r>
    </w:p>
    <w:tbl>
      <w:tblPr>
        <w:tblStyle w:val="Table1"/>
        <w:tblW w:w="155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62"/>
        <w:gridCol w:w="9536"/>
        <w:gridCol w:w="4272"/>
        <w:tblGridChange w:id="0">
          <w:tblGrid>
            <w:gridCol w:w="1762"/>
            <w:gridCol w:w="9536"/>
            <w:gridCol w:w="4272"/>
          </w:tblGrid>
        </w:tblGridChange>
      </w:tblGrid>
      <w:tr>
        <w:tc>
          <w:tcPr>
            <w:vAlign w:val="top"/>
          </w:tcPr>
          <w:p w:rsidR="00000000" w:rsidDel="00000000" w:rsidP="00000000" w:rsidRDefault="00000000" w:rsidRPr="00000000">
            <w:pPr>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STT</w:t>
            </w:r>
            <w:r w:rsidDel="00000000" w:rsidR="00000000" w:rsidRPr="00000000">
              <w:rPr>
                <w:rtl w:val="0"/>
              </w:rPr>
            </w:r>
          </w:p>
        </w:tc>
        <w:tc>
          <w:tcPr>
            <w:vAlign w:val="top"/>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NỘI DUNG</w:t>
            </w:r>
            <w:r w:rsidDel="00000000" w:rsidR="00000000" w:rsidRPr="00000000">
              <w:rPr>
                <w:rtl w:val="0"/>
              </w:rPr>
            </w:r>
          </w:p>
        </w:tc>
        <w:tc>
          <w:tcPr>
            <w:vAlign w:val="top"/>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Ý KIẾN</w:t>
            </w: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(Đồng ý/không đồng ý? Lý do? </w:t>
            </w: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Kiến nghị)</w:t>
            </w:r>
            <w:r w:rsidDel="00000000" w:rsidR="00000000" w:rsidRPr="00000000">
              <w:rPr>
                <w:rtl w:val="0"/>
              </w:rPr>
            </w:r>
          </w:p>
        </w:tc>
      </w:tr>
      <w:tr>
        <w:trPr>
          <w:trHeight w:val="1180" w:hRule="atLeast"/>
        </w:trPr>
        <w:tc>
          <w:tcPr>
            <w:vAlign w:val="top"/>
          </w:tcPr>
          <w:p w:rsidR="00000000" w:rsidDel="00000000" w:rsidP="00000000" w:rsidRDefault="00000000" w:rsidRPr="00000000">
            <w:pPr>
              <w:contextualSpacing w:val="0"/>
              <w:rPr>
                <w:rFonts w:ascii="Times New Roman" w:cs="Times New Roman" w:eastAsia="Times New Roman" w:hAnsi="Times New Roman"/>
                <w:b w:val="0"/>
                <w:smallCaps w:val="0"/>
                <w:sz w:val="28"/>
                <w:szCs w:val="28"/>
                <w:vertAlign w:val="baseline"/>
              </w:rPr>
            </w:pPr>
            <w:r w:rsidDel="00000000" w:rsidR="00000000" w:rsidRPr="00000000">
              <w:rPr>
                <w:rFonts w:ascii="Times New Roman" w:cs="Times New Roman" w:eastAsia="Times New Roman" w:hAnsi="Times New Roman"/>
                <w:b w:val="1"/>
                <w:smallCaps w:val="1"/>
                <w:sz w:val="28"/>
                <w:szCs w:val="28"/>
                <w:vertAlign w:val="baseline"/>
                <w:rtl w:val="0"/>
              </w:rPr>
              <w:t xml:space="preserve">1. HỢP ĐỒNG VẬN TẢI </w:t>
            </w:r>
            <w:r w:rsidDel="00000000" w:rsidR="00000000" w:rsidRPr="00000000">
              <w:rPr>
                <w:rtl w:val="0"/>
              </w:rPr>
            </w:r>
          </w:p>
        </w:tc>
        <w:tc>
          <w:tcPr>
            <w:vAlign w:val="top"/>
          </w:tcPr>
          <w:p w:rsidR="00000000" w:rsidDel="00000000" w:rsidP="00000000" w:rsidRDefault="00000000" w:rsidRPr="00000000">
            <w:pPr>
              <w:spacing w:after="0" w:lineRule="auto"/>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Bỏ </w:t>
            </w:r>
            <w:r w:rsidDel="00000000" w:rsidR="00000000" w:rsidRPr="00000000">
              <w:rPr>
                <w:rFonts w:ascii="Times New Roman" w:cs="Times New Roman" w:eastAsia="Times New Roman" w:hAnsi="Times New Roman"/>
                <w:sz w:val="28"/>
                <w:szCs w:val="28"/>
                <w:vertAlign w:val="baseline"/>
                <w:rtl w:val="0"/>
              </w:rPr>
              <w:t xml:space="preserve">Chương quy định về </w:t>
            </w:r>
            <w:r w:rsidDel="00000000" w:rsidR="00000000" w:rsidRPr="00000000">
              <w:rPr>
                <w:rFonts w:ascii="Times New Roman" w:cs="Times New Roman" w:eastAsia="Times New Roman" w:hAnsi="Times New Roman"/>
                <w:i w:val="1"/>
                <w:sz w:val="28"/>
                <w:szCs w:val="28"/>
                <w:u w:val="single"/>
                <w:vertAlign w:val="baseline"/>
                <w:rtl w:val="0"/>
              </w:rPr>
              <w:t xml:space="preserve">Hợp đồng vận tải</w:t>
            </w:r>
            <w:r w:rsidDel="00000000" w:rsidR="00000000" w:rsidRPr="00000000">
              <w:rPr>
                <w:rFonts w:ascii="Times New Roman" w:cs="Times New Roman" w:eastAsia="Times New Roman" w:hAnsi="Times New Roman"/>
                <w:sz w:val="28"/>
                <w:szCs w:val="28"/>
                <w:vertAlign w:val="baseline"/>
                <w:rtl w:val="0"/>
              </w:rPr>
              <w:t xml:space="preserve">, gồm những nội dung:</w:t>
            </w:r>
            <w:r w:rsidDel="00000000" w:rsidR="00000000" w:rsidRPr="00000000">
              <w:rPr>
                <w:rtl w:val="0"/>
              </w:rPr>
            </w:r>
          </w:p>
          <w:p w:rsidR="00000000" w:rsidDel="00000000" w:rsidP="00000000" w:rsidRDefault="00000000" w:rsidRPr="00000000">
            <w:pPr>
              <w:numPr>
                <w:ilvl w:val="0"/>
                <w:numId w:val="1"/>
              </w:numPr>
              <w:spacing w:after="0" w:lineRule="auto"/>
              <w:ind w:left="720" w:hanging="360"/>
              <w:contextualSpacing w:val="0"/>
              <w:jc w:val="both"/>
              <w:rPr>
                <w:sz w:val="28"/>
                <w:szCs w:val="28"/>
              </w:rPr>
            </w:pPr>
            <w:r w:rsidDel="00000000" w:rsidR="00000000" w:rsidRPr="00000000">
              <w:rPr>
                <w:rFonts w:ascii="Times New Roman" w:cs="Times New Roman" w:eastAsia="Times New Roman" w:hAnsi="Times New Roman"/>
                <w:sz w:val="28"/>
                <w:szCs w:val="28"/>
                <w:vertAlign w:val="baseline"/>
                <w:rtl w:val="0"/>
              </w:rPr>
              <w:t xml:space="preserve">Quy định hình thức hợp đồng vận tải</w:t>
            </w:r>
          </w:p>
          <w:p w:rsidR="00000000" w:rsidDel="00000000" w:rsidP="00000000" w:rsidRDefault="00000000" w:rsidRPr="00000000">
            <w:pPr>
              <w:numPr>
                <w:ilvl w:val="0"/>
                <w:numId w:val="1"/>
              </w:numPr>
              <w:spacing w:after="0" w:lineRule="auto"/>
              <w:ind w:left="720" w:hanging="360"/>
              <w:contextualSpacing w:val="0"/>
              <w:jc w:val="both"/>
              <w:rPr>
                <w:sz w:val="28"/>
                <w:szCs w:val="28"/>
              </w:rPr>
            </w:pPr>
            <w:r w:rsidDel="00000000" w:rsidR="00000000" w:rsidRPr="00000000">
              <w:rPr>
                <w:rFonts w:ascii="Times New Roman" w:cs="Times New Roman" w:eastAsia="Times New Roman" w:hAnsi="Times New Roman"/>
                <w:sz w:val="28"/>
                <w:szCs w:val="28"/>
                <w:vertAlign w:val="baseline"/>
                <w:rtl w:val="0"/>
              </w:rPr>
              <w:t xml:space="preserve">Nguyên tắc chung khi giao kết hợp đồng vận tải</w:t>
            </w:r>
          </w:p>
          <w:p w:rsidR="00000000" w:rsidDel="00000000" w:rsidP="00000000" w:rsidRDefault="00000000" w:rsidRPr="00000000">
            <w:pPr>
              <w:numPr>
                <w:ilvl w:val="0"/>
                <w:numId w:val="1"/>
              </w:numPr>
              <w:spacing w:after="0" w:lineRule="auto"/>
              <w:ind w:left="720" w:hanging="360"/>
              <w:contextualSpacing w:val="0"/>
              <w:jc w:val="both"/>
              <w:rPr>
                <w:sz w:val="28"/>
                <w:szCs w:val="28"/>
              </w:rPr>
            </w:pPr>
            <w:r w:rsidDel="00000000" w:rsidR="00000000" w:rsidRPr="00000000">
              <w:rPr>
                <w:rFonts w:ascii="Times New Roman" w:cs="Times New Roman" w:eastAsia="Times New Roman" w:hAnsi="Times New Roman"/>
                <w:sz w:val="28"/>
                <w:szCs w:val="28"/>
                <w:vertAlign w:val="baseline"/>
                <w:rtl w:val="0"/>
              </w:rPr>
              <w:t xml:space="preserve">Nội dung hợp đồng vận tải</w:t>
            </w:r>
          </w:p>
        </w:tc>
        <w:tc>
          <w:tcPr>
            <w:vAlign w:val="top"/>
          </w:tcPr>
          <w:p w:rsidR="00000000" w:rsidDel="00000000" w:rsidP="00000000" w:rsidRDefault="00000000" w:rsidRPr="00000000">
            <w:pPr>
              <w:contextualSpacing w:val="0"/>
              <w:rPr>
                <w:rFonts w:ascii="Times New Roman" w:cs="Times New Roman" w:eastAsia="Times New Roman" w:hAnsi="Times New Roman"/>
                <w:sz w:val="28"/>
                <w:szCs w:val="28"/>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Times New Roman" w:cs="Times New Roman" w:eastAsia="Times New Roman" w:hAnsi="Times New Roman"/>
                <w:b w:val="0"/>
                <w:smallCaps w:val="0"/>
                <w:sz w:val="28"/>
                <w:szCs w:val="28"/>
                <w:vertAlign w:val="baseline"/>
              </w:rPr>
            </w:pPr>
            <w:r w:rsidDel="00000000" w:rsidR="00000000" w:rsidRPr="00000000">
              <w:rPr>
                <w:rFonts w:ascii="Times New Roman" w:cs="Times New Roman" w:eastAsia="Times New Roman" w:hAnsi="Times New Roman"/>
                <w:b w:val="1"/>
                <w:smallCaps w:val="1"/>
                <w:sz w:val="28"/>
                <w:szCs w:val="28"/>
                <w:vertAlign w:val="baseline"/>
                <w:rtl w:val="0"/>
              </w:rPr>
              <w:t xml:space="preserve">2.TRÁCH NHIỆM XẾP DỠ HÀNG HÓA</w:t>
            </w:r>
            <w:r w:rsidDel="00000000" w:rsidR="00000000" w:rsidRPr="00000000">
              <w:rPr>
                <w:rtl w:val="0"/>
              </w:rPr>
            </w:r>
          </w:p>
        </w:tc>
        <w:tc>
          <w:tcPr>
            <w:vAlign w:val="top"/>
          </w:tcPr>
          <w:p w:rsidR="00000000" w:rsidDel="00000000" w:rsidP="00000000" w:rsidRDefault="00000000" w:rsidRPr="00000000">
            <w:pPr>
              <w:numPr>
                <w:ilvl w:val="0"/>
                <w:numId w:val="2"/>
              </w:numPr>
              <w:spacing w:before="120" w:lineRule="auto"/>
              <w:ind w:left="720" w:hanging="360"/>
              <w:contextualSpacing w:val="0"/>
              <w:jc w:val="both"/>
              <w:rPr>
                <w:sz w:val="28"/>
                <w:szCs w:val="28"/>
              </w:rPr>
            </w:pPr>
            <w:r w:rsidDel="00000000" w:rsidR="00000000" w:rsidRPr="00000000">
              <w:rPr>
                <w:rFonts w:ascii="Times New Roman" w:cs="Times New Roman" w:eastAsia="Times New Roman" w:hAnsi="Times New Roman"/>
                <w:sz w:val="28"/>
                <w:szCs w:val="28"/>
                <w:vertAlign w:val="baseline"/>
                <w:rtl w:val="0"/>
              </w:rPr>
              <w:t xml:space="preserve">Hàng hóa vận chuyển bằng đường sắt do doanh nghiệp thực hiện xếp, dỡ trừ khi hợp đồng vận tải có quy định khác (</w:t>
            </w:r>
            <w:r w:rsidDel="00000000" w:rsidR="00000000" w:rsidRPr="00000000">
              <w:rPr>
                <w:rFonts w:ascii="Times New Roman" w:cs="Times New Roman" w:eastAsia="Times New Roman" w:hAnsi="Times New Roman"/>
                <w:b w:val="1"/>
                <w:sz w:val="28"/>
                <w:szCs w:val="28"/>
                <w:vertAlign w:val="baseline"/>
                <w:rtl w:val="0"/>
              </w:rPr>
              <w:t xml:space="preserve">bỏ</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i w:val="1"/>
                <w:sz w:val="28"/>
                <w:szCs w:val="28"/>
                <w:vertAlign w:val="baseline"/>
                <w:rtl w:val="0"/>
              </w:rPr>
              <w:t xml:space="preserve">quy định phân biệt trách nhiệm</w:t>
            </w:r>
            <w:r w:rsidDel="00000000" w:rsidR="00000000" w:rsidRPr="00000000">
              <w:rPr>
                <w:rFonts w:ascii="Times New Roman" w:cs="Times New Roman" w:eastAsia="Times New Roman" w:hAnsi="Times New Roman"/>
                <w:sz w:val="28"/>
                <w:szCs w:val="28"/>
                <w:vertAlign w:val="baseline"/>
                <w:rtl w:val="0"/>
              </w:rPr>
              <w:t xml:space="preserve"> xếp dỡ đối với hàng lẻ hay hàng nguyên toa).</w:t>
            </w:r>
          </w:p>
          <w:p w:rsidR="00000000" w:rsidDel="00000000" w:rsidP="00000000" w:rsidRDefault="00000000" w:rsidRPr="00000000">
            <w:pPr>
              <w:numPr>
                <w:ilvl w:val="0"/>
                <w:numId w:val="2"/>
              </w:numPr>
              <w:spacing w:before="120" w:lineRule="auto"/>
              <w:ind w:left="720" w:hanging="360"/>
              <w:contextualSpacing w:val="0"/>
              <w:jc w:val="both"/>
              <w:rPr>
                <w:sz w:val="28"/>
                <w:szCs w:val="28"/>
              </w:rPr>
            </w:pPr>
            <w:r w:rsidDel="00000000" w:rsidR="00000000" w:rsidRPr="00000000">
              <w:rPr>
                <w:rFonts w:ascii="Times New Roman" w:cs="Times New Roman" w:eastAsia="Times New Roman" w:hAnsi="Times New Roman"/>
                <w:sz w:val="28"/>
                <w:szCs w:val="28"/>
                <w:vertAlign w:val="baseline"/>
                <w:rtl w:val="0"/>
              </w:rPr>
              <w:t xml:space="preserve">Người thuê vận tải trả chi phí xếp dỡ &amp; chi phí phát sinh (nếu có)</w:t>
            </w:r>
          </w:p>
        </w:tc>
        <w:tc>
          <w:tcPr>
            <w:vAlign w:val="top"/>
          </w:tcPr>
          <w:p w:rsidR="00000000" w:rsidDel="00000000" w:rsidP="00000000" w:rsidRDefault="00000000" w:rsidRPr="00000000">
            <w:pPr>
              <w:contextualSpacing w:val="0"/>
              <w:rPr>
                <w:rFonts w:ascii="Times New Roman" w:cs="Times New Roman" w:eastAsia="Times New Roman" w:hAnsi="Times New Roman"/>
                <w:sz w:val="28"/>
                <w:szCs w:val="28"/>
                <w:vertAlign w:val="baseline"/>
              </w:rPr>
            </w:pPr>
            <w:r w:rsidDel="00000000" w:rsidR="00000000" w:rsidRPr="00000000">
              <w:rPr>
                <w:rtl w:val="0"/>
              </w:rPr>
            </w:r>
          </w:p>
        </w:tc>
      </w:tr>
      <w:tr>
        <w:tc>
          <w:tcPr>
            <w:vAlign w:val="top"/>
          </w:tcPr>
          <w:p w:rsidR="00000000" w:rsidDel="00000000" w:rsidP="00000000" w:rsidRDefault="00000000" w:rsidRPr="00000000">
            <w:pPr>
              <w:tabs>
                <w:tab w:val="left" w:pos="142"/>
              </w:tabs>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3.KỲ HẠN VẬN CHUYỂN</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Bổ sung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quy định: Điều 9.3. Thời gian chạy trên đường được tính từ 0 (không) giờ sau ngày doanh nghiệp nhận chở và được quy định như sau:</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a) Hàng nguyên toa: Cứ 300 km hoặc không đủ 300 km tính là 01 ngày;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(TT 83/2014/TT-BGTVT chỉ quy định điểm b khoản này, nay bổ sung cho đủ) </w:t>
            </w:r>
          </w:p>
        </w:tc>
        <w:tc>
          <w:tcPr>
            <w:vAlign w:val="top"/>
          </w:tcPr>
          <w:p w:rsidR="00000000" w:rsidDel="00000000" w:rsidP="00000000" w:rsidRDefault="00000000" w:rsidRPr="00000000">
            <w:pPr>
              <w:contextualSpacing w:val="0"/>
              <w:rPr>
                <w:rFonts w:ascii="Times New Roman" w:cs="Times New Roman" w:eastAsia="Times New Roman" w:hAnsi="Times New Roman"/>
                <w:sz w:val="28"/>
                <w:szCs w:val="28"/>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4. TIỀN PHẠT</w:t>
            </w: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Sửa đổi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Tiền phạt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Chi phí phát sinh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các quy định về: Kỳ hạn vận chuyển; Kỳ hạn nhận hàng; Khai sai tên hàng hóa; Hàng xếp sai trọng lượng, xếp quá tải.</w:t>
            </w:r>
          </w:p>
        </w:tc>
        <w:tc>
          <w:tcPr>
            <w:vAlign w:val="top"/>
          </w:tcPr>
          <w:p w:rsidR="00000000" w:rsidDel="00000000" w:rsidP="00000000" w:rsidRDefault="00000000" w:rsidRPr="00000000">
            <w:pPr>
              <w:contextualSpacing w:val="0"/>
              <w:rPr>
                <w:rFonts w:ascii="Times New Roman" w:cs="Times New Roman" w:eastAsia="Times New Roman" w:hAnsi="Times New Roman"/>
                <w:sz w:val="28"/>
                <w:szCs w:val="28"/>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5. CƯỚC VẬN TẢI VÀ CÁC CHI PHÍ KHÁC</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Giá vận tải hàng hóa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phải được công bố công khai trước khi áp dụng 05 ngày.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 vận tải hành khách, hành lý, hàng hóa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trên đường sắt quốc gia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doanh nghiệp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quyết định.</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 vận tải hành khách, hành lý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trên đường sắt đô thị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UBND Tỉnh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quy định.</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 vận tải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trên đường sắt chuyên dùng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doanh nghiệp quyết định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quy định tại Chương VI Thông tư 83/2014/TT-BGTVT về Cước vận tải và Các chi phí khác, bao gồm các nội dung: Cước vận tải và các chi phí khác; Bậc cước vận tải; Trọng lượng tính cước vận tải; khoảng cách tính cước vận tải; tiền dồn toa xe; Các chi phí khác.</w:t>
            </w:r>
          </w:p>
        </w:tc>
        <w:tc>
          <w:tcPr>
            <w:vAlign w:val="top"/>
          </w:tcPr>
          <w:p w:rsidR="00000000" w:rsidDel="00000000" w:rsidP="00000000" w:rsidRDefault="00000000" w:rsidRPr="00000000">
            <w:pPr>
              <w:contextualSpacing w:val="0"/>
              <w:rPr>
                <w:rFonts w:ascii="Times New Roman" w:cs="Times New Roman" w:eastAsia="Times New Roman" w:hAnsi="Times New Roman"/>
                <w:sz w:val="28"/>
                <w:szCs w:val="28"/>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6.THƯỞNG, PHẠT VÀ THANH TOÁN</w:t>
            </w:r>
            <w:r w:rsidDel="00000000" w:rsidR="00000000" w:rsidRPr="00000000">
              <w:rPr>
                <w:rtl w:val="0"/>
              </w:rPr>
            </w:r>
          </w:p>
        </w:tc>
        <w:tc>
          <w:tcPr>
            <w:vAlign w:val="top"/>
          </w:tcPr>
          <w:p w:rsidR="00000000" w:rsidDel="00000000" w:rsidP="00000000" w:rsidRDefault="00000000" w:rsidRPr="00000000">
            <w:pPr>
              <w:spacing w:after="0" w:lineRule="auto"/>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Bỏ</w:t>
            </w:r>
            <w:r w:rsidDel="00000000" w:rsidR="00000000" w:rsidRPr="00000000">
              <w:rPr>
                <w:rFonts w:ascii="Times New Roman" w:cs="Times New Roman" w:eastAsia="Times New Roman" w:hAnsi="Times New Roman"/>
                <w:sz w:val="28"/>
                <w:szCs w:val="28"/>
                <w:vertAlign w:val="baseline"/>
                <w:rtl w:val="0"/>
              </w:rPr>
              <w:t xml:space="preserve"> các quy định tại Chương VII Thông tư 83/2014/TT-BGTVT về Thưởng, Phạt và Thanh toán, bao gồm cái nội dung: Thưởng, phạt; Đồng tiền và hình thức thanh toán; Quy định về thanh toán; Điều chỉnh cước vận tải và các chi phí khác.</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Quy định về thanh toán trong Dự thảo Thông tư thay thế Thông tư 83/2014/TT-BGTVT, được quy định lại trong Dự thả tại các Điều 60, 61, 62 về Trách nhiệm của doanh nghiệp, người thuê vận tải và người nhận hàng.</w:t>
            </w:r>
          </w:p>
        </w:tc>
        <w:tc>
          <w:tcPr>
            <w:vAlign w:val="top"/>
          </w:tcPr>
          <w:p w:rsidR="00000000" w:rsidDel="00000000" w:rsidP="00000000" w:rsidRDefault="00000000" w:rsidRPr="00000000">
            <w:pPr>
              <w:contextualSpacing w:val="0"/>
              <w:rPr>
                <w:rFonts w:ascii="Times New Roman" w:cs="Times New Roman" w:eastAsia="Times New Roman" w:hAnsi="Times New Roman"/>
                <w:sz w:val="28"/>
                <w:szCs w:val="28"/>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7. BÁO CÁO CÔNG TÁC</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40" w:right="0" w:hanging="3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 liệu thống kê công tác vận tải hàng hóa do doanh nghiệp kinh doanh vận tải đường sắt báo cáo về Cục Đường sắt Việt Nam phải được thực hiện theo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định kỳ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(hàng tháng, quý, năm) hoặc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đột xuất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yêu cầu.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40" w:right="0" w:hanging="3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Thời gian báo cáo: trước ngày 10 của tháng liền kề của kỳ báo cáo.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40" w:right="0" w:hanging="3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Nội dung, biểu mẫu báo cáo theo phụ lục đính kèm.</w:t>
            </w:r>
          </w:p>
        </w:tc>
        <w:tc>
          <w:tcPr>
            <w:vAlign w:val="top"/>
          </w:tcPr>
          <w:p w:rsidR="00000000" w:rsidDel="00000000" w:rsidP="00000000" w:rsidRDefault="00000000" w:rsidRPr="00000000">
            <w:pPr>
              <w:contextualSpacing w:val="0"/>
              <w:rPr>
                <w:rFonts w:ascii="Times New Roman" w:cs="Times New Roman" w:eastAsia="Times New Roman" w:hAnsi="Times New Roman"/>
                <w:sz w:val="28"/>
                <w:szCs w:val="28"/>
                <w:vertAlign w:val="baseline"/>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sectPr>
      <w:pgSz w:h="11907" w:w="16839"/>
      <w:pgMar w:bottom="450" w:top="360" w:left="720" w:right="72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