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2649" w:rsidRDefault="00FB6254" w:rsidP="00FD6B3C">
      <w:pPr>
        <w:tabs>
          <w:tab w:val="left" w:pos="8370"/>
        </w:tabs>
        <w:jc w:val="center"/>
        <w:rPr>
          <w:rFonts w:eastAsia="Calibri"/>
          <w:b/>
          <w:spacing w:val="-4"/>
        </w:rPr>
      </w:pPr>
      <w:r w:rsidRPr="002D2649">
        <w:rPr>
          <w:rFonts w:eastAsia="Calibri"/>
          <w:b/>
          <w:spacing w:val="-4"/>
        </w:rPr>
        <w:t xml:space="preserve">NỘI DUNG GỢI Ý GÓP Ý DỰ THẢO </w:t>
      </w:r>
      <w:r w:rsidR="00FD6B3C" w:rsidRPr="002D2649">
        <w:rPr>
          <w:rFonts w:eastAsia="Calibri"/>
          <w:b/>
          <w:spacing w:val="-4"/>
        </w:rPr>
        <w:t xml:space="preserve">THÔNG TƯ QUY ĐỊNH VỀ HỆ THỐNG KIỂM SOÁT NỘI BỘ CỦA TỔ CHỨC TÍN DỤNG, </w:t>
      </w:r>
    </w:p>
    <w:p w:rsidR="00FB6254" w:rsidRDefault="00FD6B3C" w:rsidP="00FD6B3C">
      <w:pPr>
        <w:tabs>
          <w:tab w:val="left" w:pos="8370"/>
        </w:tabs>
        <w:jc w:val="center"/>
        <w:rPr>
          <w:rFonts w:eastAsia="Calibri"/>
          <w:b/>
          <w:spacing w:val="-4"/>
        </w:rPr>
      </w:pPr>
      <w:r w:rsidRPr="002D2649">
        <w:rPr>
          <w:rFonts w:eastAsia="Calibri"/>
          <w:b/>
          <w:spacing w:val="-4"/>
        </w:rPr>
        <w:t>CHI NHÁNH NGÂN HÀNG NƯỚC NGOÀI</w:t>
      </w:r>
    </w:p>
    <w:p w:rsidR="002D2649" w:rsidRPr="002D2649" w:rsidRDefault="002D2649" w:rsidP="00FD6B3C">
      <w:pPr>
        <w:tabs>
          <w:tab w:val="left" w:pos="8370"/>
        </w:tabs>
        <w:jc w:val="center"/>
        <w:rPr>
          <w:rFonts w:eastAsia="Calibri"/>
          <w:i/>
          <w:spacing w:val="-4"/>
        </w:rPr>
      </w:pPr>
      <w:r>
        <w:rPr>
          <w:rFonts w:eastAsia="Calibri"/>
          <w:i/>
          <w:spacing w:val="-4"/>
        </w:rPr>
        <w:t>Tập trung các nội dung mới so với Thông tư 44/2011/TT-NHNN</w:t>
      </w:r>
    </w:p>
    <w:p w:rsidR="00FB6254" w:rsidRPr="002D2649" w:rsidRDefault="00FB6254" w:rsidP="00FB6254">
      <w:pPr>
        <w:tabs>
          <w:tab w:val="left" w:pos="8415"/>
        </w:tabs>
        <w:spacing w:line="240" w:lineRule="auto"/>
        <w:ind w:firstLine="8190"/>
        <w:jc w:val="left"/>
        <w:rPr>
          <w:rFonts w:eastAsia="Calibri"/>
          <w:b/>
        </w:rPr>
      </w:pPr>
    </w:p>
    <w:p w:rsidR="00FB6254" w:rsidRPr="002D2649" w:rsidRDefault="00FB6254" w:rsidP="00FB6254">
      <w:pPr>
        <w:tabs>
          <w:tab w:val="left" w:pos="8415"/>
        </w:tabs>
        <w:spacing w:line="240" w:lineRule="auto"/>
        <w:ind w:firstLine="8190"/>
        <w:jc w:val="left"/>
        <w:rPr>
          <w:rFonts w:eastAsia="Calibri"/>
          <w:b/>
        </w:rPr>
      </w:pPr>
      <w:r w:rsidRPr="002D2649">
        <w:rPr>
          <w:rFonts w:eastAsia="Calibri"/>
          <w:b/>
        </w:rPr>
        <w:t>Đơn vị góp ý: ……………………………………………………</w:t>
      </w:r>
    </w:p>
    <w:p w:rsidR="00FB6254" w:rsidRPr="002D2649" w:rsidRDefault="00FB6254" w:rsidP="00FB6254">
      <w:pPr>
        <w:tabs>
          <w:tab w:val="left" w:pos="9840"/>
        </w:tabs>
        <w:spacing w:line="264" w:lineRule="auto"/>
        <w:jc w:val="left"/>
        <w:rPr>
          <w:rFonts w:eastAsia="Calibri"/>
          <w:b/>
        </w:rPr>
      </w:pPr>
      <w:r w:rsidRPr="002D2649">
        <w:rPr>
          <w:rFonts w:eastAsia="Calibri"/>
          <w:b/>
        </w:rPr>
        <w:t>Góp ý có thể tập trung (nhưng không giới hạn) vào các vấn đề sau:</w:t>
      </w:r>
      <w:r w:rsidRPr="002D2649">
        <w:rPr>
          <w:rFonts w:eastAsia="Calibri"/>
          <w:b/>
        </w:rPr>
        <w:tab/>
      </w:r>
    </w:p>
    <w:p w:rsidR="00FB6254" w:rsidRPr="002D2649" w:rsidRDefault="00FB6254" w:rsidP="00FB6254">
      <w:pPr>
        <w:numPr>
          <w:ilvl w:val="0"/>
          <w:numId w:val="1"/>
        </w:numPr>
        <w:shd w:val="clear" w:color="auto" w:fill="FFFFFF"/>
        <w:tabs>
          <w:tab w:val="left" w:pos="360"/>
          <w:tab w:val="left" w:pos="1080"/>
        </w:tabs>
        <w:spacing w:after="200" w:line="264" w:lineRule="auto"/>
        <w:ind w:left="360"/>
        <w:contextualSpacing/>
        <w:jc w:val="left"/>
        <w:rPr>
          <w:rFonts w:eastAsia="Times New Roman"/>
        </w:rPr>
      </w:pPr>
      <w:r w:rsidRPr="002D2649">
        <w:rPr>
          <w:rFonts w:eastAsia="Times New Roman"/>
        </w:rPr>
        <w:t xml:space="preserve">Các nội dung quy định có </w:t>
      </w:r>
      <w:r w:rsidRPr="002D2649">
        <w:rPr>
          <w:rFonts w:eastAsia="Times New Roman"/>
          <w:b/>
          <w:u w:val="single"/>
        </w:rPr>
        <w:t>hợp lý</w:t>
      </w:r>
      <w:r w:rsidRPr="002D2649">
        <w:rPr>
          <w:rFonts w:eastAsia="Times New Roman"/>
        </w:rPr>
        <w:t xml:space="preserve"> không, nếu không, vui lòng nêu lý do;</w:t>
      </w:r>
    </w:p>
    <w:p w:rsidR="00FB6254" w:rsidRPr="002D2649" w:rsidRDefault="00FB6254" w:rsidP="00FB6254">
      <w:pPr>
        <w:numPr>
          <w:ilvl w:val="0"/>
          <w:numId w:val="1"/>
        </w:numPr>
        <w:shd w:val="clear" w:color="auto" w:fill="FFFFFF"/>
        <w:tabs>
          <w:tab w:val="left" w:pos="360"/>
          <w:tab w:val="left" w:pos="1080"/>
        </w:tabs>
        <w:spacing w:after="200" w:line="264" w:lineRule="auto"/>
        <w:contextualSpacing/>
        <w:jc w:val="left"/>
        <w:rPr>
          <w:rFonts w:eastAsia="Times New Roman"/>
        </w:rPr>
      </w:pPr>
      <w:r w:rsidRPr="002D2649">
        <w:rPr>
          <w:rFonts w:eastAsia="Times New Roman"/>
        </w:rPr>
        <w:t xml:space="preserve">Các vấn đề khác dự kiến phát sinh </w:t>
      </w:r>
      <w:r w:rsidRPr="002D2649">
        <w:rPr>
          <w:rFonts w:eastAsia="Times New Roman"/>
          <w:b/>
          <w:u w:val="single"/>
        </w:rPr>
        <w:t>vướng mắc</w:t>
      </w:r>
      <w:r w:rsidRPr="002D2649">
        <w:rPr>
          <w:rFonts w:eastAsia="Times New Roman"/>
        </w:rPr>
        <w:t xml:space="preserve"> khi văn bản được triển khai thực hiện;</w:t>
      </w:r>
    </w:p>
    <w:p w:rsidR="00FB6254" w:rsidRPr="002D2649" w:rsidRDefault="00FB6254" w:rsidP="00FB6254">
      <w:pPr>
        <w:numPr>
          <w:ilvl w:val="0"/>
          <w:numId w:val="1"/>
        </w:numPr>
        <w:shd w:val="clear" w:color="auto" w:fill="FFFFFF"/>
        <w:tabs>
          <w:tab w:val="left" w:pos="360"/>
          <w:tab w:val="left" w:pos="1080"/>
        </w:tabs>
        <w:spacing w:after="200" w:line="264" w:lineRule="auto"/>
        <w:ind w:left="360"/>
        <w:contextualSpacing/>
        <w:jc w:val="left"/>
        <w:rPr>
          <w:rFonts w:eastAsia="Times New Roman"/>
        </w:rPr>
      </w:pPr>
      <w:r w:rsidRPr="002D2649">
        <w:rPr>
          <w:rFonts w:eastAsia="Times New Roman"/>
          <w:b/>
          <w:u w:val="single"/>
        </w:rPr>
        <w:t>Đề xuất, kiến nghị</w:t>
      </w:r>
      <w:r w:rsidRPr="002D2649">
        <w:rPr>
          <w:rFonts w:eastAsia="Times New Roman"/>
        </w:rPr>
        <w:t xml:space="preserve"> nhằm hoàn thiện các quy định chưa phù hợp.</w:t>
      </w:r>
    </w:p>
    <w:p w:rsidR="00FB6254" w:rsidRPr="002D2649" w:rsidRDefault="00FB6254" w:rsidP="00FB6254">
      <w:pPr>
        <w:tabs>
          <w:tab w:val="left" w:pos="1080"/>
        </w:tabs>
        <w:spacing w:line="264" w:lineRule="auto"/>
        <w:rPr>
          <w:rFonts w:eastAsia="Calibri"/>
          <w:b/>
        </w:rPr>
      </w:pPr>
      <w:r w:rsidRPr="002D2649">
        <w:rPr>
          <w:rFonts w:eastAsia="Calibri"/>
          <w:b/>
        </w:rPr>
        <w:t xml:space="preserve">Phương thức góp ý: </w:t>
      </w:r>
      <w:proofErr w:type="gramStart"/>
      <w:r w:rsidRPr="002D2649">
        <w:rPr>
          <w:rFonts w:eastAsia="Calibri"/>
          <w:b/>
          <w:u w:val="single"/>
        </w:rPr>
        <w:t>theo</w:t>
      </w:r>
      <w:proofErr w:type="gramEnd"/>
      <w:r w:rsidRPr="002D2649">
        <w:rPr>
          <w:rFonts w:eastAsia="Calibri"/>
          <w:b/>
          <w:u w:val="single"/>
        </w:rPr>
        <w:t xml:space="preserve"> đường Công văn</w:t>
      </w:r>
      <w:r w:rsidRPr="002D2649">
        <w:rPr>
          <w:rFonts w:eastAsia="Calibri"/>
          <w:b/>
        </w:rPr>
        <w:t xml:space="preserve"> hoặc điền vào mẫu dưới đây. </w:t>
      </w:r>
    </w:p>
    <w:p w:rsidR="00FB6254" w:rsidRPr="002D2649" w:rsidRDefault="00FB6254" w:rsidP="00FB6254">
      <w:pPr>
        <w:tabs>
          <w:tab w:val="left" w:pos="90"/>
          <w:tab w:val="left" w:pos="1080"/>
        </w:tabs>
        <w:spacing w:line="264" w:lineRule="auto"/>
        <w:jc w:val="left"/>
        <w:rPr>
          <w:rFonts w:eastAsia="Calibri"/>
        </w:rPr>
      </w:pPr>
      <w:r w:rsidRPr="002D2649">
        <w:rPr>
          <w:rFonts w:eastAsia="Calibri"/>
        </w:rPr>
        <w:t xml:space="preserve">Để góp ý được đầy đủ và chính xác, rất mong Quý Doanh nghiệp/Hiệp hội </w:t>
      </w:r>
      <w:proofErr w:type="gramStart"/>
      <w:r w:rsidRPr="002D2649">
        <w:rPr>
          <w:rFonts w:eastAsia="Calibri"/>
        </w:rPr>
        <w:t>theo</w:t>
      </w:r>
      <w:proofErr w:type="gramEnd"/>
      <w:r w:rsidRPr="002D2649">
        <w:rPr>
          <w:rFonts w:eastAsia="Calibri"/>
        </w:rPr>
        <w:t xml:space="preserve"> dõi toàn văn Dự thảo trên website của VCCI tại địa chỉ: www.vibonline.com.vn - Mục Dự thảo.</w:t>
      </w:r>
    </w:p>
    <w:p w:rsidR="00FB6254" w:rsidRPr="002D2649" w:rsidRDefault="00FB6254" w:rsidP="00FB6254">
      <w:pPr>
        <w:tabs>
          <w:tab w:val="left" w:pos="90"/>
          <w:tab w:val="left" w:pos="1080"/>
        </w:tabs>
        <w:spacing w:line="240" w:lineRule="auto"/>
        <w:jc w:val="left"/>
        <w:rPr>
          <w:rFonts w:eastAsia="Calibri"/>
        </w:rPr>
      </w:pPr>
    </w:p>
    <w:tbl>
      <w:tblPr>
        <w:tblW w:w="1513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46"/>
        <w:gridCol w:w="10372"/>
        <w:gridCol w:w="2715"/>
      </w:tblGrid>
      <w:tr w:rsidR="00FB6254" w:rsidRPr="002D2649" w:rsidTr="00560DBF">
        <w:trPr>
          <w:trHeight w:val="577"/>
          <w:jc w:val="center"/>
        </w:trPr>
        <w:tc>
          <w:tcPr>
            <w:tcW w:w="2046" w:type="dxa"/>
            <w:shd w:val="clear" w:color="auto" w:fill="auto"/>
            <w:vAlign w:val="center"/>
          </w:tcPr>
          <w:p w:rsidR="00FB6254" w:rsidRPr="002D2649" w:rsidRDefault="00FB6254" w:rsidP="00FB6254">
            <w:pPr>
              <w:spacing w:line="252" w:lineRule="auto"/>
              <w:ind w:left="289"/>
              <w:jc w:val="center"/>
              <w:rPr>
                <w:rFonts w:eastAsia="Calibri"/>
                <w:b/>
              </w:rPr>
            </w:pPr>
            <w:r w:rsidRPr="002D2649">
              <w:rPr>
                <w:rFonts w:eastAsia="Calibri"/>
                <w:b/>
              </w:rPr>
              <w:t>VẤN ĐỀ</w:t>
            </w:r>
          </w:p>
        </w:tc>
        <w:tc>
          <w:tcPr>
            <w:tcW w:w="10372" w:type="dxa"/>
            <w:shd w:val="clear" w:color="auto" w:fill="auto"/>
            <w:vAlign w:val="center"/>
          </w:tcPr>
          <w:p w:rsidR="00FB6254" w:rsidRPr="002D2649" w:rsidRDefault="00FB6254" w:rsidP="00FB6254">
            <w:pPr>
              <w:spacing w:line="252" w:lineRule="auto"/>
              <w:jc w:val="center"/>
              <w:rPr>
                <w:rFonts w:eastAsia="Calibri"/>
                <w:b/>
              </w:rPr>
            </w:pPr>
            <w:r w:rsidRPr="002D2649">
              <w:rPr>
                <w:rFonts w:eastAsia="Calibri"/>
                <w:b/>
              </w:rPr>
              <w:t>NỘI DUNG DỰ THẢO</w:t>
            </w:r>
          </w:p>
        </w:tc>
        <w:tc>
          <w:tcPr>
            <w:tcW w:w="2715" w:type="dxa"/>
            <w:shd w:val="clear" w:color="auto" w:fill="auto"/>
            <w:vAlign w:val="center"/>
          </w:tcPr>
          <w:p w:rsidR="00FB6254" w:rsidRPr="002D2649" w:rsidRDefault="00FB6254" w:rsidP="00FB6254">
            <w:pPr>
              <w:spacing w:line="252" w:lineRule="auto"/>
              <w:jc w:val="center"/>
              <w:rPr>
                <w:rFonts w:eastAsia="Calibri"/>
                <w:b/>
              </w:rPr>
            </w:pPr>
            <w:r w:rsidRPr="002D2649">
              <w:rPr>
                <w:rFonts w:eastAsia="Calibri"/>
                <w:b/>
              </w:rPr>
              <w:t>Ý KIẾN GÓP Ý</w:t>
            </w:r>
          </w:p>
          <w:p w:rsidR="00FB6254" w:rsidRPr="002D2649" w:rsidRDefault="00FB6254" w:rsidP="00FB6254">
            <w:pPr>
              <w:spacing w:line="252" w:lineRule="auto"/>
              <w:jc w:val="center"/>
              <w:rPr>
                <w:rFonts w:eastAsia="Calibri"/>
                <w:b/>
              </w:rPr>
            </w:pPr>
            <w:r w:rsidRPr="002D2649">
              <w:rPr>
                <w:rFonts w:eastAsia="Calibri"/>
                <w:b/>
              </w:rPr>
              <w:t>(Đồng ý/ không đồng ý? Lý do?)</w:t>
            </w:r>
          </w:p>
        </w:tc>
      </w:tr>
      <w:tr w:rsidR="00FB6254" w:rsidRPr="002D2649" w:rsidTr="00603110">
        <w:trPr>
          <w:trHeight w:val="516"/>
          <w:jc w:val="center"/>
        </w:trPr>
        <w:tc>
          <w:tcPr>
            <w:tcW w:w="2046" w:type="dxa"/>
            <w:shd w:val="clear" w:color="auto" w:fill="auto"/>
            <w:vAlign w:val="center"/>
          </w:tcPr>
          <w:p w:rsidR="00705741" w:rsidRPr="002D2649" w:rsidRDefault="00705741" w:rsidP="00705741">
            <w:pPr>
              <w:spacing w:before="100" w:after="100"/>
            </w:pPr>
            <w:r w:rsidRPr="002D2649">
              <w:rPr>
                <w:b/>
                <w:bCs/>
              </w:rPr>
              <w:t xml:space="preserve">Đối tượng áp dụng (Điều 1) </w:t>
            </w:r>
          </w:p>
          <w:p w:rsidR="00FB6254" w:rsidRPr="002D2649" w:rsidRDefault="00FB6254" w:rsidP="00554BE5">
            <w:pPr>
              <w:rPr>
                <w:rFonts w:eastAsia="Calibri"/>
                <w:b/>
                <w:bCs/>
              </w:rPr>
            </w:pPr>
          </w:p>
        </w:tc>
        <w:tc>
          <w:tcPr>
            <w:tcW w:w="10372" w:type="dxa"/>
            <w:shd w:val="clear" w:color="auto" w:fill="auto"/>
            <w:vAlign w:val="center"/>
          </w:tcPr>
          <w:p w:rsidR="00C04378" w:rsidRPr="002D2649" w:rsidRDefault="00705741" w:rsidP="002D2649">
            <w:pPr>
              <w:spacing w:before="100" w:after="100"/>
              <w:rPr>
                <w:spacing w:val="-2"/>
              </w:rPr>
            </w:pPr>
            <w:r w:rsidRPr="002D2649">
              <w:rPr>
                <w:spacing w:val="-2"/>
              </w:rPr>
              <w:t>Ngân hàng thương mại nhà nước, ngân hàng thương mại cổ phần, ngân hàng hợp tác xã, ngân hàng liên doanh, ngân hàng 100% vốn nước ngoài; Công ty tài chính, công ty cho thuê tài chính.</w:t>
            </w:r>
          </w:p>
        </w:tc>
        <w:tc>
          <w:tcPr>
            <w:tcW w:w="2715" w:type="dxa"/>
            <w:shd w:val="clear" w:color="auto" w:fill="auto"/>
          </w:tcPr>
          <w:p w:rsidR="00FB6254" w:rsidRPr="002D2649" w:rsidRDefault="00FB6254" w:rsidP="00FB6254">
            <w:pPr>
              <w:spacing w:line="252" w:lineRule="auto"/>
              <w:rPr>
                <w:rFonts w:eastAsia="Calibri"/>
                <w:lang w:val="vi-VN"/>
              </w:rPr>
            </w:pPr>
          </w:p>
        </w:tc>
      </w:tr>
      <w:tr w:rsidR="00FB6254" w:rsidRPr="002D2649" w:rsidTr="00554BE5">
        <w:trPr>
          <w:trHeight w:val="310"/>
          <w:jc w:val="center"/>
        </w:trPr>
        <w:tc>
          <w:tcPr>
            <w:tcW w:w="2046" w:type="dxa"/>
            <w:shd w:val="clear" w:color="auto" w:fill="auto"/>
            <w:vAlign w:val="center"/>
          </w:tcPr>
          <w:p w:rsidR="00FB6254" w:rsidRDefault="00F2675C" w:rsidP="00554BE5">
            <w:pPr>
              <w:spacing w:line="252" w:lineRule="auto"/>
              <w:ind w:left="147"/>
              <w:jc w:val="center"/>
              <w:rPr>
                <w:rFonts w:eastAsia="Calibri"/>
                <w:b/>
              </w:rPr>
            </w:pPr>
            <w:r w:rsidRPr="002D2649">
              <w:rPr>
                <w:rFonts w:eastAsia="Calibri"/>
                <w:b/>
              </w:rPr>
              <w:t>Giải thích từ ngữ (Điều 3)</w:t>
            </w:r>
          </w:p>
          <w:p w:rsidR="002D2649" w:rsidRPr="002D2649" w:rsidRDefault="002D2649" w:rsidP="002D2649">
            <w:pPr>
              <w:spacing w:line="252" w:lineRule="auto"/>
              <w:rPr>
                <w:rFonts w:eastAsia="Calibri"/>
                <w:i/>
                <w:lang w:val="vi-VN"/>
              </w:rPr>
            </w:pPr>
          </w:p>
        </w:tc>
        <w:tc>
          <w:tcPr>
            <w:tcW w:w="10372" w:type="dxa"/>
            <w:shd w:val="clear" w:color="auto" w:fill="auto"/>
            <w:vAlign w:val="center"/>
          </w:tcPr>
          <w:p w:rsidR="005B0B90" w:rsidRPr="002D2649" w:rsidRDefault="00F2675C" w:rsidP="009E436B">
            <w:pPr>
              <w:spacing w:line="312" w:lineRule="auto"/>
              <w:rPr>
                <w:rFonts w:eastAsia="Calibri"/>
              </w:rPr>
            </w:pPr>
            <w:r w:rsidRPr="002D2649">
              <w:rPr>
                <w:rFonts w:eastAsia="Calibri"/>
              </w:rPr>
              <w:t xml:space="preserve">Giám sát của quản lý cấp cao, văn hóa kiểm soát, vốn kinh tế, kiểm tra sức chịu đựng, khẩu vị rủi ro, trạng thái rủi ro, rủi ro thị trường, rủi ro thanh khoản, rủi ro hoạt động…mức độ trọng yếu, bộ phận kiểm soát nội bộ, bộ phận quản lý rủi ro, </w:t>
            </w:r>
            <w:r w:rsidR="007E5FE5" w:rsidRPr="002D2649">
              <w:rPr>
                <w:rFonts w:eastAsia="Calibri"/>
              </w:rPr>
              <w:t>giao dịch muộn, sổ kinh doanh…</w:t>
            </w:r>
          </w:p>
        </w:tc>
        <w:tc>
          <w:tcPr>
            <w:tcW w:w="2715" w:type="dxa"/>
            <w:shd w:val="clear" w:color="auto" w:fill="auto"/>
          </w:tcPr>
          <w:p w:rsidR="00FB6254" w:rsidRPr="002D2649" w:rsidRDefault="00FB6254" w:rsidP="00FB6254">
            <w:pPr>
              <w:spacing w:line="252" w:lineRule="auto"/>
              <w:rPr>
                <w:rFonts w:eastAsia="Calibri"/>
                <w:lang w:val="sv-SE"/>
              </w:rPr>
            </w:pPr>
          </w:p>
        </w:tc>
      </w:tr>
      <w:tr w:rsidR="00AA11D8" w:rsidRPr="002D2649" w:rsidTr="00554BE5">
        <w:trPr>
          <w:trHeight w:val="310"/>
          <w:jc w:val="center"/>
        </w:trPr>
        <w:tc>
          <w:tcPr>
            <w:tcW w:w="2046" w:type="dxa"/>
            <w:shd w:val="clear" w:color="auto" w:fill="auto"/>
            <w:vAlign w:val="center"/>
          </w:tcPr>
          <w:p w:rsidR="00AA11D8" w:rsidRPr="002D2649" w:rsidRDefault="002D2649" w:rsidP="00554BE5">
            <w:pPr>
              <w:spacing w:line="252" w:lineRule="auto"/>
              <w:ind w:left="147"/>
              <w:jc w:val="center"/>
              <w:rPr>
                <w:rFonts w:eastAsia="Calibri"/>
                <w:b/>
              </w:rPr>
            </w:pPr>
            <w:r>
              <w:rPr>
                <w:rFonts w:eastAsia="Calibri"/>
                <w:b/>
              </w:rPr>
              <w:t>Báo cáo NHNN về hệ thống kiểm soát nội bộ</w:t>
            </w:r>
          </w:p>
        </w:tc>
        <w:tc>
          <w:tcPr>
            <w:tcW w:w="10372" w:type="dxa"/>
            <w:shd w:val="clear" w:color="auto" w:fill="auto"/>
            <w:vAlign w:val="center"/>
          </w:tcPr>
          <w:p w:rsidR="00AA11D8" w:rsidRPr="002D2649" w:rsidRDefault="008679F2" w:rsidP="00554BE5">
            <w:pPr>
              <w:spacing w:line="312" w:lineRule="auto"/>
              <w:rPr>
                <w:rFonts w:eastAsia="Calibri"/>
              </w:rPr>
            </w:pPr>
            <w:r w:rsidRPr="002D2649">
              <w:rPr>
                <w:rFonts w:eastAsia="Calibri"/>
              </w:rPr>
              <w:t>Lưu trữ tài liệu về hệ thống kiểm soát nội bộ; Báo cáo NHNN về hệ thống kiểm soát nội bộ, bao gồm các báo cáo: báo cáo kết quả tự kiểm tra, đánh giá kiểm soát nội bộ &amp; báo cáo đánh giá nội bộ mức độ đủ vốn; báo cáo quản lý rủi ro; báo cáo kiểm toán nội bộ</w:t>
            </w:r>
            <w:r w:rsidR="002D2649">
              <w:rPr>
                <w:rFonts w:eastAsia="Calibri"/>
              </w:rPr>
              <w:t xml:space="preserve"> (Điều 6)</w:t>
            </w:r>
          </w:p>
        </w:tc>
        <w:tc>
          <w:tcPr>
            <w:tcW w:w="2715" w:type="dxa"/>
            <w:shd w:val="clear" w:color="auto" w:fill="auto"/>
          </w:tcPr>
          <w:p w:rsidR="00AA11D8" w:rsidRPr="002D2649" w:rsidRDefault="00AA11D8" w:rsidP="00FB6254">
            <w:pPr>
              <w:spacing w:line="252" w:lineRule="auto"/>
              <w:rPr>
                <w:rFonts w:eastAsia="Calibri"/>
                <w:lang w:val="sv-SE"/>
              </w:rPr>
            </w:pPr>
          </w:p>
        </w:tc>
      </w:tr>
      <w:tr w:rsidR="00FB6254" w:rsidRPr="002D2649" w:rsidTr="00554BE5">
        <w:trPr>
          <w:trHeight w:val="2279"/>
          <w:jc w:val="center"/>
        </w:trPr>
        <w:tc>
          <w:tcPr>
            <w:tcW w:w="2046" w:type="dxa"/>
            <w:shd w:val="clear" w:color="auto" w:fill="auto"/>
            <w:vAlign w:val="center"/>
          </w:tcPr>
          <w:p w:rsidR="00FB6254" w:rsidRPr="002D2649" w:rsidRDefault="008679F2" w:rsidP="00554BE5">
            <w:pPr>
              <w:spacing w:line="252" w:lineRule="auto"/>
              <w:ind w:left="147"/>
              <w:jc w:val="center"/>
              <w:rPr>
                <w:rFonts w:eastAsia="Calibri"/>
                <w:b/>
              </w:rPr>
            </w:pPr>
            <w:r w:rsidRPr="002D2649">
              <w:rPr>
                <w:rFonts w:eastAsia="Calibri"/>
                <w:b/>
              </w:rPr>
              <w:lastRenderedPageBreak/>
              <w:t>Giám sát của quản lý cấp cao</w:t>
            </w:r>
            <w:r w:rsidR="0010697E" w:rsidRPr="002D2649">
              <w:rPr>
                <w:rFonts w:eastAsia="Calibri"/>
                <w:b/>
              </w:rPr>
              <w:t xml:space="preserve"> </w:t>
            </w:r>
          </w:p>
        </w:tc>
        <w:tc>
          <w:tcPr>
            <w:tcW w:w="10372" w:type="dxa"/>
            <w:shd w:val="clear" w:color="auto" w:fill="auto"/>
            <w:vAlign w:val="center"/>
          </w:tcPr>
          <w:p w:rsidR="005B0B90" w:rsidRPr="002D2649" w:rsidRDefault="008679F2" w:rsidP="008679F2">
            <w:pPr>
              <w:shd w:val="clear" w:color="auto" w:fill="FFFFFF"/>
              <w:spacing w:line="312" w:lineRule="auto"/>
              <w:rPr>
                <w:b/>
                <w:bCs/>
                <w:lang w:val="nl-NL"/>
              </w:rPr>
            </w:pPr>
            <w:r w:rsidRPr="002D2649">
              <w:rPr>
                <w:b/>
                <w:bCs/>
                <w:lang w:val="nl-NL"/>
              </w:rPr>
              <w:t>Yêu cầu đối với giám sát của quản lý cấp cao</w:t>
            </w:r>
          </w:p>
          <w:p w:rsidR="008679F2" w:rsidRPr="002D2649" w:rsidRDefault="008679F2" w:rsidP="008679F2">
            <w:pPr>
              <w:shd w:val="clear" w:color="auto" w:fill="FFFFFF"/>
              <w:spacing w:line="312" w:lineRule="auto"/>
              <w:rPr>
                <w:b/>
                <w:bCs/>
                <w:lang w:val="nl-NL"/>
              </w:rPr>
            </w:pPr>
            <w:r w:rsidRPr="002D2649">
              <w:rPr>
                <w:b/>
                <w:bCs/>
                <w:lang w:val="nl-NL"/>
              </w:rPr>
              <w:t>Cơ cấu tổ chức giám sát của quản lý cấp cao</w:t>
            </w:r>
          </w:p>
          <w:p w:rsidR="008679F2" w:rsidRPr="002D2649" w:rsidRDefault="008679F2" w:rsidP="002D2649">
            <w:pPr>
              <w:spacing w:before="100" w:after="100"/>
              <w:rPr>
                <w:b/>
                <w:bCs/>
                <w:lang w:val="nl-NL"/>
              </w:rPr>
            </w:pPr>
            <w:r w:rsidRPr="002D2649">
              <w:rPr>
                <w:b/>
                <w:bCs/>
                <w:lang w:val="nl-NL"/>
              </w:rPr>
              <w:t xml:space="preserve">Giám sát của quản lý cấp cao đối với kiểm soát nội bộ/đối với quản lý rủi ro/đối với đánh giá nội bộ về mức đủ vốn/đối với kiểm toán nội bộ  </w:t>
            </w:r>
          </w:p>
        </w:tc>
        <w:tc>
          <w:tcPr>
            <w:tcW w:w="2715" w:type="dxa"/>
            <w:shd w:val="clear" w:color="auto" w:fill="auto"/>
          </w:tcPr>
          <w:p w:rsidR="00FB6254" w:rsidRPr="002D2649" w:rsidRDefault="00FB6254" w:rsidP="00FB6254">
            <w:pPr>
              <w:spacing w:line="252" w:lineRule="auto"/>
              <w:rPr>
                <w:rFonts w:eastAsia="Calibri"/>
                <w:lang w:val="sv-SE"/>
              </w:rPr>
            </w:pPr>
          </w:p>
        </w:tc>
      </w:tr>
      <w:tr w:rsidR="0048253F" w:rsidRPr="002D2649" w:rsidTr="00554BE5">
        <w:trPr>
          <w:trHeight w:val="2279"/>
          <w:jc w:val="center"/>
        </w:trPr>
        <w:tc>
          <w:tcPr>
            <w:tcW w:w="2046" w:type="dxa"/>
            <w:shd w:val="clear" w:color="auto" w:fill="auto"/>
            <w:vAlign w:val="center"/>
          </w:tcPr>
          <w:p w:rsidR="0048253F" w:rsidRPr="002D2649" w:rsidRDefault="008679F2" w:rsidP="00554BE5">
            <w:pPr>
              <w:spacing w:line="252" w:lineRule="auto"/>
              <w:ind w:left="147"/>
              <w:jc w:val="center"/>
              <w:rPr>
                <w:rFonts w:eastAsia="Calibri"/>
                <w:b/>
              </w:rPr>
            </w:pPr>
            <w:r w:rsidRPr="002D2649">
              <w:rPr>
                <w:rFonts w:eastAsia="Calibri"/>
                <w:b/>
              </w:rPr>
              <w:t>Kiểm soát nội bộ</w:t>
            </w:r>
          </w:p>
        </w:tc>
        <w:tc>
          <w:tcPr>
            <w:tcW w:w="10372" w:type="dxa"/>
            <w:shd w:val="clear" w:color="auto" w:fill="auto"/>
            <w:vAlign w:val="center"/>
          </w:tcPr>
          <w:p w:rsidR="00407041" w:rsidRPr="002D2649" w:rsidRDefault="00407041" w:rsidP="002D2649">
            <w:pPr>
              <w:spacing w:before="100" w:after="100"/>
              <w:rPr>
                <w:b/>
                <w:bCs/>
                <w:lang w:val="nl-NL"/>
              </w:rPr>
            </w:pPr>
            <w:r w:rsidRPr="002D2649">
              <w:rPr>
                <w:b/>
                <w:bCs/>
                <w:lang w:val="nl-NL"/>
              </w:rPr>
              <w:t>Yêu cầu, nguyên tắc của kiểm soát nội bộ</w:t>
            </w:r>
          </w:p>
          <w:p w:rsidR="0048253F" w:rsidRPr="002D2649" w:rsidRDefault="00407041" w:rsidP="002D2649">
            <w:pPr>
              <w:spacing w:before="100" w:after="100"/>
              <w:rPr>
                <w:spacing w:val="-2"/>
                <w:lang w:val="nl-NL"/>
              </w:rPr>
            </w:pPr>
            <w:r w:rsidRPr="002D2649">
              <w:rPr>
                <w:b/>
                <w:bCs/>
                <w:lang w:val="nl-NL"/>
              </w:rPr>
              <w:t xml:space="preserve">Hoạt động kiểm soát nội bộ: </w:t>
            </w:r>
            <w:r w:rsidRPr="002D2649">
              <w:rPr>
                <w:lang w:val="nl-NL"/>
              </w:rPr>
              <w:t>Hoạt động k</w:t>
            </w:r>
            <w:r w:rsidRPr="002D2649">
              <w:rPr>
                <w:bCs/>
                <w:lang w:val="nl-NL"/>
              </w:rPr>
              <w:t>iểm soát nội bộ được tổ chức đảm bảo</w:t>
            </w:r>
            <w:r w:rsidRPr="002D2649">
              <w:rPr>
                <w:lang w:val="nl-NL"/>
              </w:rPr>
              <w:t xml:space="preserve"> nguyên tắc ba (03) tuyến bảo vệ (1) </w:t>
            </w:r>
            <w:r w:rsidRPr="002D2649">
              <w:rPr>
                <w:spacing w:val="-2"/>
                <w:lang w:val="nl-NL"/>
              </w:rPr>
              <w:t>Các cá nhân, bộ phận trực tiếp giao dịch, tiếp xúc với khách hàng, đối tác và tạo ra doanh thu (2) Các cá nhân, bộ phận hỗ trợ hoạt động kiểm soát nội bộ (3) Các cá nhân, bộ phận thực hiện kiểm toán nội bộ của tổ chức tín dụng, chi nhánh ngân hàng nước ngoài.</w:t>
            </w:r>
          </w:p>
        </w:tc>
        <w:tc>
          <w:tcPr>
            <w:tcW w:w="2715" w:type="dxa"/>
            <w:shd w:val="clear" w:color="auto" w:fill="auto"/>
          </w:tcPr>
          <w:p w:rsidR="0048253F" w:rsidRPr="002D2649" w:rsidRDefault="0048253F" w:rsidP="00FB6254">
            <w:pPr>
              <w:spacing w:line="252" w:lineRule="auto"/>
              <w:rPr>
                <w:rFonts w:eastAsia="Calibri"/>
                <w:lang w:val="sv-SE"/>
              </w:rPr>
            </w:pPr>
          </w:p>
        </w:tc>
      </w:tr>
      <w:tr w:rsidR="0048253F" w:rsidRPr="002D2649" w:rsidTr="00554BE5">
        <w:trPr>
          <w:trHeight w:val="2279"/>
          <w:jc w:val="center"/>
        </w:trPr>
        <w:tc>
          <w:tcPr>
            <w:tcW w:w="2046" w:type="dxa"/>
            <w:shd w:val="clear" w:color="auto" w:fill="auto"/>
            <w:vAlign w:val="center"/>
          </w:tcPr>
          <w:p w:rsidR="0048253F" w:rsidRPr="002D2649" w:rsidRDefault="00C927B8" w:rsidP="00554BE5">
            <w:pPr>
              <w:spacing w:line="252" w:lineRule="auto"/>
              <w:ind w:left="147"/>
              <w:jc w:val="center"/>
              <w:rPr>
                <w:rFonts w:eastAsia="Calibri"/>
                <w:b/>
              </w:rPr>
            </w:pPr>
            <w:r w:rsidRPr="002D2649">
              <w:rPr>
                <w:b/>
                <w:bCs/>
                <w:lang w:val="nl-NL"/>
              </w:rPr>
              <w:t>Bộ phận tuân thủ</w:t>
            </w:r>
          </w:p>
        </w:tc>
        <w:tc>
          <w:tcPr>
            <w:tcW w:w="10372" w:type="dxa"/>
            <w:shd w:val="clear" w:color="auto" w:fill="auto"/>
            <w:vAlign w:val="center"/>
          </w:tcPr>
          <w:p w:rsidR="007F2B6D" w:rsidRPr="002D2649" w:rsidRDefault="009D5FCA" w:rsidP="002D2649">
            <w:pPr>
              <w:shd w:val="clear" w:color="auto" w:fill="FFFFFF"/>
              <w:spacing w:line="312" w:lineRule="auto"/>
              <w:rPr>
                <w:rFonts w:eastAsia="Times New Roman"/>
                <w:b/>
                <w:lang w:val="sv-SE"/>
              </w:rPr>
            </w:pPr>
            <w:r w:rsidRPr="002D2649">
              <w:rPr>
                <w:b/>
                <w:bCs/>
                <w:lang w:val="nl-NL"/>
              </w:rPr>
              <w:t>Tổ chức tín dụng, chi nhánh ngân hàng nước ngoài phải có bộ phận tuân thủ;</w:t>
            </w:r>
          </w:p>
          <w:p w:rsidR="009D5FCA" w:rsidRPr="002D2649" w:rsidRDefault="009D5FCA" w:rsidP="009D5FCA">
            <w:pPr>
              <w:spacing w:before="100" w:after="100"/>
              <w:ind w:firstLine="567"/>
              <w:rPr>
                <w:bCs/>
                <w:lang w:val="nl-NL"/>
              </w:rPr>
            </w:pPr>
            <w:r w:rsidRPr="002D2649">
              <w:rPr>
                <w:bCs/>
                <w:lang w:val="nl-NL"/>
              </w:rPr>
              <w:t xml:space="preserve">Tổ chức và hoạt động của bộ phận tuân thủ phải đảm bảo các </w:t>
            </w:r>
            <w:r w:rsidRPr="002D2649">
              <w:rPr>
                <w:b/>
                <w:bCs/>
                <w:u w:val="single"/>
                <w:lang w:val="nl-NL"/>
              </w:rPr>
              <w:t>yêu cầu tối thiểu</w:t>
            </w:r>
            <w:r w:rsidRPr="002D2649">
              <w:rPr>
                <w:bCs/>
                <w:lang w:val="nl-NL"/>
              </w:rPr>
              <w:t xml:space="preserve"> sau:</w:t>
            </w:r>
          </w:p>
          <w:p w:rsidR="009D5FCA" w:rsidRPr="002D2649" w:rsidRDefault="009D5FCA" w:rsidP="009D5FCA">
            <w:pPr>
              <w:spacing w:before="100" w:after="100"/>
              <w:ind w:firstLine="567"/>
              <w:rPr>
                <w:bCs/>
                <w:lang w:val="nl-NL"/>
              </w:rPr>
            </w:pPr>
            <w:r w:rsidRPr="002D2649">
              <w:rPr>
                <w:bCs/>
                <w:lang w:val="nl-NL"/>
              </w:rPr>
              <w:t>a) Có đầy đủ nguồn lực, thẩm quyền để thực hiện chức năng, nhiệm vụ;</w:t>
            </w:r>
          </w:p>
          <w:p w:rsidR="009D5FCA" w:rsidRPr="002D2649" w:rsidRDefault="009D5FCA" w:rsidP="009D5FCA">
            <w:pPr>
              <w:spacing w:before="100" w:after="100"/>
              <w:ind w:firstLine="567"/>
              <w:rPr>
                <w:bCs/>
                <w:lang w:val="nl-NL"/>
              </w:rPr>
            </w:pPr>
            <w:r w:rsidRPr="002D2649">
              <w:rPr>
                <w:bCs/>
                <w:lang w:val="nl-NL"/>
              </w:rPr>
              <w:t>b) Trưởng bộ phận tuân thủ làm việc theo chế độ chuyên trách, có kiến thức, hiểu biết về pháp luật và nghiệp vụ ngân hàng;</w:t>
            </w:r>
          </w:p>
          <w:p w:rsidR="009D5FCA" w:rsidRPr="002D2649" w:rsidRDefault="009D5FCA" w:rsidP="009D5FCA">
            <w:pPr>
              <w:spacing w:before="100" w:after="100"/>
              <w:ind w:firstLine="567"/>
              <w:rPr>
                <w:bCs/>
                <w:lang w:val="nl-NL"/>
              </w:rPr>
            </w:pPr>
            <w:r w:rsidRPr="002D2649">
              <w:rPr>
                <w:bCs/>
                <w:lang w:val="nl-NL"/>
              </w:rPr>
              <w:t>c) Độc lập với bộ phận quản lý, bộ phận kinh doanh để tránh xung đột lợi ích trong quá trình thực hiện nhiệm vụ;</w:t>
            </w:r>
          </w:p>
          <w:p w:rsidR="009D5FCA" w:rsidRPr="002D2649" w:rsidRDefault="009D5FCA" w:rsidP="009D5FCA">
            <w:pPr>
              <w:spacing w:before="100" w:after="100"/>
              <w:ind w:firstLine="567"/>
              <w:rPr>
                <w:bCs/>
                <w:lang w:val="nl-NL"/>
              </w:rPr>
            </w:pPr>
            <w:r w:rsidRPr="002D2649">
              <w:rPr>
                <w:bCs/>
                <w:lang w:val="nl-NL"/>
              </w:rPr>
              <w:t>...</w:t>
            </w:r>
            <w:bookmarkStart w:id="0" w:name="_GoBack"/>
            <w:bookmarkEnd w:id="0"/>
          </w:p>
          <w:p w:rsidR="009D5FCA" w:rsidRPr="002D2649" w:rsidRDefault="009D5FCA" w:rsidP="002D2649">
            <w:pPr>
              <w:spacing w:before="100" w:after="100"/>
              <w:ind w:firstLine="567"/>
              <w:rPr>
                <w:bCs/>
                <w:lang w:val="nl-NL"/>
              </w:rPr>
            </w:pPr>
            <w:r w:rsidRPr="002D2649">
              <w:rPr>
                <w:bCs/>
                <w:lang w:val="nl-NL"/>
              </w:rPr>
              <w:t>e) Trình Ban điều hành ban hành Sổ tay hướng dẫn tuân thủ đối với các hoạt động của tổ chức tín dụng, chi nhánh ngân hàng nước ngoài và sửa đổi, bổ sung Sổ tay hướng dẫn tuân thủ khi cần thiết;</w:t>
            </w:r>
          </w:p>
        </w:tc>
        <w:tc>
          <w:tcPr>
            <w:tcW w:w="2715" w:type="dxa"/>
            <w:shd w:val="clear" w:color="auto" w:fill="auto"/>
          </w:tcPr>
          <w:p w:rsidR="0048253F" w:rsidRPr="002D2649" w:rsidRDefault="0048253F" w:rsidP="00FB6254">
            <w:pPr>
              <w:spacing w:line="252" w:lineRule="auto"/>
              <w:rPr>
                <w:rFonts w:eastAsia="Calibri"/>
                <w:lang w:val="sv-SE"/>
              </w:rPr>
            </w:pPr>
          </w:p>
        </w:tc>
      </w:tr>
      <w:tr w:rsidR="009D5FCA" w:rsidRPr="002D2649" w:rsidTr="00E42F9C">
        <w:trPr>
          <w:trHeight w:val="2279"/>
          <w:jc w:val="center"/>
        </w:trPr>
        <w:tc>
          <w:tcPr>
            <w:tcW w:w="2046" w:type="dxa"/>
            <w:shd w:val="clear" w:color="auto" w:fill="auto"/>
            <w:vAlign w:val="center"/>
          </w:tcPr>
          <w:p w:rsidR="009D5FCA" w:rsidRPr="002D2649" w:rsidRDefault="009D5FCA" w:rsidP="00DA5F63">
            <w:pPr>
              <w:spacing w:before="100" w:after="100"/>
              <w:rPr>
                <w:b/>
                <w:bCs/>
                <w:lang w:val="nl-NL"/>
              </w:rPr>
            </w:pPr>
            <w:r w:rsidRPr="002D2649">
              <w:rPr>
                <w:b/>
                <w:bCs/>
                <w:lang w:val="nl-NL"/>
              </w:rPr>
              <w:lastRenderedPageBreak/>
              <w:t xml:space="preserve">Hệ thống thông tin quản lý </w:t>
            </w:r>
          </w:p>
          <w:p w:rsidR="009D5FCA" w:rsidRPr="002D2649" w:rsidRDefault="009D5FCA" w:rsidP="00E42F9C">
            <w:pPr>
              <w:spacing w:line="252" w:lineRule="auto"/>
              <w:ind w:left="147"/>
              <w:jc w:val="center"/>
              <w:rPr>
                <w:b/>
                <w:bCs/>
                <w:lang w:val="nl-NL"/>
              </w:rPr>
            </w:pPr>
          </w:p>
        </w:tc>
        <w:tc>
          <w:tcPr>
            <w:tcW w:w="10372" w:type="dxa"/>
            <w:shd w:val="clear" w:color="auto" w:fill="auto"/>
            <w:vAlign w:val="center"/>
          </w:tcPr>
          <w:p w:rsidR="009D5FCA" w:rsidRPr="002D2649" w:rsidRDefault="002D2649" w:rsidP="002D2649">
            <w:pPr>
              <w:spacing w:before="100" w:after="100"/>
              <w:rPr>
                <w:b/>
                <w:spacing w:val="-2"/>
                <w:lang w:val="nl-NL"/>
              </w:rPr>
            </w:pPr>
            <w:r w:rsidRPr="002D2649">
              <w:rPr>
                <w:b/>
                <w:spacing w:val="-2"/>
                <w:lang w:val="nl-NL"/>
              </w:rPr>
              <w:t>P</w:t>
            </w:r>
            <w:r w:rsidR="009D5FCA" w:rsidRPr="002D2649">
              <w:rPr>
                <w:b/>
                <w:spacing w:val="-2"/>
                <w:lang w:val="nl-NL"/>
              </w:rPr>
              <w:t xml:space="preserve">hải có hệ thống thông tin quản lý để cung cấp thông tin cho Hội đồng quản trị, Hội đồng thành viên, ngân hàng mẹ, Ban Kiểm soát, Ban điều hành và các bộ phận liên quan để thực hiện kiểm soát nội bộ, </w:t>
            </w:r>
            <w:r w:rsidR="009D5FCA" w:rsidRPr="002D2649">
              <w:rPr>
                <w:b/>
                <w:spacing w:val="-2"/>
                <w:u w:val="single"/>
                <w:lang w:val="nl-NL"/>
              </w:rPr>
              <w:t>tối thiểu</w:t>
            </w:r>
            <w:r w:rsidR="009D5FCA" w:rsidRPr="002D2649">
              <w:rPr>
                <w:b/>
                <w:spacing w:val="-2"/>
                <w:lang w:val="nl-NL"/>
              </w:rPr>
              <w:t xml:space="preserve"> gồm:</w:t>
            </w:r>
          </w:p>
          <w:p w:rsidR="009D5FCA" w:rsidRPr="002D2649" w:rsidRDefault="009D5FCA" w:rsidP="009D5FCA">
            <w:pPr>
              <w:spacing w:before="100" w:after="100"/>
              <w:ind w:firstLine="567"/>
              <w:rPr>
                <w:spacing w:val="-2"/>
                <w:lang w:val="nl-NL"/>
              </w:rPr>
            </w:pPr>
            <w:r w:rsidRPr="002D2649">
              <w:rPr>
                <w:spacing w:val="-2"/>
                <w:lang w:val="nl-NL"/>
              </w:rPr>
              <w:t xml:space="preserve">a) Kết quả theo dõi, phân tích và dự báo tình hình kinh tế vĩ mô, thị trường tài chính, tiền tệ, môi trường pháp lý và lĩnh vực khác có liên quan; </w:t>
            </w:r>
          </w:p>
          <w:p w:rsidR="009D5FCA" w:rsidRPr="002D2649" w:rsidRDefault="009D5FCA" w:rsidP="009D5FCA">
            <w:pPr>
              <w:spacing w:before="100" w:after="100"/>
              <w:ind w:firstLine="567"/>
              <w:rPr>
                <w:spacing w:val="-2"/>
                <w:lang w:val="nl-NL"/>
              </w:rPr>
            </w:pPr>
            <w:r w:rsidRPr="002D2649">
              <w:rPr>
                <w:spacing w:val="-2"/>
                <w:lang w:val="nl-NL"/>
              </w:rPr>
              <w:t>b) Báo cáo cập nhật về tình hình tuân thủ quy định pháp luật, quy định nội bộ của tổ chức tín dụng, chi nhánh ngân hàng nước ngoài;</w:t>
            </w:r>
          </w:p>
          <w:p w:rsidR="009D5FCA" w:rsidRPr="002D2649" w:rsidRDefault="009D5FCA" w:rsidP="009D5FCA">
            <w:pPr>
              <w:spacing w:before="100" w:after="100"/>
              <w:ind w:firstLine="567"/>
              <w:rPr>
                <w:spacing w:val="-2"/>
                <w:lang w:val="nl-NL"/>
              </w:rPr>
            </w:pPr>
            <w:r w:rsidRPr="002D2649">
              <w:rPr>
                <w:spacing w:val="-2"/>
                <w:lang w:val="nl-NL"/>
              </w:rPr>
              <w:t>c) Kết quả theo dõi, giám sát, cập nhật tình hình tài chính, kết quả hoạt động kinh doanh của tổ chức tín dụng, chi nhánh ngân hàng nước ngoài;</w:t>
            </w:r>
          </w:p>
          <w:p w:rsidR="009D5FCA" w:rsidRPr="002D2649" w:rsidRDefault="009D5FCA" w:rsidP="009D5FCA">
            <w:pPr>
              <w:spacing w:before="100" w:after="100"/>
              <w:ind w:firstLine="567"/>
              <w:rPr>
                <w:spacing w:val="-2"/>
                <w:lang w:val="nl-NL"/>
              </w:rPr>
            </w:pPr>
            <w:r w:rsidRPr="002D2649">
              <w:rPr>
                <w:spacing w:val="-2"/>
                <w:lang w:val="nl-NL"/>
              </w:rPr>
              <w:t>d) Kết quả giám sát, đánh giá, phân tích các tài sản, nợ phải trả, cơ cấu vốn chủ sở hữu,</w:t>
            </w:r>
            <w:r w:rsidRPr="002D2649">
              <w:rPr>
                <w:i/>
                <w:spacing w:val="-2"/>
                <w:lang w:val="nl-NL"/>
              </w:rPr>
              <w:t xml:space="preserve"> </w:t>
            </w:r>
            <w:r w:rsidRPr="002D2649">
              <w:rPr>
                <w:spacing w:val="-2"/>
                <w:lang w:val="nl-NL"/>
              </w:rPr>
              <w:t>kế hoạch vốn và rủi ro phát sinh trong các lĩnh vực liên quan đến hoạt động kinh doanh của tổ chức tín dụng, chi nhánh ngân hàng nước ngoài;</w:t>
            </w:r>
          </w:p>
          <w:p w:rsidR="009D5FCA" w:rsidRPr="002D2649" w:rsidRDefault="009D5FCA" w:rsidP="009D5FCA">
            <w:pPr>
              <w:spacing w:before="100" w:after="100"/>
              <w:ind w:firstLine="567"/>
              <w:rPr>
                <w:spacing w:val="-2"/>
                <w:lang w:val="nl-NL"/>
              </w:rPr>
            </w:pPr>
            <w:r w:rsidRPr="002D2649">
              <w:rPr>
                <w:spacing w:val="-2"/>
                <w:lang w:val="nl-NL"/>
              </w:rPr>
              <w:t>đ) Kết quả đánh giá nội bộ về mức đủ vốn, báo cáo nội bộ về các loại rủi ro và k</w:t>
            </w:r>
            <w:r w:rsidRPr="002D2649">
              <w:rPr>
                <w:lang w:val="nl-NL"/>
              </w:rPr>
              <w:t>ết quả kiểm tra sức chịu đựng.</w:t>
            </w:r>
          </w:p>
          <w:p w:rsidR="00EA7701" w:rsidRPr="002D2649" w:rsidRDefault="00EA7701" w:rsidP="002D2649">
            <w:pPr>
              <w:spacing w:before="100" w:after="100"/>
              <w:rPr>
                <w:b/>
                <w:spacing w:val="-2"/>
                <w:lang w:val="nl-NL"/>
              </w:rPr>
            </w:pPr>
            <w:r w:rsidRPr="002D2649">
              <w:rPr>
                <w:b/>
                <w:spacing w:val="-2"/>
                <w:lang w:val="nl-NL"/>
              </w:rPr>
              <w:t>Hệ thống thông tin quản lý phải đảm bảo:</w:t>
            </w:r>
          </w:p>
          <w:p w:rsidR="00EA7701" w:rsidRPr="002D2649" w:rsidRDefault="00EA7701" w:rsidP="00EA7701">
            <w:pPr>
              <w:spacing w:before="100" w:after="100"/>
              <w:ind w:firstLine="567"/>
              <w:rPr>
                <w:spacing w:val="-2"/>
                <w:lang w:val="nl-NL"/>
              </w:rPr>
            </w:pPr>
            <w:r w:rsidRPr="002D2649">
              <w:rPr>
                <w:spacing w:val="-2"/>
                <w:lang w:val="nl-NL"/>
              </w:rPr>
              <w:t>a) Thông tin dữ liệu đầy đủ, chính xác, kịp thời và được hỗ trợ bởi hạ tầng công nghệ thông tin phù hợp;</w:t>
            </w:r>
          </w:p>
          <w:p w:rsidR="00EA7701" w:rsidRPr="002D2649" w:rsidRDefault="00EA7701" w:rsidP="00EA7701">
            <w:pPr>
              <w:spacing w:before="100" w:after="100"/>
              <w:ind w:firstLine="567"/>
              <w:rPr>
                <w:spacing w:val="-2"/>
                <w:lang w:val="nl-NL"/>
              </w:rPr>
            </w:pPr>
            <w:r w:rsidRPr="002D2649">
              <w:rPr>
                <w:spacing w:val="-2"/>
                <w:lang w:val="nl-NL"/>
              </w:rPr>
              <w:t xml:space="preserve">b) Theo dõi liên tục và báo cáo đầy đủ, kịp thời các rủi ro trọng yếu trong tất cả hoạt động kinh doanh của tổ chức tín dụng, chi nhánh ngân hàng nước ngoài theo quy định tại khoản 2 Điều 35, khoản 8 Điều 40, khoản 2 Điều 47, khoản 4 Điều 51 Thông tư này và quy định nội bộ của tổ chức tín dụng, chi nhánh ngân hàng nước ngoài;  </w:t>
            </w:r>
          </w:p>
          <w:p w:rsidR="00EA7701" w:rsidRPr="002D2649" w:rsidRDefault="00EA7701" w:rsidP="00EA7701">
            <w:pPr>
              <w:spacing w:before="100" w:after="100"/>
              <w:ind w:firstLine="567"/>
              <w:rPr>
                <w:spacing w:val="-2"/>
                <w:lang w:val="nl-NL"/>
              </w:rPr>
            </w:pPr>
            <w:r w:rsidRPr="002D2649">
              <w:rPr>
                <w:spacing w:val="-2"/>
                <w:lang w:val="nl-NL"/>
              </w:rPr>
              <w:t xml:space="preserve">c) Có các giả định, nguồn cơ sở dữ liệu và các quy trình để đo lường và theo dõi rủi ro được </w:t>
            </w:r>
            <w:r w:rsidRPr="002D2649">
              <w:rPr>
                <w:spacing w:val="-2"/>
                <w:lang w:val="nl-NL"/>
              </w:rPr>
              <w:lastRenderedPageBreak/>
              <w:t>quy định bằng văn bản và được kiểm tra độ tin cậy thường xuyên và liên tục;</w:t>
            </w:r>
          </w:p>
          <w:p w:rsidR="00EA7701" w:rsidRPr="002D2649" w:rsidRDefault="00EA7701" w:rsidP="00EA7701">
            <w:pPr>
              <w:spacing w:before="100" w:after="100"/>
              <w:ind w:firstLine="567"/>
              <w:rPr>
                <w:lang w:val="nl-NL"/>
              </w:rPr>
            </w:pPr>
            <w:r w:rsidRPr="002D2649">
              <w:rPr>
                <w:spacing w:val="-2"/>
                <w:lang w:val="nl-NL"/>
              </w:rPr>
              <w:t xml:space="preserve">d) Có </w:t>
            </w:r>
            <w:r w:rsidRPr="002D2649">
              <w:rPr>
                <w:lang w:val="nl-NL"/>
              </w:rPr>
              <w:t xml:space="preserve">các biện pháp đảm bảo an toàn thông tin, được giám sát độc lập và có các hệ thống dự phòng để đảm bảo việc lưu trữ, sử dụng thông tin được lưu trữ, sử dụng với định dạng điện tử được an toàn, hiệu quả và không bị gián đoạn; </w:t>
            </w:r>
          </w:p>
          <w:p w:rsidR="00EA7701" w:rsidRPr="002D2649" w:rsidRDefault="00EA7701" w:rsidP="00EA7701">
            <w:pPr>
              <w:spacing w:before="100" w:after="100"/>
              <w:ind w:firstLine="567"/>
              <w:rPr>
                <w:spacing w:val="-2"/>
                <w:lang w:val="nl-NL"/>
              </w:rPr>
            </w:pPr>
            <w:r w:rsidRPr="002D2649">
              <w:rPr>
                <w:spacing w:val="-2"/>
                <w:lang w:val="nl-NL"/>
              </w:rPr>
              <w:t>đ) Cung cấp các báo cáo, mẫu trao đổi thông tin để theo dõi các trạng thái rủi ro, việc tuân thủ chính sách quản lý rủi ro, hạn mức rủi ro, mục tiêu kinh doanh (so sánh tình hình thực tế với dự kiến) của tổ chức tín dụng, chi nhánh ngân hàng nước ngoài;</w:t>
            </w:r>
          </w:p>
          <w:p w:rsidR="00EA7701" w:rsidRPr="002D2649" w:rsidRDefault="00EA7701" w:rsidP="00EA7701">
            <w:pPr>
              <w:spacing w:before="100" w:after="100"/>
              <w:ind w:firstLine="567"/>
              <w:rPr>
                <w:spacing w:val="-2"/>
                <w:lang w:val="nl-NL"/>
              </w:rPr>
            </w:pPr>
            <w:r w:rsidRPr="002D2649">
              <w:rPr>
                <w:spacing w:val="-2"/>
                <w:lang w:val="nl-NL"/>
              </w:rPr>
              <w:t>e) Cung cấp chính xác, kịp thời thông tin về việc thực hiện hoạt động kiểm soát nội bộ định tại khoản 2 Điều 14 Thông tư này cho cấp có thẩm quyền khi đưa ra quyết định;</w:t>
            </w:r>
          </w:p>
          <w:p w:rsidR="009D5FCA" w:rsidRPr="002D2649" w:rsidRDefault="00EA7701" w:rsidP="002D2649">
            <w:pPr>
              <w:spacing w:before="100" w:after="100"/>
              <w:ind w:firstLine="567"/>
              <w:rPr>
                <w:spacing w:val="-2"/>
                <w:lang w:val="nl-NL"/>
              </w:rPr>
            </w:pPr>
            <w:r w:rsidRPr="002D2649">
              <w:rPr>
                <w:spacing w:val="-2"/>
                <w:lang w:val="nl-NL"/>
              </w:rPr>
              <w:t xml:space="preserve">g) Cung cấp đầy đủ các thông tin để nhận dạng, đo lường, theo dõi và kiểm soát rủi ro đối với sản phẩm mới, hoạt động trong thị trường mới. </w:t>
            </w:r>
          </w:p>
        </w:tc>
        <w:tc>
          <w:tcPr>
            <w:tcW w:w="2715" w:type="dxa"/>
            <w:shd w:val="clear" w:color="auto" w:fill="auto"/>
          </w:tcPr>
          <w:p w:rsidR="009D5FCA" w:rsidRPr="002D2649" w:rsidRDefault="009D5FCA" w:rsidP="00E42F9C">
            <w:pPr>
              <w:spacing w:line="252" w:lineRule="auto"/>
              <w:rPr>
                <w:rFonts w:eastAsia="Calibri"/>
                <w:lang w:val="sv-SE"/>
              </w:rPr>
            </w:pPr>
          </w:p>
        </w:tc>
      </w:tr>
      <w:tr w:rsidR="009D5FCA" w:rsidRPr="002D2649" w:rsidTr="00E42F9C">
        <w:trPr>
          <w:trHeight w:val="2279"/>
          <w:jc w:val="center"/>
        </w:trPr>
        <w:tc>
          <w:tcPr>
            <w:tcW w:w="2046" w:type="dxa"/>
            <w:shd w:val="clear" w:color="auto" w:fill="auto"/>
            <w:vAlign w:val="center"/>
          </w:tcPr>
          <w:p w:rsidR="00EA7701" w:rsidRPr="002D2649" w:rsidRDefault="00EA7701" w:rsidP="00DA5F63">
            <w:pPr>
              <w:spacing w:before="100" w:after="100"/>
              <w:rPr>
                <w:b/>
                <w:bCs/>
                <w:lang w:val="nl-NL"/>
              </w:rPr>
            </w:pPr>
            <w:r w:rsidRPr="002D2649">
              <w:rPr>
                <w:b/>
                <w:bCs/>
                <w:lang w:val="nl-NL"/>
              </w:rPr>
              <w:lastRenderedPageBreak/>
              <w:t>Cơ chế trao đổi thông tin</w:t>
            </w:r>
          </w:p>
          <w:p w:rsidR="009D5FCA" w:rsidRPr="002D2649" w:rsidRDefault="009D5FCA" w:rsidP="00E42F9C">
            <w:pPr>
              <w:spacing w:line="252" w:lineRule="auto"/>
              <w:ind w:left="147"/>
              <w:jc w:val="center"/>
              <w:rPr>
                <w:b/>
                <w:bCs/>
                <w:lang w:val="nl-NL"/>
              </w:rPr>
            </w:pPr>
          </w:p>
        </w:tc>
        <w:tc>
          <w:tcPr>
            <w:tcW w:w="10372" w:type="dxa"/>
            <w:shd w:val="clear" w:color="auto" w:fill="auto"/>
            <w:vAlign w:val="center"/>
          </w:tcPr>
          <w:p w:rsidR="009D5FCA" w:rsidRPr="002D2649" w:rsidRDefault="00EA7701" w:rsidP="002D2649">
            <w:pPr>
              <w:shd w:val="clear" w:color="auto" w:fill="FFFFFF"/>
              <w:spacing w:line="312" w:lineRule="auto"/>
              <w:rPr>
                <w:b/>
                <w:bCs/>
                <w:lang w:val="nl-NL"/>
              </w:rPr>
            </w:pPr>
            <w:r w:rsidRPr="002D2649">
              <w:rPr>
                <w:b/>
                <w:spacing w:val="-2"/>
                <w:lang w:val="pt-BR"/>
              </w:rPr>
              <w:t xml:space="preserve">Tổ chức tín dụng, chi nhánh ngân hàng nước ngoài phải có </w:t>
            </w:r>
            <w:r w:rsidRPr="002D2649">
              <w:rPr>
                <w:b/>
                <w:spacing w:val="-2"/>
                <w:u w:val="single"/>
                <w:lang w:val="pt-BR"/>
              </w:rPr>
              <w:t>cơ chế trao đổi thông tin</w:t>
            </w:r>
            <w:r w:rsidRPr="002D2649">
              <w:rPr>
                <w:b/>
                <w:spacing w:val="-2"/>
                <w:lang w:val="pt-BR"/>
              </w:rPr>
              <w:t xml:space="preserve"> đảm bảo mọi cá nhân ở tất cả các cấp, các bộ phận, đơn vị được thông báo, phổ biến, tuyên truyền về hệ thống kiểm soát nội bộ để hiểu rõ, nhận thức thống nhất, đầy đủ về </w:t>
            </w:r>
            <w:r w:rsidRPr="002D2649">
              <w:rPr>
                <w:b/>
                <w:lang w:val="nl-NL"/>
              </w:rPr>
              <w:t>chính sách, quy trình, mục tiêu kinh doanh, thực hiện tốt chức trách, nhiệm vụ, quyền hạn của mình</w:t>
            </w:r>
            <w:r w:rsidR="00DA5F63">
              <w:rPr>
                <w:b/>
                <w:lang w:val="nl-NL"/>
              </w:rPr>
              <w:t>.</w:t>
            </w:r>
          </w:p>
          <w:p w:rsidR="00142CBE" w:rsidRPr="002D2649" w:rsidRDefault="00142CBE" w:rsidP="002D2649">
            <w:pPr>
              <w:spacing w:before="100" w:after="100"/>
              <w:rPr>
                <w:b/>
                <w:spacing w:val="-2"/>
                <w:lang w:val="pt-BR"/>
              </w:rPr>
            </w:pPr>
            <w:r w:rsidRPr="002D2649">
              <w:rPr>
                <w:b/>
                <w:lang w:val="nl-NL"/>
              </w:rPr>
              <w:t xml:space="preserve">Cơ chế trao đổi thông tin phải được quy định tại quy định nội bộ của tổ chức tín dụng, chi nhánh ngân hàng nước ngoài, đáp ứng các </w:t>
            </w:r>
            <w:r w:rsidRPr="00DA5F63">
              <w:rPr>
                <w:b/>
                <w:u w:val="single"/>
                <w:lang w:val="nl-NL"/>
              </w:rPr>
              <w:t>yêu cầu</w:t>
            </w:r>
            <w:r w:rsidRPr="002D2649">
              <w:rPr>
                <w:b/>
                <w:lang w:val="nl-NL"/>
              </w:rPr>
              <w:t xml:space="preserve"> sau:</w:t>
            </w:r>
            <w:r w:rsidRPr="002D2649">
              <w:rPr>
                <w:b/>
                <w:spacing w:val="-2"/>
                <w:lang w:val="pt-BR"/>
              </w:rPr>
              <w:t xml:space="preserve"> </w:t>
            </w:r>
          </w:p>
          <w:p w:rsidR="00142CBE" w:rsidRPr="002D2649" w:rsidRDefault="00142CBE" w:rsidP="00142CBE">
            <w:pPr>
              <w:spacing w:before="100" w:after="100"/>
              <w:ind w:firstLine="567"/>
              <w:rPr>
                <w:lang w:val="nl-NL"/>
              </w:rPr>
            </w:pPr>
            <w:r w:rsidRPr="002D2649">
              <w:rPr>
                <w:lang w:val="nl-NL"/>
              </w:rPr>
              <w:t>a) Thông tin về mục tiêu, chiến lược, chính sách, quy trình được trao đổi từ cấp cao xuống cấp dưới, các cá nhân có liên quan;</w:t>
            </w:r>
          </w:p>
          <w:p w:rsidR="00142CBE" w:rsidRPr="002D2649" w:rsidRDefault="00142CBE" w:rsidP="00142CBE">
            <w:pPr>
              <w:spacing w:before="100" w:after="100"/>
              <w:ind w:firstLine="567"/>
              <w:rPr>
                <w:lang w:val="nl-NL"/>
              </w:rPr>
            </w:pPr>
            <w:r w:rsidRPr="002D2649">
              <w:rPr>
                <w:lang w:val="nl-NL"/>
              </w:rPr>
              <w:t xml:space="preserve">b) Thông tin về hệ thống kiểm soát nội bộ, kết quả hoạt động được trao đổi từ cấp dưới lên cấp cao, kể cả </w:t>
            </w:r>
            <w:r w:rsidRPr="002D2649">
              <w:rPr>
                <w:spacing w:val="-2"/>
                <w:lang w:val="nl-NL"/>
              </w:rPr>
              <w:t xml:space="preserve">Hội đồng quản trị, Hội đồng thành viên, ngân hàng mẹ, Ban Kiểm soát, Ban Điều hành để nắm rõ các trạng thái rủi ro, tình hình hoạt động kinh doanh của </w:t>
            </w:r>
            <w:r w:rsidRPr="002D2649">
              <w:rPr>
                <w:lang w:val="nl-NL"/>
              </w:rPr>
              <w:t>tổ chức tín dụng, chi nhánh ngân hàng nước ngoài;</w:t>
            </w:r>
          </w:p>
          <w:p w:rsidR="00142CBE" w:rsidRPr="002D2649" w:rsidRDefault="00142CBE" w:rsidP="00142CBE">
            <w:pPr>
              <w:spacing w:before="100" w:after="100"/>
              <w:ind w:firstLine="567"/>
              <w:rPr>
                <w:lang w:val="nl-NL"/>
              </w:rPr>
            </w:pPr>
            <w:r w:rsidRPr="002D2649">
              <w:rPr>
                <w:lang w:val="nl-NL"/>
              </w:rPr>
              <w:lastRenderedPageBreak/>
              <w:t>c) Thông tin về hoạt động mới, sản phẩm mới và tổn thất, gian lận, nguy cơ xảy ra tổn thất, gian lận được trao đổi kịp thời cho kiểm toán nội bộ;</w:t>
            </w:r>
          </w:p>
          <w:p w:rsidR="00EA7701" w:rsidRPr="00DA5F63" w:rsidRDefault="00142CBE" w:rsidP="00DA5F63">
            <w:pPr>
              <w:spacing w:before="100" w:after="100"/>
              <w:ind w:firstLine="567"/>
              <w:rPr>
                <w:lang w:val="nl-NL"/>
              </w:rPr>
            </w:pPr>
            <w:r w:rsidRPr="002D2649">
              <w:rPr>
                <w:lang w:val="nl-NL"/>
              </w:rPr>
              <w:t>d) Tần suất trao đổi thông tin đảm bảo nguyên tắc rủi ro càng cao thì trao đổi thông tin càng thường xuyên.</w:t>
            </w:r>
          </w:p>
        </w:tc>
        <w:tc>
          <w:tcPr>
            <w:tcW w:w="2715" w:type="dxa"/>
            <w:shd w:val="clear" w:color="auto" w:fill="auto"/>
          </w:tcPr>
          <w:p w:rsidR="009D5FCA" w:rsidRPr="002D2649" w:rsidRDefault="009D5FCA" w:rsidP="00E42F9C">
            <w:pPr>
              <w:spacing w:line="252" w:lineRule="auto"/>
              <w:rPr>
                <w:rFonts w:eastAsia="Calibri"/>
                <w:lang w:val="sv-SE"/>
              </w:rPr>
            </w:pPr>
          </w:p>
        </w:tc>
      </w:tr>
      <w:tr w:rsidR="009D5FCA" w:rsidRPr="002D2649" w:rsidTr="00E42F9C">
        <w:trPr>
          <w:trHeight w:val="2279"/>
          <w:jc w:val="center"/>
        </w:trPr>
        <w:tc>
          <w:tcPr>
            <w:tcW w:w="2046" w:type="dxa"/>
            <w:shd w:val="clear" w:color="auto" w:fill="auto"/>
            <w:vAlign w:val="center"/>
          </w:tcPr>
          <w:p w:rsidR="009D5FCA" w:rsidRPr="002D2649" w:rsidRDefault="00142CBE" w:rsidP="00E42F9C">
            <w:pPr>
              <w:spacing w:line="252" w:lineRule="auto"/>
              <w:ind w:left="147"/>
              <w:jc w:val="center"/>
              <w:rPr>
                <w:b/>
                <w:bCs/>
                <w:lang w:val="nl-NL"/>
              </w:rPr>
            </w:pPr>
            <w:r w:rsidRPr="002D2649">
              <w:rPr>
                <w:b/>
                <w:lang w:val="nl-NL"/>
              </w:rPr>
              <w:lastRenderedPageBreak/>
              <w:t>Yêu cầu về quản lý rủi ro</w:t>
            </w:r>
          </w:p>
        </w:tc>
        <w:tc>
          <w:tcPr>
            <w:tcW w:w="10372" w:type="dxa"/>
            <w:shd w:val="clear" w:color="auto" w:fill="auto"/>
            <w:vAlign w:val="center"/>
          </w:tcPr>
          <w:p w:rsidR="009D5FCA" w:rsidRPr="002D2649" w:rsidRDefault="00B92BD6" w:rsidP="00E42F9C">
            <w:pPr>
              <w:pStyle w:val="ListParagraph"/>
              <w:numPr>
                <w:ilvl w:val="0"/>
                <w:numId w:val="3"/>
              </w:numPr>
              <w:shd w:val="clear" w:color="auto" w:fill="FFFFFF"/>
              <w:spacing w:line="312" w:lineRule="auto"/>
              <w:contextualSpacing w:val="0"/>
              <w:rPr>
                <w:bCs/>
                <w:lang w:val="nl-NL"/>
              </w:rPr>
            </w:pPr>
            <w:r w:rsidRPr="002D2649">
              <w:rPr>
                <w:lang w:val="nl-NL"/>
              </w:rPr>
              <w:t>Yêu cầu chung đối với t</w:t>
            </w:r>
            <w:r w:rsidR="00142CBE" w:rsidRPr="002D2649">
              <w:rPr>
                <w:lang w:val="nl-NL"/>
              </w:rPr>
              <w:t>ổ chức tín dụng, chi nhánh ngân hàng nước ngoài (Điều 18)</w:t>
            </w:r>
          </w:p>
          <w:p w:rsidR="00B92BD6" w:rsidRPr="002D2649" w:rsidRDefault="00B92BD6" w:rsidP="00B92BD6">
            <w:pPr>
              <w:pStyle w:val="ListParagraph"/>
              <w:numPr>
                <w:ilvl w:val="0"/>
                <w:numId w:val="3"/>
              </w:numPr>
              <w:shd w:val="clear" w:color="auto" w:fill="FFFFFF"/>
              <w:spacing w:line="312" w:lineRule="auto"/>
              <w:contextualSpacing w:val="0"/>
              <w:rPr>
                <w:bCs/>
                <w:lang w:val="nl-NL"/>
              </w:rPr>
            </w:pPr>
            <w:r w:rsidRPr="002D2649">
              <w:rPr>
                <w:spacing w:val="-2"/>
                <w:lang w:val="nl-NL"/>
              </w:rPr>
              <w:t xml:space="preserve">Đối với </w:t>
            </w:r>
            <w:r w:rsidR="00142CBE" w:rsidRPr="00DA5F63">
              <w:rPr>
                <w:b/>
                <w:spacing w:val="-2"/>
                <w:lang w:val="nl-NL"/>
              </w:rPr>
              <w:t>tổ chức tín dụng có công ty con</w:t>
            </w:r>
            <w:r w:rsidR="00142CBE" w:rsidRPr="002D2649">
              <w:rPr>
                <w:spacing w:val="-2"/>
                <w:lang w:val="nl-NL"/>
              </w:rPr>
              <w:t>, tổ chức tín dụng thực hiện quản lý rủi ro đảm bảo quản lý thống nhất và toàn diện các rủi ro tín dụng, rủi ro thanh khoản, rủi ro thị trường, rủi ro hoạt động và các rủi ro khác được xác định là rủi ro có mức độ trọng yếu trong hoạt động của công ty con</w:t>
            </w:r>
          </w:p>
          <w:p w:rsidR="00B92BD6" w:rsidRPr="002D2649" w:rsidRDefault="00B92BD6" w:rsidP="00B92BD6">
            <w:pPr>
              <w:pStyle w:val="ListParagraph"/>
              <w:numPr>
                <w:ilvl w:val="0"/>
                <w:numId w:val="3"/>
              </w:numPr>
              <w:shd w:val="clear" w:color="auto" w:fill="FFFFFF"/>
              <w:spacing w:line="312" w:lineRule="auto"/>
              <w:contextualSpacing w:val="0"/>
              <w:rPr>
                <w:bCs/>
                <w:lang w:val="nl-NL"/>
              </w:rPr>
            </w:pPr>
            <w:r w:rsidRPr="00DA5F63">
              <w:rPr>
                <w:b/>
                <w:lang w:val="nl-NL"/>
              </w:rPr>
              <w:t>Chi nhánh ngân hàng nước ngoài</w:t>
            </w:r>
            <w:r w:rsidRPr="002D2649">
              <w:rPr>
                <w:lang w:val="nl-NL"/>
              </w:rPr>
              <w:t xml:space="preserve"> được áp dụng hệ thống quản lý rủi ro của ngân hàng mẹ khi tuân thủ các thông lệ quốc tế tốt nhất về quản trị rủi ro và được sửa đổi, bổ sung (nếu cần thiết) để phù hợp với điều quy mô, điều kiện, mức độ phức tạp trong hoạt động của chi nhánh ngân hàng nước ngoài và môi trường kinh doanh, quy định pháp luật tại Việt Nam.</w:t>
            </w:r>
          </w:p>
        </w:tc>
        <w:tc>
          <w:tcPr>
            <w:tcW w:w="2715" w:type="dxa"/>
            <w:shd w:val="clear" w:color="auto" w:fill="auto"/>
          </w:tcPr>
          <w:p w:rsidR="009D5FCA" w:rsidRPr="002D2649" w:rsidRDefault="009D5FCA" w:rsidP="00E42F9C">
            <w:pPr>
              <w:spacing w:line="252" w:lineRule="auto"/>
              <w:rPr>
                <w:rFonts w:eastAsia="Calibri"/>
                <w:lang w:val="sv-SE"/>
              </w:rPr>
            </w:pPr>
          </w:p>
        </w:tc>
      </w:tr>
      <w:tr w:rsidR="009D5FCA" w:rsidRPr="002D2649" w:rsidTr="00E42F9C">
        <w:trPr>
          <w:trHeight w:val="2279"/>
          <w:jc w:val="center"/>
        </w:trPr>
        <w:tc>
          <w:tcPr>
            <w:tcW w:w="2046" w:type="dxa"/>
            <w:shd w:val="clear" w:color="auto" w:fill="auto"/>
            <w:vAlign w:val="center"/>
          </w:tcPr>
          <w:p w:rsidR="009D5FCA" w:rsidRPr="002D2649" w:rsidRDefault="00B92BD6" w:rsidP="00E42F9C">
            <w:pPr>
              <w:spacing w:line="252" w:lineRule="auto"/>
              <w:ind w:left="147"/>
              <w:jc w:val="center"/>
              <w:rPr>
                <w:b/>
                <w:bCs/>
                <w:lang w:val="nl-NL"/>
              </w:rPr>
            </w:pPr>
            <w:r w:rsidRPr="002D2649">
              <w:rPr>
                <w:b/>
                <w:lang w:val="nl-NL"/>
              </w:rPr>
              <w:t>Bộ phận quản lý rủi ro</w:t>
            </w:r>
          </w:p>
        </w:tc>
        <w:tc>
          <w:tcPr>
            <w:tcW w:w="10372" w:type="dxa"/>
            <w:shd w:val="clear" w:color="auto" w:fill="auto"/>
            <w:vAlign w:val="center"/>
          </w:tcPr>
          <w:p w:rsidR="009D5FCA" w:rsidRPr="002D2649" w:rsidRDefault="00B92BD6" w:rsidP="00B92BD6">
            <w:pPr>
              <w:pStyle w:val="ListParagraph"/>
              <w:numPr>
                <w:ilvl w:val="0"/>
                <w:numId w:val="3"/>
              </w:numPr>
              <w:shd w:val="clear" w:color="auto" w:fill="FFFFFF"/>
              <w:spacing w:line="312" w:lineRule="auto"/>
              <w:contextualSpacing w:val="0"/>
              <w:rPr>
                <w:bCs/>
                <w:lang w:val="nl-NL"/>
              </w:rPr>
            </w:pPr>
            <w:r w:rsidRPr="00DA5F63">
              <w:rPr>
                <w:b/>
                <w:spacing w:val="-2"/>
                <w:lang w:val="nl-NL"/>
              </w:rPr>
              <w:t xml:space="preserve">Cơ cấu tổ chức quản lý rủi ro của chi nhánh ngân hàng nước ngoài do ngân hàng mẹ quyết định và </w:t>
            </w:r>
            <w:r w:rsidRPr="00DA5F63">
              <w:rPr>
                <w:b/>
                <w:spacing w:val="-2"/>
                <w:u w:val="single"/>
                <w:lang w:val="nl-NL"/>
              </w:rPr>
              <w:t>phải được NHNN chấp thuận bằng văn bản</w:t>
            </w:r>
            <w:r w:rsidRPr="002D2649">
              <w:rPr>
                <w:spacing w:val="-2"/>
                <w:lang w:val="nl-NL"/>
              </w:rPr>
              <w:t xml:space="preserve">: Ngân hàng mẹ có hồ sơ đề nghị chấp thuận cơ cấu tổ chức quản lý rủi ro của chi nhánh ngân hàng nước ngoài. </w:t>
            </w:r>
            <w:r w:rsidRPr="00DA5F63">
              <w:rPr>
                <w:b/>
                <w:spacing w:val="-2"/>
                <w:lang w:val="nl-NL"/>
              </w:rPr>
              <w:t xml:space="preserve">Trong vòng 30 ngày </w:t>
            </w:r>
            <w:r w:rsidRPr="002D2649">
              <w:rPr>
                <w:spacing w:val="-2"/>
                <w:lang w:val="nl-NL"/>
              </w:rPr>
              <w:t>kể từ ngày nhận đủ hồ sơ, NHNN có văn bản chấp thuận hoặc không chấp thuận</w:t>
            </w:r>
          </w:p>
        </w:tc>
        <w:tc>
          <w:tcPr>
            <w:tcW w:w="2715" w:type="dxa"/>
            <w:shd w:val="clear" w:color="auto" w:fill="auto"/>
          </w:tcPr>
          <w:p w:rsidR="009D5FCA" w:rsidRPr="002D2649" w:rsidRDefault="009D5FCA" w:rsidP="00E42F9C">
            <w:pPr>
              <w:spacing w:line="252" w:lineRule="auto"/>
              <w:rPr>
                <w:rFonts w:eastAsia="Calibri"/>
                <w:lang w:val="sv-SE"/>
              </w:rPr>
            </w:pPr>
          </w:p>
        </w:tc>
      </w:tr>
      <w:tr w:rsidR="009D5FCA" w:rsidRPr="002D2649" w:rsidTr="00554BE5">
        <w:trPr>
          <w:trHeight w:val="2279"/>
          <w:jc w:val="center"/>
        </w:trPr>
        <w:tc>
          <w:tcPr>
            <w:tcW w:w="2046" w:type="dxa"/>
            <w:shd w:val="clear" w:color="auto" w:fill="auto"/>
            <w:vAlign w:val="center"/>
          </w:tcPr>
          <w:p w:rsidR="00B92BD6" w:rsidRPr="002D2649" w:rsidRDefault="00B92BD6" w:rsidP="00DA5F63">
            <w:pPr>
              <w:pStyle w:val="Heading1"/>
              <w:spacing w:before="100" w:after="100"/>
              <w:jc w:val="both"/>
              <w:rPr>
                <w:rFonts w:ascii="Times New Roman" w:hAnsi="Times New Roman"/>
                <w:spacing w:val="-2"/>
                <w:sz w:val="26"/>
                <w:szCs w:val="26"/>
                <w:lang w:val="nl-NL"/>
              </w:rPr>
            </w:pPr>
            <w:r w:rsidRPr="002D2649">
              <w:rPr>
                <w:rFonts w:ascii="Times New Roman" w:hAnsi="Times New Roman"/>
                <w:spacing w:val="-2"/>
                <w:sz w:val="26"/>
                <w:szCs w:val="26"/>
                <w:lang w:val="nl-NL"/>
              </w:rPr>
              <w:lastRenderedPageBreak/>
              <w:t>Chính sách quản lý rủi ro</w:t>
            </w:r>
          </w:p>
          <w:p w:rsidR="009D5FCA" w:rsidRPr="002D2649" w:rsidRDefault="009D5FCA" w:rsidP="00554BE5">
            <w:pPr>
              <w:spacing w:line="252" w:lineRule="auto"/>
              <w:ind w:left="147"/>
              <w:jc w:val="center"/>
              <w:rPr>
                <w:b/>
                <w:bCs/>
                <w:lang w:val="nl-NL"/>
              </w:rPr>
            </w:pPr>
          </w:p>
        </w:tc>
        <w:tc>
          <w:tcPr>
            <w:tcW w:w="10372" w:type="dxa"/>
            <w:shd w:val="clear" w:color="auto" w:fill="auto"/>
            <w:vAlign w:val="center"/>
          </w:tcPr>
          <w:p w:rsidR="005974BB" w:rsidRPr="005974BB" w:rsidRDefault="00B92BD6" w:rsidP="005974BB">
            <w:pPr>
              <w:pStyle w:val="ListParagraph"/>
              <w:numPr>
                <w:ilvl w:val="0"/>
                <w:numId w:val="3"/>
              </w:numPr>
              <w:shd w:val="clear" w:color="auto" w:fill="FFFFFF"/>
              <w:spacing w:line="312" w:lineRule="auto"/>
              <w:contextualSpacing w:val="0"/>
              <w:rPr>
                <w:bCs/>
                <w:lang w:val="nl-NL"/>
              </w:rPr>
            </w:pPr>
            <w:r w:rsidRPr="005974BB">
              <w:rPr>
                <w:b/>
                <w:spacing w:val="-2"/>
                <w:lang w:val="nl-NL"/>
              </w:rPr>
              <w:t xml:space="preserve">Chính sách quản lý rủi ro </w:t>
            </w:r>
            <w:r w:rsidRPr="005974BB">
              <w:rPr>
                <w:b/>
                <w:spacing w:val="-2"/>
                <w:u w:val="single"/>
                <w:lang w:val="nl-NL"/>
              </w:rPr>
              <w:t>tối thiểu</w:t>
            </w:r>
            <w:r w:rsidRPr="002D2649">
              <w:rPr>
                <w:spacing w:val="-2"/>
                <w:lang w:val="nl-NL"/>
              </w:rPr>
              <w:t xml:space="preserve"> (Khoản 1, Điều 20)</w:t>
            </w:r>
          </w:p>
          <w:p w:rsidR="00106964" w:rsidRPr="005974BB" w:rsidRDefault="00106964" w:rsidP="005974BB">
            <w:pPr>
              <w:pStyle w:val="ListParagraph"/>
              <w:numPr>
                <w:ilvl w:val="0"/>
                <w:numId w:val="3"/>
              </w:numPr>
              <w:shd w:val="clear" w:color="auto" w:fill="FFFFFF"/>
              <w:spacing w:line="312" w:lineRule="auto"/>
              <w:contextualSpacing w:val="0"/>
              <w:rPr>
                <w:bCs/>
                <w:lang w:val="nl-NL"/>
              </w:rPr>
            </w:pPr>
            <w:r w:rsidRPr="005974BB">
              <w:rPr>
                <w:b/>
                <w:spacing w:val="-2"/>
                <w:lang w:val="nl-NL"/>
              </w:rPr>
              <w:t>Khẩu vị rủi ro tối thiểu</w:t>
            </w:r>
            <w:r w:rsidRPr="005974BB">
              <w:rPr>
                <w:spacing w:val="-2"/>
                <w:lang w:val="nl-NL"/>
              </w:rPr>
              <w:t xml:space="preserve"> gồm: </w:t>
            </w:r>
          </w:p>
          <w:p w:rsidR="00106964" w:rsidRPr="002D2649" w:rsidRDefault="00106964" w:rsidP="00106964">
            <w:pPr>
              <w:spacing w:before="100" w:after="100"/>
              <w:ind w:firstLine="567"/>
              <w:rPr>
                <w:spacing w:val="-2"/>
                <w:lang w:val="nl-NL"/>
              </w:rPr>
            </w:pPr>
            <w:r w:rsidRPr="002D2649">
              <w:rPr>
                <w:spacing w:val="-2"/>
                <w:lang w:val="nl-NL"/>
              </w:rPr>
              <w:t xml:space="preserve">(i) Chỉ tiêu về lợi nhuận </w:t>
            </w:r>
          </w:p>
          <w:p w:rsidR="00106964" w:rsidRPr="002D2649" w:rsidRDefault="00106964" w:rsidP="00106964">
            <w:pPr>
              <w:spacing w:before="100" w:after="100"/>
              <w:ind w:firstLine="567"/>
              <w:rPr>
                <w:spacing w:val="-2"/>
                <w:lang w:val="nl-NL"/>
              </w:rPr>
            </w:pPr>
            <w:r w:rsidRPr="002D2649">
              <w:rPr>
                <w:spacing w:val="-2"/>
                <w:lang w:val="nl-NL"/>
              </w:rPr>
              <w:t>(ii) Chỉ tiêu về vố</w:t>
            </w:r>
            <w:r w:rsidR="005974BB">
              <w:rPr>
                <w:spacing w:val="-2"/>
                <w:lang w:val="nl-NL"/>
              </w:rPr>
              <w:t>n</w:t>
            </w:r>
          </w:p>
          <w:p w:rsidR="00106964" w:rsidRPr="002D2649" w:rsidRDefault="00106964" w:rsidP="00106964">
            <w:pPr>
              <w:spacing w:before="100" w:after="100"/>
              <w:ind w:firstLine="567"/>
              <w:rPr>
                <w:spacing w:val="-2"/>
                <w:lang w:val="nl-NL"/>
              </w:rPr>
            </w:pPr>
            <w:r w:rsidRPr="002D2649">
              <w:rPr>
                <w:spacing w:val="-2"/>
                <w:lang w:val="nl-NL"/>
              </w:rPr>
              <w:t>(iii) Chỉ tiêu về</w:t>
            </w:r>
            <w:r w:rsidR="005974BB">
              <w:rPr>
                <w:spacing w:val="-2"/>
                <w:lang w:val="nl-NL"/>
              </w:rPr>
              <w:t xml:space="preserve"> kinh doanh</w:t>
            </w:r>
          </w:p>
          <w:p w:rsidR="00106964" w:rsidRPr="005974BB" w:rsidRDefault="00106964" w:rsidP="00106964">
            <w:pPr>
              <w:pStyle w:val="ListParagraph"/>
              <w:numPr>
                <w:ilvl w:val="0"/>
                <w:numId w:val="3"/>
              </w:numPr>
              <w:shd w:val="clear" w:color="auto" w:fill="FFFFFF"/>
              <w:spacing w:line="312" w:lineRule="auto"/>
              <w:contextualSpacing w:val="0"/>
              <w:rPr>
                <w:b/>
                <w:bCs/>
                <w:lang w:val="nl-NL"/>
              </w:rPr>
            </w:pPr>
            <w:r w:rsidRPr="005974BB">
              <w:rPr>
                <w:b/>
                <w:spacing w:val="-2"/>
                <w:lang w:val="nl-NL"/>
              </w:rPr>
              <w:t>Chính sách quản lý rủi ro phải đảm bảo các yêu cầu:</w:t>
            </w:r>
          </w:p>
          <w:p w:rsidR="00106964" w:rsidRPr="002D2649" w:rsidRDefault="00106964" w:rsidP="00106964">
            <w:pPr>
              <w:spacing w:before="100" w:after="100"/>
              <w:ind w:firstLine="567"/>
              <w:rPr>
                <w:spacing w:val="-2"/>
                <w:lang w:val="nl-NL"/>
              </w:rPr>
            </w:pPr>
            <w:r w:rsidRPr="002D2649">
              <w:rPr>
                <w:spacing w:val="-2"/>
                <w:lang w:val="nl-NL"/>
              </w:rPr>
              <w:t xml:space="preserve">a) Được lập cho thời gian tối thiểu là </w:t>
            </w:r>
            <w:r w:rsidRPr="005974BB">
              <w:rPr>
                <w:b/>
                <w:spacing w:val="-2"/>
                <w:lang w:val="nl-NL"/>
              </w:rPr>
              <w:t>ba năm</w:t>
            </w:r>
            <w:r w:rsidR="005974BB">
              <w:rPr>
                <w:spacing w:val="-2"/>
                <w:lang w:val="nl-NL"/>
              </w:rPr>
              <w:t xml:space="preserve"> nhưng không quá </w:t>
            </w:r>
            <w:r w:rsidR="005974BB" w:rsidRPr="005974BB">
              <w:rPr>
                <w:b/>
                <w:spacing w:val="-2"/>
                <w:lang w:val="nl-NL"/>
              </w:rPr>
              <w:t xml:space="preserve">năm </w:t>
            </w:r>
            <w:r w:rsidRPr="005974BB">
              <w:rPr>
                <w:b/>
                <w:spacing w:val="-2"/>
                <w:lang w:val="nl-NL"/>
              </w:rPr>
              <w:t>năm</w:t>
            </w:r>
            <w:r w:rsidRPr="002D2649">
              <w:rPr>
                <w:spacing w:val="-2"/>
                <w:lang w:val="nl-NL"/>
              </w:rPr>
              <w:t xml:space="preserve"> và phải được rà soát, đánh giá, sửa đổi, bổ sung (nếu có) theo định kỳ hằng năm hoặc định kỳ ít hơn do tổ chức tín dụng, ngân hàng mẹ của chi nhánh ngân hàng nước ngoài quy định; </w:t>
            </w:r>
          </w:p>
          <w:p w:rsidR="00106964" w:rsidRPr="002D2649" w:rsidRDefault="00106964" w:rsidP="00106964">
            <w:pPr>
              <w:spacing w:before="100" w:after="100"/>
              <w:ind w:firstLine="567"/>
              <w:rPr>
                <w:spacing w:val="-2"/>
                <w:lang w:val="nl-NL"/>
              </w:rPr>
            </w:pPr>
            <w:r w:rsidRPr="002D2649">
              <w:rPr>
                <w:spacing w:val="-2"/>
                <w:lang w:val="nl-NL"/>
              </w:rPr>
              <w:t>b) Phù hợp với mục tiêu, chiến lược kinh doanh trong từng thời kỳ của tổ chức tín dụng, chi nhánh ngân hàng nước ngoài;</w:t>
            </w:r>
          </w:p>
          <w:p w:rsidR="00106964" w:rsidRPr="002D2649" w:rsidRDefault="00106964" w:rsidP="00106964">
            <w:pPr>
              <w:spacing w:before="100" w:after="100"/>
              <w:ind w:firstLine="567"/>
              <w:rPr>
                <w:spacing w:val="-2"/>
                <w:lang w:val="nl-NL"/>
              </w:rPr>
            </w:pPr>
            <w:r w:rsidRPr="002D2649">
              <w:rPr>
                <w:spacing w:val="-2"/>
                <w:lang w:val="nl-NL"/>
              </w:rPr>
              <w:t>c) Phải xác định tất cả các rủi ro trọng yếu để làm cơ sở cho việc xây dựng và vận hành hệ thống quản lý rủi ro;</w:t>
            </w:r>
          </w:p>
          <w:p w:rsidR="00106964" w:rsidRPr="002D2649" w:rsidRDefault="00106964" w:rsidP="00106964">
            <w:pPr>
              <w:spacing w:before="100" w:after="100"/>
              <w:ind w:firstLine="567"/>
              <w:rPr>
                <w:spacing w:val="-2"/>
                <w:lang w:val="nl-NL"/>
              </w:rPr>
            </w:pPr>
            <w:r w:rsidRPr="002D2649">
              <w:rPr>
                <w:spacing w:val="-2"/>
                <w:lang w:val="nl-NL"/>
              </w:rPr>
              <w:t>d) Được điều chỉnh kịp thời, phù hợp với thay đổi của môi trường kinh doanh, khuôn khổ pháp lý liên quan đến tổ chức tín dụng, chi nhánh ngân hàng nước ngoài;</w:t>
            </w:r>
          </w:p>
          <w:p w:rsidR="00106964" w:rsidRPr="002D2649" w:rsidRDefault="00106964" w:rsidP="00106964">
            <w:pPr>
              <w:spacing w:before="100" w:after="100"/>
              <w:ind w:firstLine="567"/>
              <w:rPr>
                <w:spacing w:val="-2"/>
                <w:lang w:val="nl-NL"/>
              </w:rPr>
            </w:pPr>
            <w:r w:rsidRPr="002D2649">
              <w:rPr>
                <w:spacing w:val="-2"/>
                <w:lang w:val="nl-NL"/>
              </w:rPr>
              <w:t xml:space="preserve">đ) Có tính kế thừa, liên tục để bảo đảm tính khả thi qua các chu kỳ kinh tế; </w:t>
            </w:r>
          </w:p>
          <w:p w:rsidR="00106964" w:rsidRPr="002D2649" w:rsidRDefault="00106964" w:rsidP="00106964">
            <w:pPr>
              <w:spacing w:before="100" w:after="100"/>
              <w:ind w:firstLine="567"/>
              <w:rPr>
                <w:spacing w:val="-2"/>
                <w:lang w:val="nl-NL"/>
              </w:rPr>
            </w:pPr>
            <w:r w:rsidRPr="002D2649">
              <w:rPr>
                <w:spacing w:val="-2"/>
                <w:lang w:val="nl-NL"/>
              </w:rPr>
              <w:t>e) Đảm bảo có đủ nguồn lực (tài chính, công nghệ thông tin, hệ thống thông tin quản lý và con người) để đạt được mục tiêu quản lý rủi ro;</w:t>
            </w:r>
          </w:p>
          <w:p w:rsidR="00106964" w:rsidRPr="005974BB" w:rsidRDefault="00106964" w:rsidP="005974BB">
            <w:pPr>
              <w:spacing w:before="100" w:after="100"/>
              <w:ind w:firstLine="567"/>
              <w:rPr>
                <w:spacing w:val="-2"/>
                <w:lang w:val="nl-NL"/>
              </w:rPr>
            </w:pPr>
            <w:r w:rsidRPr="002D2649">
              <w:rPr>
                <w:spacing w:val="-2"/>
                <w:lang w:val="nl-NL"/>
              </w:rPr>
              <w:t>g) Có quy trình xây dựng chính sách quản lý rủi ro được quy định bằng văn bản phù hợp với thẩm quyền, trách nhiệm và năng lực của Hội đồng quản trị, Hội đồng thành viên, ngân hàng mẹ, Ban kiểm soát, Ban điều hành, bộ phận quản lý rủi ro và các bộ phận liên quan đến rủi ro theo quy định tại Thông tư này và quy định của pháp luật.</w:t>
            </w:r>
          </w:p>
        </w:tc>
        <w:tc>
          <w:tcPr>
            <w:tcW w:w="2715" w:type="dxa"/>
            <w:shd w:val="clear" w:color="auto" w:fill="auto"/>
          </w:tcPr>
          <w:p w:rsidR="009D5FCA" w:rsidRPr="002D2649" w:rsidRDefault="009D5FCA" w:rsidP="00FB6254">
            <w:pPr>
              <w:spacing w:line="252" w:lineRule="auto"/>
              <w:rPr>
                <w:rFonts w:eastAsia="Calibri"/>
                <w:lang w:val="sv-SE"/>
              </w:rPr>
            </w:pPr>
          </w:p>
        </w:tc>
      </w:tr>
      <w:tr w:rsidR="00106964" w:rsidRPr="002D2649" w:rsidTr="00E42F9C">
        <w:trPr>
          <w:trHeight w:val="2279"/>
          <w:jc w:val="center"/>
        </w:trPr>
        <w:tc>
          <w:tcPr>
            <w:tcW w:w="2046" w:type="dxa"/>
            <w:shd w:val="clear" w:color="auto" w:fill="auto"/>
            <w:vAlign w:val="center"/>
          </w:tcPr>
          <w:p w:rsidR="00106964" w:rsidRPr="00E82EE8" w:rsidRDefault="00101B23" w:rsidP="00101B23">
            <w:pPr>
              <w:pStyle w:val="Heading1"/>
              <w:spacing w:before="100" w:after="100"/>
              <w:jc w:val="both"/>
              <w:rPr>
                <w:rFonts w:ascii="Times New Roman" w:hAnsi="Times New Roman"/>
                <w:spacing w:val="-2"/>
                <w:sz w:val="26"/>
                <w:szCs w:val="26"/>
                <w:lang w:val="nl-NL"/>
              </w:rPr>
            </w:pPr>
            <w:r w:rsidRPr="00E82EE8">
              <w:rPr>
                <w:rFonts w:ascii="Times New Roman" w:hAnsi="Times New Roman"/>
                <w:spacing w:val="-2"/>
                <w:sz w:val="26"/>
                <w:szCs w:val="26"/>
                <w:lang w:val="nl-NL"/>
              </w:rPr>
              <w:lastRenderedPageBreak/>
              <w:t>Hạn mức rủi ro</w:t>
            </w:r>
          </w:p>
        </w:tc>
        <w:tc>
          <w:tcPr>
            <w:tcW w:w="10372" w:type="dxa"/>
            <w:shd w:val="clear" w:color="auto" w:fill="auto"/>
            <w:vAlign w:val="center"/>
          </w:tcPr>
          <w:p w:rsidR="00106964" w:rsidRPr="002D2649" w:rsidRDefault="00101B23" w:rsidP="00E42F9C">
            <w:pPr>
              <w:pStyle w:val="ListParagraph"/>
              <w:numPr>
                <w:ilvl w:val="0"/>
                <w:numId w:val="3"/>
              </w:numPr>
              <w:shd w:val="clear" w:color="auto" w:fill="FFFFFF"/>
              <w:spacing w:line="312" w:lineRule="auto"/>
              <w:contextualSpacing w:val="0"/>
              <w:rPr>
                <w:spacing w:val="-2"/>
                <w:lang w:val="nl-NL"/>
              </w:rPr>
            </w:pPr>
            <w:r w:rsidRPr="002D2649">
              <w:rPr>
                <w:spacing w:val="-2"/>
                <w:lang w:val="nl-NL"/>
              </w:rPr>
              <w:t>Hạn mức rủi ro (bao gồm hạn mức rủi ro định tính, hạn mức rủi ro định lượng) được quy định bằng văn bản do Ban Điều hành ban hành theo thẩm quyền tối thiểu gồm các nội dung: Hạn mức rủi ro; thay đổi hạn mức rủi ro; trường hợp ngoại lệ không tuân thủ hạn mức rủi ro; chế tài và quy trình xử lý đối với các trường hợp vi phạm hạn mức rủi ro.</w:t>
            </w:r>
          </w:p>
          <w:p w:rsidR="00101B23" w:rsidRPr="002D2649" w:rsidRDefault="00101B23" w:rsidP="00E82EE8">
            <w:pPr>
              <w:spacing w:before="100" w:after="100"/>
              <w:rPr>
                <w:spacing w:val="-2"/>
                <w:lang w:val="nl-NL"/>
              </w:rPr>
            </w:pPr>
            <w:r w:rsidRPr="002D2649">
              <w:rPr>
                <w:b/>
                <w:spacing w:val="-2"/>
                <w:lang w:val="nl-NL"/>
              </w:rPr>
              <w:t>Hạn mức rủi ro của tổ chức tín dụng, chi nhánh ngân hàng nước ngoài phải đảm bảo</w:t>
            </w:r>
            <w:r w:rsidRPr="002D2649">
              <w:rPr>
                <w:spacing w:val="-2"/>
                <w:lang w:val="nl-NL"/>
              </w:rPr>
              <w:t>:</w:t>
            </w:r>
          </w:p>
          <w:p w:rsidR="00101B23" w:rsidRPr="002D2649" w:rsidRDefault="00101B23" w:rsidP="00101B23">
            <w:pPr>
              <w:spacing w:before="100" w:after="100"/>
              <w:ind w:firstLine="709"/>
              <w:rPr>
                <w:spacing w:val="-2"/>
                <w:lang w:val="nl-NL"/>
              </w:rPr>
            </w:pPr>
            <w:r w:rsidRPr="002D2649">
              <w:rPr>
                <w:spacing w:val="-2"/>
                <w:lang w:val="nl-NL"/>
              </w:rPr>
              <w:t xml:space="preserve">a) Được </w:t>
            </w:r>
            <w:r w:rsidRPr="00D85DDF">
              <w:rPr>
                <w:b/>
                <w:spacing w:val="-2"/>
                <w:lang w:val="nl-NL"/>
              </w:rPr>
              <w:t>xác định trên cơ sở khẩu vị rủi ro, đo lường rủi ro</w:t>
            </w:r>
            <w:r w:rsidRPr="002D2649">
              <w:rPr>
                <w:spacing w:val="-2"/>
                <w:lang w:val="nl-NL"/>
              </w:rPr>
              <w:t xml:space="preserve"> cho các hoạt động kinh doanh, các bộ phận kinh doanh, cá nhân tham gia vào các giao dịch có rủi ro; </w:t>
            </w:r>
          </w:p>
          <w:p w:rsidR="00101B23" w:rsidRPr="002D2649" w:rsidRDefault="00101B23" w:rsidP="00101B23">
            <w:pPr>
              <w:spacing w:before="100" w:after="100"/>
              <w:ind w:firstLine="567"/>
              <w:rPr>
                <w:spacing w:val="-2"/>
                <w:lang w:val="nl-NL"/>
              </w:rPr>
            </w:pPr>
            <w:r w:rsidRPr="002D2649">
              <w:rPr>
                <w:spacing w:val="-2"/>
                <w:lang w:val="nl-NL"/>
              </w:rPr>
              <w:t xml:space="preserve"> </w:t>
            </w:r>
            <w:r w:rsidRPr="002D2649">
              <w:rPr>
                <w:spacing w:val="-2"/>
                <w:lang w:val="nl-NL"/>
              </w:rPr>
              <w:tab/>
              <w:t>b) Phù hợp lợi ích cổ đông của tổ chức tín dụng, ngân hàng mẹ; quyền lợi người gửi tiền và các lợi ích hợp pháp khác của tổ chức tín dụng, chi nhánh ngân hàng nước ngoài theo quy định của pháp luật;</w:t>
            </w:r>
          </w:p>
          <w:p w:rsidR="00101B23" w:rsidRPr="002D2649" w:rsidRDefault="00101B23" w:rsidP="00101B23">
            <w:pPr>
              <w:spacing w:before="100" w:after="100"/>
              <w:ind w:firstLine="709"/>
              <w:rPr>
                <w:spacing w:val="-2"/>
                <w:lang w:val="nl-NL"/>
              </w:rPr>
            </w:pPr>
            <w:r w:rsidRPr="002D2649">
              <w:rPr>
                <w:spacing w:val="-2"/>
                <w:lang w:val="nl-NL"/>
              </w:rPr>
              <w:t>c) Tuân thủ các quy định của pháp luật;</w:t>
            </w:r>
          </w:p>
          <w:p w:rsidR="00101B23" w:rsidRPr="00E82EE8" w:rsidRDefault="00101B23" w:rsidP="00E82EE8">
            <w:pPr>
              <w:spacing w:before="100" w:after="100"/>
              <w:ind w:firstLine="709"/>
              <w:rPr>
                <w:spacing w:val="-2"/>
                <w:lang w:val="nl-NL"/>
              </w:rPr>
            </w:pPr>
            <w:r w:rsidRPr="002D2649">
              <w:rPr>
                <w:spacing w:val="-2"/>
                <w:lang w:val="nl-NL"/>
              </w:rPr>
              <w:t>d) Phải được rà soát, đánh giá lại tối thiểu một năm một lần hoặc vào thời điểm có những thay đổi lớn (mang tính chủ quan và khách quan) ảnh hưởng đến trạng thái rủi ro theo quy định nội bộ của tổ chức tín dụng, chi nhánh ngân hàng nước ngoài;</w:t>
            </w:r>
          </w:p>
        </w:tc>
        <w:tc>
          <w:tcPr>
            <w:tcW w:w="2715" w:type="dxa"/>
            <w:shd w:val="clear" w:color="auto" w:fill="auto"/>
          </w:tcPr>
          <w:p w:rsidR="00106964" w:rsidRPr="002D2649" w:rsidRDefault="00106964" w:rsidP="00E42F9C">
            <w:pPr>
              <w:spacing w:line="252" w:lineRule="auto"/>
              <w:rPr>
                <w:rFonts w:eastAsia="Calibri"/>
                <w:lang w:val="sv-SE"/>
              </w:rPr>
            </w:pPr>
          </w:p>
        </w:tc>
      </w:tr>
      <w:tr w:rsidR="00106964" w:rsidRPr="002D2649" w:rsidTr="00E42F9C">
        <w:trPr>
          <w:trHeight w:val="2279"/>
          <w:jc w:val="center"/>
        </w:trPr>
        <w:tc>
          <w:tcPr>
            <w:tcW w:w="2046" w:type="dxa"/>
            <w:shd w:val="clear" w:color="auto" w:fill="auto"/>
            <w:vAlign w:val="center"/>
          </w:tcPr>
          <w:p w:rsidR="00106964" w:rsidRPr="002D2649" w:rsidRDefault="006E69F8" w:rsidP="00E82EE8">
            <w:pPr>
              <w:pStyle w:val="Heading1"/>
              <w:spacing w:before="100" w:after="100"/>
              <w:jc w:val="both"/>
              <w:rPr>
                <w:rFonts w:ascii="Times New Roman" w:hAnsi="Times New Roman"/>
                <w:spacing w:val="-2"/>
                <w:sz w:val="26"/>
                <w:szCs w:val="26"/>
                <w:lang w:val="nl-NL"/>
              </w:rPr>
            </w:pPr>
            <w:r w:rsidRPr="002D2649">
              <w:rPr>
                <w:rFonts w:ascii="Times New Roman" w:hAnsi="Times New Roman"/>
                <w:spacing w:val="-2"/>
                <w:sz w:val="26"/>
                <w:szCs w:val="26"/>
                <w:lang w:val="nl-NL"/>
              </w:rPr>
              <w:t>Quản lý rủi ro đối với sản phẩm mới, hoạt động trong thị trường mới</w:t>
            </w:r>
          </w:p>
        </w:tc>
        <w:tc>
          <w:tcPr>
            <w:tcW w:w="10372" w:type="dxa"/>
            <w:shd w:val="clear" w:color="auto" w:fill="auto"/>
            <w:vAlign w:val="center"/>
          </w:tcPr>
          <w:p w:rsidR="00106964" w:rsidRPr="002D2649" w:rsidRDefault="006E69F8" w:rsidP="00E42F9C">
            <w:pPr>
              <w:pStyle w:val="ListParagraph"/>
              <w:numPr>
                <w:ilvl w:val="0"/>
                <w:numId w:val="3"/>
              </w:numPr>
              <w:shd w:val="clear" w:color="auto" w:fill="FFFFFF"/>
              <w:spacing w:line="312" w:lineRule="auto"/>
              <w:contextualSpacing w:val="0"/>
              <w:rPr>
                <w:spacing w:val="-2"/>
                <w:lang w:val="nl-NL"/>
              </w:rPr>
            </w:pPr>
            <w:r w:rsidRPr="002D2649">
              <w:rPr>
                <w:spacing w:val="-2"/>
                <w:lang w:val="nl-NL"/>
              </w:rPr>
              <w:t>Tổ chức tín dụng, chi nhánh ngân hàng nước ngoài phải có quy định nội bộ về cung cấp sản phẩm mới</w:t>
            </w:r>
          </w:p>
          <w:p w:rsidR="006E69F8" w:rsidRPr="002D2649" w:rsidRDefault="006E69F8" w:rsidP="00E42F9C">
            <w:pPr>
              <w:pStyle w:val="ListParagraph"/>
              <w:numPr>
                <w:ilvl w:val="0"/>
                <w:numId w:val="3"/>
              </w:numPr>
              <w:shd w:val="clear" w:color="auto" w:fill="FFFFFF"/>
              <w:spacing w:line="312" w:lineRule="auto"/>
              <w:contextualSpacing w:val="0"/>
              <w:rPr>
                <w:spacing w:val="-2"/>
                <w:lang w:val="nl-NL"/>
              </w:rPr>
            </w:pPr>
            <w:r w:rsidRPr="002D2649">
              <w:rPr>
                <w:spacing w:val="-2"/>
                <w:lang w:val="nl-NL"/>
              </w:rPr>
              <w:t>Tổ chức tín dụng, chi nhánh ngân hàng nước ngoài phải xây dựng kế hoạch kinh doanh trước khi cung cấp sản phẩm mới, hoạt động trong thị trường mới. Kế hoạch kinh doanh được lập thành văn bản và được bộ phận quản lý rủi ro thẩm định trước khi trình cấp có thẩm quyền phê duyệt</w:t>
            </w:r>
          </w:p>
          <w:p w:rsidR="006E69F8" w:rsidRPr="00E82EE8" w:rsidRDefault="006E69F8" w:rsidP="00E82EE8">
            <w:pPr>
              <w:spacing w:before="100" w:after="100"/>
              <w:rPr>
                <w:b/>
                <w:spacing w:val="-2"/>
                <w:lang w:val="nl-NL"/>
              </w:rPr>
            </w:pPr>
            <w:r w:rsidRPr="00E82EE8">
              <w:rPr>
                <w:b/>
                <w:spacing w:val="-2"/>
                <w:lang w:val="nl-NL"/>
              </w:rPr>
              <w:t>Tổ chức tín dụng, chi nhánh ngân hàng nước ngoài chỉ cung cấp chính thức các sản phẩm mới, hoạt động chính thức trong thị trường mới khi đảm bảo các yêu cầu sau:</w:t>
            </w:r>
          </w:p>
          <w:p w:rsidR="006E69F8" w:rsidRPr="002D2649" w:rsidRDefault="006E69F8" w:rsidP="006E69F8">
            <w:pPr>
              <w:spacing w:before="100" w:after="100"/>
              <w:ind w:firstLine="709"/>
              <w:rPr>
                <w:spacing w:val="-2"/>
                <w:lang w:val="nl-NL"/>
              </w:rPr>
            </w:pPr>
            <w:r w:rsidRPr="002D2649">
              <w:rPr>
                <w:spacing w:val="-2"/>
                <w:lang w:val="nl-NL"/>
              </w:rPr>
              <w:t>a) Kết thúc giai đoạn thử nghiệm và kết quả thử nghiệm đáp ứng được các yêu cầu đề ra;</w:t>
            </w:r>
          </w:p>
          <w:p w:rsidR="006E69F8" w:rsidRPr="002D2649" w:rsidRDefault="006E69F8" w:rsidP="006E69F8">
            <w:pPr>
              <w:spacing w:before="100" w:after="100"/>
              <w:ind w:firstLine="709"/>
              <w:rPr>
                <w:spacing w:val="-2"/>
                <w:lang w:val="nl-NL"/>
              </w:rPr>
            </w:pPr>
            <w:r w:rsidRPr="002D2649">
              <w:rPr>
                <w:spacing w:val="-2"/>
                <w:lang w:val="nl-NL"/>
              </w:rPr>
              <w:lastRenderedPageBreak/>
              <w:t>b) Ban hành đầy đủ các quy trình nghiệp vụ có liên quan đến sản phẩm mới, hoạt động trong thị trường mới;</w:t>
            </w:r>
          </w:p>
          <w:p w:rsidR="006E69F8" w:rsidRDefault="006E69F8" w:rsidP="006E69F8">
            <w:pPr>
              <w:spacing w:before="100" w:after="100"/>
              <w:ind w:firstLine="709"/>
              <w:rPr>
                <w:spacing w:val="-2"/>
                <w:lang w:val="nl-NL"/>
              </w:rPr>
            </w:pPr>
            <w:r w:rsidRPr="002D2649">
              <w:rPr>
                <w:spacing w:val="-2"/>
                <w:lang w:val="nl-NL"/>
              </w:rPr>
              <w:t>c) Có đầy đủ các quy trình nhận dạng, đo lường, đánh giá, theo dõi và kiểm soát các rủi ro trọng yếu phát sinh từ việc cung cấp sản phẩm mới, hoạt động trong thị trường mới.</w:t>
            </w:r>
          </w:p>
          <w:p w:rsidR="00E82EE8" w:rsidRDefault="00E82EE8" w:rsidP="00E82EE8">
            <w:pPr>
              <w:pStyle w:val="Heading1"/>
              <w:spacing w:before="100" w:after="100"/>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24. Nhận dạng, đo lường, theo dõi và kiểm soát rủi ro</w:t>
            </w:r>
          </w:p>
          <w:p w:rsidR="00E82EE8" w:rsidRPr="002D2649" w:rsidRDefault="00E82EE8" w:rsidP="00E82EE8">
            <w:pPr>
              <w:pStyle w:val="Heading1"/>
              <w:spacing w:before="100" w:after="100"/>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25.</w:t>
            </w:r>
            <w:r w:rsidRPr="002D2649">
              <w:rPr>
                <w:rFonts w:ascii="Times New Roman" w:hAnsi="Times New Roman"/>
                <w:color w:val="FF0000"/>
                <w:spacing w:val="-2"/>
                <w:sz w:val="26"/>
                <w:szCs w:val="26"/>
                <w:lang w:val="nl-NL"/>
              </w:rPr>
              <w:t xml:space="preserve"> </w:t>
            </w:r>
            <w:r w:rsidRPr="002D2649">
              <w:rPr>
                <w:rFonts w:ascii="Times New Roman" w:hAnsi="Times New Roman"/>
                <w:spacing w:val="-2"/>
                <w:sz w:val="26"/>
                <w:szCs w:val="26"/>
                <w:lang w:val="nl-NL"/>
              </w:rPr>
              <w:t>Kiểm tra sức chịu đựng</w:t>
            </w:r>
          </w:p>
        </w:tc>
        <w:tc>
          <w:tcPr>
            <w:tcW w:w="2715" w:type="dxa"/>
            <w:shd w:val="clear" w:color="auto" w:fill="auto"/>
          </w:tcPr>
          <w:p w:rsidR="00106964" w:rsidRPr="002D2649" w:rsidRDefault="00106964" w:rsidP="00E42F9C">
            <w:pPr>
              <w:spacing w:line="252" w:lineRule="auto"/>
              <w:rPr>
                <w:rFonts w:eastAsia="Calibri"/>
                <w:lang w:val="sv-SE"/>
              </w:rPr>
            </w:pPr>
          </w:p>
        </w:tc>
      </w:tr>
      <w:tr w:rsidR="00106964"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b/>
                <w:bCs/>
                <w:lang w:val="nl-NL"/>
              </w:rPr>
            </w:pPr>
            <w:r w:rsidRPr="002D2649">
              <w:rPr>
                <w:b/>
                <w:bCs/>
                <w:lang w:val="nl-NL"/>
              </w:rPr>
              <w:lastRenderedPageBreak/>
              <w:t>QUẢN LÝ RỦI RO TÍN DỤNG</w:t>
            </w:r>
          </w:p>
          <w:p w:rsidR="00106964" w:rsidRPr="002D2649" w:rsidRDefault="00106964" w:rsidP="00E42F9C">
            <w:pPr>
              <w:pStyle w:val="Heading1"/>
              <w:spacing w:before="100" w:after="100"/>
              <w:ind w:firstLine="567"/>
              <w:jc w:val="both"/>
              <w:rPr>
                <w:rFonts w:ascii="Times New Roman" w:hAnsi="Times New Roman"/>
                <w:spacing w:val="-2"/>
                <w:sz w:val="26"/>
                <w:szCs w:val="26"/>
                <w:lang w:val="nl-NL"/>
              </w:rPr>
            </w:pPr>
          </w:p>
        </w:tc>
        <w:tc>
          <w:tcPr>
            <w:tcW w:w="10372" w:type="dxa"/>
            <w:shd w:val="clear" w:color="auto" w:fill="auto"/>
            <w:vAlign w:val="center"/>
          </w:tcPr>
          <w:p w:rsidR="006E69F8" w:rsidRPr="002D2649" w:rsidRDefault="006E69F8" w:rsidP="006E69F8">
            <w:pPr>
              <w:spacing w:before="100" w:after="100"/>
              <w:ind w:firstLine="709"/>
              <w:rPr>
                <w:b/>
                <w:spacing w:val="-2"/>
                <w:lang w:val="nl-NL"/>
              </w:rPr>
            </w:pPr>
            <w:r w:rsidRPr="002D2649">
              <w:rPr>
                <w:b/>
                <w:spacing w:val="-2"/>
                <w:lang w:val="nl-NL"/>
              </w:rPr>
              <w:t>Điều 26. Chính sách, hạn mức quản lý rủi ro tín dụng</w:t>
            </w:r>
          </w:p>
          <w:p w:rsidR="006E69F8" w:rsidRPr="002D2649" w:rsidRDefault="006E69F8" w:rsidP="006E69F8">
            <w:pPr>
              <w:spacing w:before="100" w:after="100"/>
              <w:ind w:firstLine="709"/>
              <w:rPr>
                <w:b/>
                <w:spacing w:val="-2"/>
                <w:lang w:val="nl-NL"/>
              </w:rPr>
            </w:pPr>
            <w:r w:rsidRPr="002D2649">
              <w:rPr>
                <w:b/>
                <w:spacing w:val="-2"/>
                <w:lang w:val="nl-NL"/>
              </w:rPr>
              <w:t>Điều 27. Hệ thống xếp hạng tín dụng nội bộ</w:t>
            </w:r>
          </w:p>
          <w:p w:rsidR="006E69F8" w:rsidRPr="002D2649" w:rsidRDefault="006E69F8" w:rsidP="006E69F8">
            <w:pPr>
              <w:spacing w:before="100" w:after="100"/>
              <w:ind w:firstLine="709"/>
              <w:rPr>
                <w:b/>
                <w:spacing w:val="-2"/>
                <w:lang w:val="nl-NL"/>
              </w:rPr>
            </w:pPr>
            <w:r w:rsidRPr="002D2649">
              <w:rPr>
                <w:b/>
                <w:spacing w:val="-2"/>
                <w:lang w:val="nl-NL"/>
              </w:rPr>
              <w:t>Điều 28. Đo lường, theo dõi, kiểm soát rủi ro tín dụng</w:t>
            </w:r>
          </w:p>
          <w:p w:rsidR="006E69F8" w:rsidRPr="002D2649" w:rsidRDefault="006E69F8" w:rsidP="006E69F8">
            <w:pPr>
              <w:spacing w:before="100" w:after="100"/>
              <w:ind w:firstLine="709"/>
              <w:rPr>
                <w:b/>
                <w:spacing w:val="-2"/>
                <w:lang w:val="nl-NL"/>
              </w:rPr>
            </w:pPr>
            <w:r w:rsidRPr="002D2649">
              <w:rPr>
                <w:b/>
                <w:spacing w:val="-2"/>
                <w:lang w:val="nl-NL"/>
              </w:rPr>
              <w:t xml:space="preserve">Điều 29. Kiểm soát nội bộ đối với hoạt động tín dụng  </w:t>
            </w:r>
          </w:p>
          <w:p w:rsidR="006E69F8" w:rsidRPr="002D2649" w:rsidRDefault="006E69F8" w:rsidP="006E69F8">
            <w:pPr>
              <w:tabs>
                <w:tab w:val="left" w:pos="993"/>
              </w:tabs>
              <w:spacing w:before="100" w:after="100"/>
              <w:ind w:firstLine="709"/>
              <w:rPr>
                <w:b/>
                <w:spacing w:val="-2"/>
                <w:lang w:val="nl-NL"/>
              </w:rPr>
            </w:pPr>
            <w:r w:rsidRPr="002D2649">
              <w:rPr>
                <w:b/>
                <w:spacing w:val="-2"/>
                <w:lang w:val="nl-NL"/>
              </w:rPr>
              <w:t>Điều 30. Thẩm định tín dụng</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31. Phê duyệt quyết định tín dụng </w:t>
            </w:r>
          </w:p>
          <w:p w:rsidR="006E69F8" w:rsidRPr="002D2649" w:rsidRDefault="006E69F8" w:rsidP="006E69F8">
            <w:pPr>
              <w:spacing w:before="100" w:after="100"/>
              <w:ind w:firstLine="709"/>
              <w:rPr>
                <w:b/>
                <w:spacing w:val="-2"/>
                <w:lang w:val="nl-NL"/>
              </w:rPr>
            </w:pPr>
            <w:r w:rsidRPr="002D2649">
              <w:rPr>
                <w:b/>
                <w:spacing w:val="-2"/>
                <w:lang w:val="nl-NL"/>
              </w:rPr>
              <w:t>Điều 32. Quản lý tín dụng</w:t>
            </w:r>
          </w:p>
          <w:p w:rsidR="006E69F8" w:rsidRPr="002D2649" w:rsidRDefault="006E69F8" w:rsidP="006E69F8">
            <w:pPr>
              <w:spacing w:before="100" w:after="100"/>
              <w:ind w:firstLine="709"/>
              <w:rPr>
                <w:b/>
                <w:spacing w:val="-2"/>
                <w:lang w:val="nl-NL"/>
              </w:rPr>
            </w:pPr>
            <w:r w:rsidRPr="002D2649">
              <w:rPr>
                <w:b/>
                <w:spacing w:val="-2"/>
                <w:lang w:val="nl-NL"/>
              </w:rPr>
              <w:t>Điều 33</w:t>
            </w:r>
            <w:r w:rsidRPr="002D2649">
              <w:rPr>
                <w:spacing w:val="-2"/>
                <w:lang w:val="nl-NL"/>
              </w:rPr>
              <w:t xml:space="preserve">. </w:t>
            </w:r>
            <w:r w:rsidRPr="002D2649">
              <w:rPr>
                <w:b/>
                <w:spacing w:val="-2"/>
                <w:lang w:val="nl-NL"/>
              </w:rPr>
              <w:t>Quản lý tài sản bảo đảm</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34. Quản lý khoản cấp tín dụng có vấn đề </w:t>
            </w:r>
          </w:p>
          <w:p w:rsidR="00106964" w:rsidRPr="00E82EE8" w:rsidRDefault="006E69F8" w:rsidP="006E69F8">
            <w:pPr>
              <w:pStyle w:val="ListParagraph"/>
              <w:shd w:val="clear" w:color="auto" w:fill="FFFFFF"/>
              <w:spacing w:line="312" w:lineRule="auto"/>
              <w:contextualSpacing w:val="0"/>
              <w:rPr>
                <w:b/>
                <w:spacing w:val="-2"/>
                <w:lang w:val="nl-NL"/>
              </w:rPr>
            </w:pPr>
            <w:r w:rsidRPr="00E82EE8">
              <w:rPr>
                <w:b/>
                <w:spacing w:val="-2"/>
                <w:lang w:val="nl-NL"/>
              </w:rPr>
              <w:t>Điều 35. Báo cáo nội bộ về rủi ro tín dụng</w:t>
            </w:r>
          </w:p>
        </w:tc>
        <w:tc>
          <w:tcPr>
            <w:tcW w:w="2715" w:type="dxa"/>
            <w:shd w:val="clear" w:color="auto" w:fill="auto"/>
          </w:tcPr>
          <w:p w:rsidR="00106964" w:rsidRPr="002D2649" w:rsidRDefault="00106964"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pStyle w:val="Heading1"/>
              <w:spacing w:before="100" w:after="100"/>
              <w:jc w:val="center"/>
              <w:rPr>
                <w:rFonts w:ascii="Times New Roman" w:hAnsi="Times New Roman"/>
                <w:spacing w:val="-2"/>
                <w:sz w:val="26"/>
                <w:szCs w:val="26"/>
                <w:lang w:val="nl-NL"/>
              </w:rPr>
            </w:pPr>
            <w:r w:rsidRPr="002D2649">
              <w:rPr>
                <w:rFonts w:ascii="Times New Roman" w:hAnsi="Times New Roman"/>
                <w:spacing w:val="-2"/>
                <w:sz w:val="26"/>
                <w:szCs w:val="26"/>
                <w:lang w:val="nl-NL"/>
              </w:rPr>
              <w:lastRenderedPageBreak/>
              <w:t>QUẢN LÝ RỦI RO THỊ TRƯỜNG</w:t>
            </w:r>
          </w:p>
          <w:p w:rsidR="006E69F8" w:rsidRPr="002D2649" w:rsidRDefault="006E69F8" w:rsidP="00E42F9C">
            <w:pPr>
              <w:pStyle w:val="Heading1"/>
              <w:spacing w:before="100" w:after="100"/>
              <w:ind w:firstLine="567"/>
              <w:jc w:val="both"/>
              <w:rPr>
                <w:rFonts w:ascii="Times New Roman" w:hAnsi="Times New Roman"/>
                <w:spacing w:val="-2"/>
                <w:sz w:val="26"/>
                <w:szCs w:val="26"/>
                <w:lang w:val="nl-NL"/>
              </w:rPr>
            </w:pPr>
          </w:p>
        </w:tc>
        <w:tc>
          <w:tcPr>
            <w:tcW w:w="10372" w:type="dxa"/>
            <w:shd w:val="clear" w:color="auto" w:fill="auto"/>
            <w:vAlign w:val="center"/>
          </w:tcPr>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36. Nội dung chính sách quản lý rủi ro thị trường  </w:t>
            </w:r>
          </w:p>
          <w:p w:rsidR="006E69F8" w:rsidRPr="002D2649" w:rsidRDefault="006E69F8" w:rsidP="006E69F8">
            <w:pPr>
              <w:spacing w:before="100" w:after="100"/>
              <w:ind w:firstLine="709"/>
              <w:rPr>
                <w:b/>
                <w:spacing w:val="-2"/>
                <w:lang w:val="nl-NL"/>
              </w:rPr>
            </w:pPr>
            <w:r w:rsidRPr="002D2649">
              <w:rPr>
                <w:b/>
                <w:spacing w:val="-2"/>
                <w:lang w:val="nl-NL"/>
              </w:rPr>
              <w:t>Điều 37. Quy trình quản lý rủi ro thị trường</w:t>
            </w:r>
          </w:p>
          <w:p w:rsidR="006E69F8" w:rsidRPr="002D2649" w:rsidRDefault="006E69F8" w:rsidP="006E69F8">
            <w:pPr>
              <w:spacing w:before="100" w:after="100"/>
              <w:ind w:firstLine="709"/>
              <w:rPr>
                <w:b/>
                <w:spacing w:val="-2"/>
                <w:lang w:val="nl-NL"/>
              </w:rPr>
            </w:pPr>
            <w:r w:rsidRPr="002D2649">
              <w:rPr>
                <w:b/>
                <w:spacing w:val="-2"/>
                <w:lang w:val="nl-NL"/>
              </w:rPr>
              <w:t xml:space="preserve">Điều 38. Hạn mức rủi ro thị trường    </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39. Đo lường, theo dõi rủi ro thị trường</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40. Kiểm soát rủi ro thị trường trên sổ kinh doanh </w:t>
            </w:r>
          </w:p>
          <w:p w:rsidR="006E69F8" w:rsidRPr="002D2649" w:rsidRDefault="006E69F8" w:rsidP="00E42F9C">
            <w:pPr>
              <w:pStyle w:val="ListParagraph"/>
              <w:numPr>
                <w:ilvl w:val="0"/>
                <w:numId w:val="3"/>
              </w:numPr>
              <w:shd w:val="clear" w:color="auto" w:fill="FFFFFF"/>
              <w:spacing w:line="312" w:lineRule="auto"/>
              <w:contextualSpacing w:val="0"/>
              <w:rPr>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pStyle w:val="Heading1"/>
              <w:spacing w:before="100" w:after="100"/>
              <w:jc w:val="center"/>
              <w:rPr>
                <w:rFonts w:ascii="Times New Roman" w:hAnsi="Times New Roman"/>
                <w:spacing w:val="-2"/>
                <w:sz w:val="26"/>
                <w:szCs w:val="26"/>
                <w:lang w:val="nl-NL"/>
              </w:rPr>
            </w:pPr>
            <w:r w:rsidRPr="002D2649">
              <w:rPr>
                <w:rFonts w:ascii="Times New Roman" w:hAnsi="Times New Roman"/>
                <w:spacing w:val="-2"/>
                <w:sz w:val="26"/>
                <w:szCs w:val="26"/>
                <w:lang w:val="nl-NL"/>
              </w:rPr>
              <w:t xml:space="preserve">QUẢN LÝ RỦI RO HOẠT ĐỘNG </w:t>
            </w:r>
          </w:p>
          <w:p w:rsidR="006E69F8" w:rsidRPr="002D2649" w:rsidRDefault="006E69F8" w:rsidP="00E42F9C">
            <w:pPr>
              <w:pStyle w:val="Heading1"/>
              <w:spacing w:before="100" w:after="100"/>
              <w:ind w:firstLine="567"/>
              <w:jc w:val="both"/>
              <w:rPr>
                <w:rFonts w:ascii="Times New Roman" w:hAnsi="Times New Roman"/>
                <w:spacing w:val="-2"/>
                <w:sz w:val="26"/>
                <w:szCs w:val="26"/>
                <w:lang w:val="nl-NL"/>
              </w:rPr>
            </w:pPr>
          </w:p>
        </w:tc>
        <w:tc>
          <w:tcPr>
            <w:tcW w:w="10372" w:type="dxa"/>
            <w:shd w:val="clear" w:color="auto" w:fill="auto"/>
            <w:vAlign w:val="center"/>
          </w:tcPr>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41. Nội dung chính sách quản lý rủi ro hoạt động  </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42. Nhận dạng, đo lường, kiểm soát rủi ro hoạt động</w:t>
            </w:r>
          </w:p>
          <w:p w:rsidR="006E69F8" w:rsidRPr="002D2649" w:rsidRDefault="006E69F8" w:rsidP="006E69F8">
            <w:pPr>
              <w:spacing w:before="100" w:after="100"/>
              <w:ind w:firstLine="709"/>
              <w:rPr>
                <w:b/>
                <w:spacing w:val="-2"/>
                <w:lang w:val="nl-NL"/>
              </w:rPr>
            </w:pPr>
            <w:r w:rsidRPr="002D2649">
              <w:rPr>
                <w:b/>
                <w:spacing w:val="-2"/>
                <w:lang w:val="nl-NL"/>
              </w:rPr>
              <w:t>Điều 43. Hạn mức rủi ro hoạt động</w:t>
            </w:r>
          </w:p>
          <w:p w:rsidR="006E69F8" w:rsidRPr="002D2649" w:rsidRDefault="006E69F8" w:rsidP="006E69F8">
            <w:pPr>
              <w:spacing w:before="100" w:after="100"/>
              <w:ind w:firstLine="709"/>
              <w:rPr>
                <w:b/>
                <w:spacing w:val="-2"/>
                <w:lang w:val="nl-NL"/>
              </w:rPr>
            </w:pPr>
            <w:r w:rsidRPr="002D2649">
              <w:rPr>
                <w:b/>
                <w:spacing w:val="-2"/>
                <w:lang w:val="nl-NL"/>
              </w:rPr>
              <w:t xml:space="preserve">Điều 44. Quản lý rủi ro hoạt động đối với hoạt động thuê ngoài, quy trình công nghệ          </w:t>
            </w:r>
          </w:p>
          <w:p w:rsidR="006E69F8" w:rsidRPr="002D2649" w:rsidRDefault="006E69F8" w:rsidP="006E69F8">
            <w:pPr>
              <w:spacing w:before="100" w:after="100"/>
              <w:ind w:firstLine="709"/>
              <w:rPr>
                <w:b/>
                <w:spacing w:val="-2"/>
                <w:lang w:val="nl-NL"/>
              </w:rPr>
            </w:pPr>
            <w:r w:rsidRPr="002D2649">
              <w:rPr>
                <w:b/>
                <w:spacing w:val="-2"/>
                <w:lang w:val="nl-NL"/>
              </w:rPr>
              <w:t xml:space="preserve">Điều 45. Mua bảo hiểm để giảm thiểu tổn thất do rủi ro hoạt động   </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46. Kế hoạch duy trì hoạt động liên tục</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47. Báo cáo nội bộ về rủi ro hoạt động </w:t>
            </w:r>
          </w:p>
          <w:p w:rsidR="006E69F8" w:rsidRPr="002D2649" w:rsidRDefault="006E69F8" w:rsidP="00E42F9C">
            <w:pPr>
              <w:pStyle w:val="ListParagraph"/>
              <w:numPr>
                <w:ilvl w:val="0"/>
                <w:numId w:val="3"/>
              </w:numPr>
              <w:shd w:val="clear" w:color="auto" w:fill="FFFFFF"/>
              <w:spacing w:line="312" w:lineRule="auto"/>
              <w:contextualSpacing w:val="0"/>
              <w:rPr>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b/>
                <w:bCs/>
                <w:lang w:val="nl-NL"/>
              </w:rPr>
            </w:pPr>
            <w:r w:rsidRPr="002D2649">
              <w:rPr>
                <w:b/>
                <w:bCs/>
                <w:lang w:val="nl-NL"/>
              </w:rPr>
              <w:t>QUẢN LÝ RỦI RO THANH KHOẢN</w:t>
            </w:r>
          </w:p>
          <w:p w:rsidR="006E69F8" w:rsidRPr="002D2649" w:rsidRDefault="006E69F8" w:rsidP="00E42F9C">
            <w:pPr>
              <w:pStyle w:val="Heading1"/>
              <w:spacing w:before="100" w:after="100"/>
              <w:ind w:firstLine="567"/>
              <w:jc w:val="both"/>
              <w:rPr>
                <w:rFonts w:ascii="Times New Roman" w:hAnsi="Times New Roman"/>
                <w:spacing w:val="-2"/>
                <w:sz w:val="26"/>
                <w:szCs w:val="26"/>
                <w:lang w:val="nl-NL"/>
              </w:rPr>
            </w:pPr>
          </w:p>
        </w:tc>
        <w:tc>
          <w:tcPr>
            <w:tcW w:w="10372" w:type="dxa"/>
            <w:shd w:val="clear" w:color="auto" w:fill="auto"/>
            <w:vAlign w:val="center"/>
          </w:tcPr>
          <w:p w:rsidR="006E69F8" w:rsidRPr="002D2649" w:rsidRDefault="006E69F8" w:rsidP="006E69F8">
            <w:pPr>
              <w:spacing w:before="100" w:after="100"/>
              <w:ind w:firstLine="709"/>
              <w:rPr>
                <w:b/>
                <w:spacing w:val="-2"/>
                <w:lang w:val="nl-NL"/>
              </w:rPr>
            </w:pPr>
            <w:r w:rsidRPr="002D2649">
              <w:rPr>
                <w:b/>
                <w:spacing w:val="-2"/>
                <w:lang w:val="nl-NL"/>
              </w:rPr>
              <w:t xml:space="preserve">Điều 48. Chính sách quản lý rủi ro thanh khoản  </w:t>
            </w:r>
          </w:p>
          <w:p w:rsidR="006E69F8" w:rsidRPr="002D2649" w:rsidRDefault="006E69F8" w:rsidP="006E69F8">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 xml:space="preserve">Điều 49. Quy trình quản lý rủi ro thanh khoản </w:t>
            </w:r>
          </w:p>
          <w:p w:rsidR="006E69F8" w:rsidRPr="002D2649" w:rsidRDefault="006E69F8" w:rsidP="006E69F8">
            <w:pPr>
              <w:spacing w:before="100" w:after="100"/>
              <w:ind w:firstLine="720"/>
              <w:rPr>
                <w:b/>
                <w:bCs/>
                <w:spacing w:val="-2"/>
                <w:lang w:val="nl-NL"/>
              </w:rPr>
            </w:pPr>
            <w:r w:rsidRPr="002D2649">
              <w:rPr>
                <w:b/>
                <w:bCs/>
                <w:spacing w:val="-2"/>
                <w:lang w:val="nl-NL"/>
              </w:rPr>
              <w:t>Điều 50. Hạn mức rủi ro thanh khoản</w:t>
            </w:r>
          </w:p>
          <w:p w:rsidR="006E69F8" w:rsidRPr="002D2649" w:rsidRDefault="006E69F8" w:rsidP="006E69F8">
            <w:pPr>
              <w:spacing w:before="100" w:after="100"/>
              <w:ind w:firstLine="720"/>
              <w:rPr>
                <w:b/>
                <w:bCs/>
                <w:spacing w:val="-2"/>
                <w:lang w:val="nl-NL"/>
              </w:rPr>
            </w:pPr>
            <w:r w:rsidRPr="002D2649">
              <w:rPr>
                <w:b/>
                <w:bCs/>
                <w:spacing w:val="-2"/>
                <w:lang w:val="nl-NL"/>
              </w:rPr>
              <w:t>Điều 51. Đo lường và kiểm soát rủi ro thanh khoản</w:t>
            </w:r>
          </w:p>
          <w:p w:rsidR="006E69F8" w:rsidRPr="002D2649" w:rsidRDefault="006E69F8" w:rsidP="00E42F9C">
            <w:pPr>
              <w:pStyle w:val="ListParagraph"/>
              <w:numPr>
                <w:ilvl w:val="0"/>
                <w:numId w:val="3"/>
              </w:numPr>
              <w:shd w:val="clear" w:color="auto" w:fill="FFFFFF"/>
              <w:spacing w:line="312" w:lineRule="auto"/>
              <w:contextualSpacing w:val="0"/>
              <w:rPr>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b/>
                <w:bCs/>
                <w:spacing w:val="-2"/>
                <w:lang w:val="nl-NL"/>
              </w:rPr>
            </w:pPr>
            <w:r w:rsidRPr="002D2649">
              <w:rPr>
                <w:b/>
                <w:bCs/>
                <w:spacing w:val="-2"/>
                <w:lang w:val="nl-NL"/>
              </w:rPr>
              <w:lastRenderedPageBreak/>
              <w:t>QUẢN LÝ RỦI RO TẬP TRUNG</w:t>
            </w:r>
          </w:p>
          <w:p w:rsidR="006E69F8" w:rsidRPr="002D2649" w:rsidRDefault="006E69F8" w:rsidP="00E42F9C">
            <w:pPr>
              <w:pStyle w:val="Heading1"/>
              <w:spacing w:before="100" w:after="100"/>
              <w:ind w:firstLine="567"/>
              <w:jc w:val="both"/>
              <w:rPr>
                <w:rFonts w:ascii="Times New Roman" w:hAnsi="Times New Roman"/>
                <w:spacing w:val="-2"/>
                <w:sz w:val="26"/>
                <w:szCs w:val="26"/>
                <w:lang w:val="nl-NL"/>
              </w:rPr>
            </w:pPr>
          </w:p>
        </w:tc>
        <w:tc>
          <w:tcPr>
            <w:tcW w:w="10372" w:type="dxa"/>
            <w:shd w:val="clear" w:color="auto" w:fill="auto"/>
            <w:vAlign w:val="center"/>
          </w:tcPr>
          <w:p w:rsidR="006E69F8" w:rsidRPr="002D2649" w:rsidRDefault="006E69F8" w:rsidP="006E69F8">
            <w:pPr>
              <w:spacing w:before="100" w:after="100"/>
              <w:ind w:firstLine="720"/>
              <w:rPr>
                <w:b/>
                <w:bCs/>
                <w:spacing w:val="-2"/>
                <w:lang w:val="nl-NL"/>
              </w:rPr>
            </w:pPr>
            <w:r w:rsidRPr="002D2649">
              <w:rPr>
                <w:b/>
                <w:bCs/>
                <w:spacing w:val="-2"/>
                <w:lang w:val="nl-NL"/>
              </w:rPr>
              <w:t>Điều 52. Chính sách quản lý rủi ro tập trung</w:t>
            </w:r>
          </w:p>
          <w:p w:rsidR="006E69F8" w:rsidRPr="002D2649" w:rsidRDefault="006E69F8" w:rsidP="006E69F8">
            <w:pPr>
              <w:spacing w:before="100" w:after="100"/>
              <w:ind w:firstLine="709"/>
              <w:rPr>
                <w:b/>
                <w:spacing w:val="-2"/>
                <w:lang w:val="nl-NL"/>
              </w:rPr>
            </w:pPr>
            <w:r w:rsidRPr="002D2649">
              <w:rPr>
                <w:b/>
                <w:spacing w:val="-2"/>
                <w:lang w:val="nl-NL"/>
              </w:rPr>
              <w:t>Điều 53. Hạn mức rủi ro tập trung</w:t>
            </w:r>
          </w:p>
          <w:p w:rsidR="006E69F8" w:rsidRPr="002D2649" w:rsidRDefault="006E69F8" w:rsidP="00E42F9C">
            <w:pPr>
              <w:pStyle w:val="ListParagraph"/>
              <w:numPr>
                <w:ilvl w:val="0"/>
                <w:numId w:val="3"/>
              </w:numPr>
              <w:shd w:val="clear" w:color="auto" w:fill="FFFFFF"/>
              <w:spacing w:line="312" w:lineRule="auto"/>
              <w:contextualSpacing w:val="0"/>
              <w:rPr>
                <w:spacing w:val="-2"/>
                <w:lang w:val="nl-NL"/>
              </w:rPr>
            </w:pPr>
            <w:r w:rsidRPr="002D2649">
              <w:rPr>
                <w:b/>
                <w:bCs/>
                <w:spacing w:val="-2"/>
                <w:lang w:val="nl-NL"/>
              </w:rPr>
              <w:t>Điều 54. Nhận dạng, đo lường, kiểm soát rủi ro tập trung</w:t>
            </w: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b/>
                <w:lang w:val="nl-NL"/>
              </w:rPr>
            </w:pPr>
            <w:r w:rsidRPr="002D2649">
              <w:rPr>
                <w:b/>
                <w:bCs/>
                <w:spacing w:val="-2"/>
                <w:lang w:val="nl-NL"/>
              </w:rPr>
              <w:t>QUẢN LÝ RỦI RO LÃI SUẤT TRÊN SỔ NGÂN HÀNG</w:t>
            </w:r>
          </w:p>
          <w:p w:rsidR="006E69F8" w:rsidRPr="002D2649" w:rsidRDefault="006E69F8" w:rsidP="00E42F9C">
            <w:pPr>
              <w:spacing w:before="100" w:after="100"/>
              <w:jc w:val="center"/>
              <w:rPr>
                <w:b/>
                <w:bCs/>
                <w:spacing w:val="-2"/>
                <w:lang w:val="nl-NL"/>
              </w:rPr>
            </w:pPr>
          </w:p>
        </w:tc>
        <w:tc>
          <w:tcPr>
            <w:tcW w:w="10372" w:type="dxa"/>
            <w:shd w:val="clear" w:color="auto" w:fill="auto"/>
            <w:vAlign w:val="center"/>
          </w:tcPr>
          <w:p w:rsidR="006E69F8" w:rsidRPr="002D2649" w:rsidRDefault="006E69F8" w:rsidP="006E69F8">
            <w:pPr>
              <w:spacing w:before="100" w:after="100"/>
              <w:ind w:firstLine="709"/>
              <w:rPr>
                <w:b/>
                <w:lang w:val="nl-NL"/>
              </w:rPr>
            </w:pPr>
            <w:r w:rsidRPr="002D2649">
              <w:rPr>
                <w:b/>
                <w:lang w:val="nl-NL"/>
              </w:rPr>
              <w:t>Điều 55. Chính sách, hạn mức quản lý rủi ro lãi suất trên sổ ngân hàng</w:t>
            </w:r>
          </w:p>
          <w:p w:rsidR="006E69F8" w:rsidRPr="002D2649" w:rsidRDefault="006E69F8" w:rsidP="006E69F8">
            <w:pPr>
              <w:spacing w:before="100" w:after="100"/>
              <w:ind w:firstLine="706"/>
              <w:rPr>
                <w:b/>
                <w:lang w:val="nl-NL"/>
              </w:rPr>
            </w:pPr>
            <w:r w:rsidRPr="002D2649">
              <w:rPr>
                <w:b/>
                <w:lang w:val="nl-NL"/>
              </w:rPr>
              <w:t>Điều 56. Quy trình quản lý rủi ro lãi suất trên sổ ngân hàng</w:t>
            </w:r>
          </w:p>
          <w:p w:rsidR="006E69F8" w:rsidRPr="002D2649" w:rsidRDefault="006E69F8" w:rsidP="006E69F8">
            <w:pPr>
              <w:spacing w:before="100" w:after="100"/>
              <w:ind w:firstLine="706"/>
              <w:rPr>
                <w:b/>
                <w:lang w:val="nl-NL"/>
              </w:rPr>
            </w:pPr>
            <w:r w:rsidRPr="002D2649">
              <w:rPr>
                <w:b/>
                <w:lang w:val="nl-NL"/>
              </w:rPr>
              <w:t>Điều 57. Đo lường rủi ro lãi suất trên sổ ngân hàng</w:t>
            </w:r>
          </w:p>
          <w:p w:rsidR="006E69F8" w:rsidRPr="002D2649" w:rsidRDefault="006E69F8" w:rsidP="006E69F8">
            <w:pPr>
              <w:spacing w:before="100" w:after="100"/>
              <w:ind w:firstLine="706"/>
              <w:rPr>
                <w:b/>
                <w:lang w:val="nl-NL"/>
              </w:rPr>
            </w:pPr>
            <w:r w:rsidRPr="002D2649">
              <w:rPr>
                <w:b/>
                <w:lang w:val="nl-NL"/>
              </w:rPr>
              <w:t>Điều 58. Kiểm soát rủi ro lãi suất trên sổ ngân hàng</w:t>
            </w:r>
          </w:p>
          <w:p w:rsidR="006E69F8" w:rsidRPr="002D2649" w:rsidRDefault="006E69F8" w:rsidP="00E42F9C">
            <w:pPr>
              <w:spacing w:before="100" w:after="100"/>
              <w:ind w:firstLine="720"/>
              <w:rPr>
                <w:b/>
                <w:bCs/>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b/>
                <w:bCs/>
                <w:lang w:val="nl-NL"/>
              </w:rPr>
            </w:pPr>
            <w:r w:rsidRPr="002D2649">
              <w:rPr>
                <w:b/>
                <w:bCs/>
                <w:lang w:val="nl-NL"/>
              </w:rPr>
              <w:t xml:space="preserve">ĐÁNH GIÁ NỘI BỘ VỀ MỨC ĐỦ VỐN </w:t>
            </w:r>
          </w:p>
          <w:p w:rsidR="006E69F8" w:rsidRPr="002D2649" w:rsidRDefault="006E69F8" w:rsidP="00E42F9C">
            <w:pPr>
              <w:spacing w:before="100" w:after="100"/>
              <w:jc w:val="center"/>
              <w:rPr>
                <w:b/>
                <w:bCs/>
                <w:spacing w:val="-2"/>
                <w:lang w:val="nl-NL"/>
              </w:rPr>
            </w:pPr>
          </w:p>
        </w:tc>
        <w:tc>
          <w:tcPr>
            <w:tcW w:w="10372" w:type="dxa"/>
            <w:shd w:val="clear" w:color="auto" w:fill="auto"/>
            <w:vAlign w:val="center"/>
          </w:tcPr>
          <w:p w:rsidR="006E69F8" w:rsidRPr="002D2649" w:rsidRDefault="006E69F8" w:rsidP="006E69F8">
            <w:pPr>
              <w:spacing w:before="100" w:after="100"/>
              <w:ind w:firstLine="720"/>
              <w:rPr>
                <w:b/>
                <w:bCs/>
                <w:lang w:val="nl-NL"/>
              </w:rPr>
            </w:pPr>
            <w:r w:rsidRPr="002D2649">
              <w:rPr>
                <w:b/>
                <w:bCs/>
                <w:lang w:val="nl-NL"/>
              </w:rPr>
              <w:t>Điều 59. Yêu cầu, nội dung, cơ cấu tổ chức thực hiện đánh giá nội bộ mức độ đủ vốn</w:t>
            </w:r>
          </w:p>
          <w:p w:rsidR="006E69F8" w:rsidRPr="002D2649" w:rsidRDefault="006E69F8" w:rsidP="006E69F8">
            <w:pPr>
              <w:spacing w:before="100" w:after="100"/>
              <w:ind w:firstLine="720"/>
              <w:rPr>
                <w:b/>
                <w:bCs/>
                <w:lang w:val="nl-NL"/>
              </w:rPr>
            </w:pPr>
            <w:r w:rsidRPr="002D2649">
              <w:rPr>
                <w:b/>
                <w:bCs/>
                <w:lang w:val="nl-NL"/>
              </w:rPr>
              <w:t>Điều 60. Xác định vốn mục tiêu</w:t>
            </w:r>
          </w:p>
          <w:p w:rsidR="006E69F8" w:rsidRPr="002D2649" w:rsidRDefault="006E69F8" w:rsidP="006E69F8">
            <w:pPr>
              <w:spacing w:before="100" w:after="100"/>
              <w:ind w:firstLine="720"/>
              <w:rPr>
                <w:b/>
                <w:bCs/>
                <w:lang w:val="nl-NL"/>
              </w:rPr>
            </w:pPr>
            <w:r w:rsidRPr="002D2649">
              <w:rPr>
                <w:b/>
                <w:bCs/>
                <w:lang w:val="nl-NL"/>
              </w:rPr>
              <w:t xml:space="preserve">Điều 61. Kiểm tra sức chịu đựng về vốn </w:t>
            </w:r>
          </w:p>
          <w:p w:rsidR="006E69F8" w:rsidRPr="002D2649" w:rsidRDefault="006E69F8" w:rsidP="006E69F8">
            <w:pPr>
              <w:spacing w:before="100" w:after="100"/>
              <w:ind w:firstLine="720"/>
              <w:rPr>
                <w:b/>
                <w:lang w:val="nl-NL"/>
              </w:rPr>
            </w:pPr>
            <w:r w:rsidRPr="002D2649">
              <w:rPr>
                <w:b/>
                <w:lang w:val="nl-NL"/>
              </w:rPr>
              <w:t>Điều 62. Lập kế hoạch vốn</w:t>
            </w:r>
          </w:p>
          <w:p w:rsidR="006E69F8" w:rsidRPr="002D2649" w:rsidRDefault="006E69F8" w:rsidP="006E69F8">
            <w:pPr>
              <w:spacing w:before="100" w:after="100"/>
              <w:ind w:firstLine="720"/>
              <w:rPr>
                <w:b/>
                <w:lang w:val="nl-NL"/>
              </w:rPr>
            </w:pPr>
            <w:r w:rsidRPr="002D2649">
              <w:rPr>
                <w:b/>
                <w:lang w:val="nl-NL"/>
              </w:rPr>
              <w:t>Điều 63. Đánh giá độc lập đối với quy trình đánh giá nội bộ về mức đủ vốn</w:t>
            </w:r>
          </w:p>
          <w:p w:rsidR="006E69F8" w:rsidRPr="002D2649" w:rsidRDefault="006E69F8" w:rsidP="006E69F8">
            <w:pPr>
              <w:spacing w:before="100" w:after="100"/>
              <w:ind w:firstLine="720"/>
              <w:rPr>
                <w:b/>
                <w:bCs/>
                <w:lang w:val="nl-NL"/>
              </w:rPr>
            </w:pPr>
          </w:p>
          <w:p w:rsidR="006E69F8" w:rsidRPr="002D2649" w:rsidRDefault="006E69F8" w:rsidP="00E42F9C">
            <w:pPr>
              <w:spacing w:before="100" w:after="100"/>
              <w:ind w:firstLine="720"/>
              <w:rPr>
                <w:b/>
                <w:bCs/>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lang w:val="nl-NL"/>
              </w:rPr>
            </w:pPr>
            <w:r w:rsidRPr="002D2649">
              <w:rPr>
                <w:b/>
                <w:bCs/>
                <w:lang w:val="nl-NL"/>
              </w:rPr>
              <w:lastRenderedPageBreak/>
              <w:t>KIỂM TOÁN NỘI BỘ</w:t>
            </w:r>
          </w:p>
          <w:p w:rsidR="006E69F8" w:rsidRPr="002D2649" w:rsidRDefault="006E69F8" w:rsidP="00E42F9C">
            <w:pPr>
              <w:spacing w:before="100" w:after="100"/>
              <w:jc w:val="center"/>
              <w:rPr>
                <w:b/>
                <w:bCs/>
                <w:spacing w:val="-2"/>
                <w:lang w:val="nl-NL"/>
              </w:rPr>
            </w:pPr>
          </w:p>
        </w:tc>
        <w:tc>
          <w:tcPr>
            <w:tcW w:w="10372" w:type="dxa"/>
            <w:shd w:val="clear" w:color="auto" w:fill="auto"/>
            <w:vAlign w:val="center"/>
          </w:tcPr>
          <w:p w:rsidR="006E69F8" w:rsidRPr="002D2649" w:rsidRDefault="006E69F8" w:rsidP="006E69F8">
            <w:pPr>
              <w:spacing w:before="100" w:after="100"/>
              <w:ind w:firstLine="567"/>
              <w:rPr>
                <w:b/>
                <w:bCs/>
                <w:lang w:val="nl-NL"/>
              </w:rPr>
            </w:pPr>
            <w:r w:rsidRPr="002D2649">
              <w:rPr>
                <w:b/>
                <w:bCs/>
                <w:lang w:val="nl-NL"/>
              </w:rPr>
              <w:t>Điều 64. Yêu cầu đối với kiểm toán nội bộ</w:t>
            </w:r>
          </w:p>
          <w:p w:rsidR="006E69F8" w:rsidRPr="002D2649" w:rsidRDefault="006E69F8" w:rsidP="006E69F8">
            <w:pPr>
              <w:spacing w:before="100" w:after="100"/>
              <w:ind w:firstLine="567"/>
              <w:rPr>
                <w:b/>
                <w:bCs/>
                <w:lang w:val="nl-NL"/>
              </w:rPr>
            </w:pPr>
            <w:r w:rsidRPr="002D2649">
              <w:rPr>
                <w:b/>
                <w:bCs/>
                <w:lang w:val="nl-NL"/>
              </w:rPr>
              <w:t>Điều 65. Nguyên tắc của kiểm toán nội bộ</w:t>
            </w:r>
          </w:p>
          <w:p w:rsidR="006E69F8" w:rsidRPr="002D2649" w:rsidRDefault="006E69F8" w:rsidP="006E69F8">
            <w:pPr>
              <w:spacing w:before="100" w:after="100"/>
              <w:ind w:firstLine="567"/>
              <w:rPr>
                <w:lang w:val="nl-NL"/>
              </w:rPr>
            </w:pPr>
            <w:r w:rsidRPr="002D2649">
              <w:rPr>
                <w:b/>
                <w:bCs/>
                <w:lang w:val="nl-NL"/>
              </w:rPr>
              <w:t>Điều 66. Yêu cầu nhằm đảm bảo tuân thủ nguyên tắc của kiểm toán nội bộ</w:t>
            </w:r>
          </w:p>
          <w:p w:rsidR="006E69F8" w:rsidRPr="002D2649" w:rsidRDefault="006E69F8" w:rsidP="006E69F8">
            <w:pPr>
              <w:spacing w:before="100" w:after="100"/>
              <w:ind w:firstLine="567"/>
              <w:rPr>
                <w:b/>
                <w:bCs/>
                <w:spacing w:val="-2"/>
                <w:lang w:val="nl-NL"/>
              </w:rPr>
            </w:pPr>
            <w:r w:rsidRPr="002D2649">
              <w:rPr>
                <w:b/>
                <w:bCs/>
                <w:spacing w:val="-2"/>
                <w:lang w:val="nl-NL"/>
              </w:rPr>
              <w:t>Điều 67. Nhiệm vụ của Bộ phận kiểm toán nội bộ</w:t>
            </w:r>
          </w:p>
          <w:p w:rsidR="006E69F8" w:rsidRPr="002D2649" w:rsidRDefault="006E69F8" w:rsidP="006E69F8">
            <w:pPr>
              <w:spacing w:before="100" w:after="100"/>
              <w:ind w:firstLine="567"/>
              <w:rPr>
                <w:spacing w:val="-2"/>
                <w:lang w:val="nl-NL"/>
              </w:rPr>
            </w:pPr>
            <w:r w:rsidRPr="002D2649">
              <w:rPr>
                <w:b/>
                <w:bCs/>
                <w:spacing w:val="-2"/>
                <w:lang w:val="nl-NL"/>
              </w:rPr>
              <w:t>Điều 68. Quyền hạn của bộ phận kiểm toán nội bộ</w:t>
            </w:r>
          </w:p>
          <w:p w:rsidR="006E69F8" w:rsidRPr="002D2649" w:rsidRDefault="006E69F8" w:rsidP="006E69F8">
            <w:pPr>
              <w:spacing w:before="100" w:after="100"/>
              <w:ind w:firstLine="567"/>
              <w:rPr>
                <w:spacing w:val="-2"/>
                <w:lang w:val="nl-NL"/>
              </w:rPr>
            </w:pPr>
            <w:r w:rsidRPr="002D2649">
              <w:rPr>
                <w:b/>
                <w:bCs/>
                <w:spacing w:val="-2"/>
                <w:lang w:val="nl-NL"/>
              </w:rPr>
              <w:t>Điều 69. Trách nhiệm của Bộ phận kiểm toán nội bộ</w:t>
            </w:r>
          </w:p>
          <w:p w:rsidR="006E69F8" w:rsidRPr="002D2649" w:rsidRDefault="006E69F8" w:rsidP="006E69F8">
            <w:pPr>
              <w:spacing w:before="100" w:after="100"/>
              <w:ind w:firstLine="567"/>
              <w:rPr>
                <w:lang w:val="nl-NL"/>
              </w:rPr>
            </w:pPr>
            <w:r w:rsidRPr="002D2649">
              <w:rPr>
                <w:b/>
                <w:bCs/>
                <w:lang w:val="nl-NL"/>
              </w:rPr>
              <w:t>Điều 70. Trách nhiệm của các đơn vị, bộ phận điều hành, tác nghiệp đối với kiểm toán nội bộ</w:t>
            </w:r>
          </w:p>
          <w:p w:rsidR="006E69F8" w:rsidRPr="002D2649" w:rsidRDefault="006E69F8" w:rsidP="00E42F9C">
            <w:pPr>
              <w:spacing w:before="100" w:after="100"/>
              <w:ind w:firstLine="720"/>
              <w:rPr>
                <w:b/>
                <w:bCs/>
                <w:spacing w:val="-2"/>
                <w:lang w:val="nl-NL"/>
              </w:rPr>
            </w:pPr>
          </w:p>
        </w:tc>
        <w:tc>
          <w:tcPr>
            <w:tcW w:w="2715" w:type="dxa"/>
            <w:shd w:val="clear" w:color="auto" w:fill="auto"/>
          </w:tcPr>
          <w:p w:rsidR="006E69F8" w:rsidRPr="002D2649" w:rsidRDefault="006E69F8" w:rsidP="00E42F9C">
            <w:pPr>
              <w:spacing w:line="252" w:lineRule="auto"/>
              <w:rPr>
                <w:rFonts w:eastAsia="Calibri"/>
                <w:lang w:val="sv-SE"/>
              </w:rPr>
            </w:pPr>
          </w:p>
        </w:tc>
      </w:tr>
      <w:tr w:rsidR="006E69F8" w:rsidRPr="002D2649" w:rsidTr="00E42F9C">
        <w:trPr>
          <w:trHeight w:val="2279"/>
          <w:jc w:val="center"/>
        </w:trPr>
        <w:tc>
          <w:tcPr>
            <w:tcW w:w="2046" w:type="dxa"/>
            <w:shd w:val="clear" w:color="auto" w:fill="auto"/>
            <w:vAlign w:val="center"/>
          </w:tcPr>
          <w:p w:rsidR="006E69F8" w:rsidRPr="002D2649" w:rsidRDefault="006E69F8" w:rsidP="006E69F8">
            <w:pPr>
              <w:spacing w:before="100" w:after="100"/>
              <w:jc w:val="center"/>
              <w:rPr>
                <w:lang w:val="nl-NL"/>
              </w:rPr>
            </w:pPr>
            <w:r w:rsidRPr="002D2649">
              <w:rPr>
                <w:b/>
                <w:bCs/>
                <w:lang w:val="nl-NL"/>
              </w:rPr>
              <w:t>TỔ CHỨC VÀ HOẠT ĐỘNG CỦA KIỂM TOÁN NỘI BỘ</w:t>
            </w:r>
          </w:p>
          <w:p w:rsidR="006E69F8" w:rsidRPr="002D2649" w:rsidRDefault="006E69F8" w:rsidP="00E42F9C">
            <w:pPr>
              <w:spacing w:before="100" w:after="100"/>
              <w:jc w:val="center"/>
              <w:rPr>
                <w:b/>
                <w:bCs/>
                <w:spacing w:val="-2"/>
                <w:lang w:val="nl-NL"/>
              </w:rPr>
            </w:pPr>
          </w:p>
        </w:tc>
        <w:tc>
          <w:tcPr>
            <w:tcW w:w="10372" w:type="dxa"/>
            <w:shd w:val="clear" w:color="auto" w:fill="auto"/>
            <w:vAlign w:val="center"/>
          </w:tcPr>
          <w:p w:rsidR="006E69F8" w:rsidRPr="002D2649" w:rsidRDefault="006E69F8" w:rsidP="006E69F8">
            <w:pPr>
              <w:spacing w:before="100" w:after="100"/>
              <w:ind w:firstLine="567"/>
              <w:rPr>
                <w:lang w:val="nl-NL"/>
              </w:rPr>
            </w:pPr>
            <w:r w:rsidRPr="002D2649">
              <w:rPr>
                <w:b/>
                <w:bCs/>
                <w:lang w:val="nl-NL"/>
              </w:rPr>
              <w:t>Điều 71. Tổ chức của kiểm toán nội bộ</w:t>
            </w:r>
          </w:p>
          <w:p w:rsidR="006E69F8" w:rsidRPr="002D2649" w:rsidRDefault="006E69F8" w:rsidP="006E69F8">
            <w:pPr>
              <w:spacing w:before="100" w:after="100"/>
              <w:ind w:firstLine="567"/>
              <w:rPr>
                <w:lang w:val="nl-NL"/>
              </w:rPr>
            </w:pPr>
            <w:r w:rsidRPr="002D2649">
              <w:rPr>
                <w:b/>
                <w:bCs/>
                <w:lang w:val="nl-NL"/>
              </w:rPr>
              <w:t>Điều 72. Tiêu chuẩn đối với kiểm toán viên nội bộ, Trưởng kiểm toán nội bộ và Phó trưởng kiểm toán nội bộ của tổ chức tín dụng</w:t>
            </w:r>
          </w:p>
          <w:p w:rsidR="006E69F8" w:rsidRPr="002D2649" w:rsidRDefault="006E69F8" w:rsidP="006E69F8">
            <w:pPr>
              <w:spacing w:before="100" w:after="100"/>
              <w:ind w:firstLine="567"/>
              <w:rPr>
                <w:lang w:val="nl-NL"/>
              </w:rPr>
            </w:pPr>
            <w:r w:rsidRPr="002D2649">
              <w:rPr>
                <w:b/>
                <w:bCs/>
                <w:lang w:val="nl-NL"/>
              </w:rPr>
              <w:t>Điều 73. Phạm vi, nội dung hoạt động của kiểm toán nội bộ</w:t>
            </w:r>
          </w:p>
          <w:p w:rsidR="006E69F8" w:rsidRPr="002D2649" w:rsidRDefault="006E69F8" w:rsidP="006E69F8">
            <w:pPr>
              <w:spacing w:before="100" w:after="100"/>
              <w:ind w:firstLine="567"/>
              <w:rPr>
                <w:lang w:val="nl-NL"/>
              </w:rPr>
            </w:pPr>
            <w:r w:rsidRPr="002D2649">
              <w:rPr>
                <w:b/>
                <w:bCs/>
                <w:lang w:val="nl-NL"/>
              </w:rPr>
              <w:t>Điều 74. Quy định nội bộ về kiểm toán nội bộ</w:t>
            </w:r>
          </w:p>
          <w:p w:rsidR="006E69F8" w:rsidRPr="002D2649" w:rsidRDefault="006E69F8" w:rsidP="006E69F8">
            <w:pPr>
              <w:spacing w:before="100" w:after="100"/>
              <w:ind w:firstLine="567"/>
              <w:rPr>
                <w:lang w:val="nl-NL"/>
              </w:rPr>
            </w:pPr>
            <w:r w:rsidRPr="002D2649">
              <w:rPr>
                <w:b/>
                <w:bCs/>
                <w:lang w:val="nl-NL"/>
              </w:rPr>
              <w:t>Điều 75. Quy tắc đạo đức nghề nghiệp về kiểm toán nội bộ</w:t>
            </w:r>
          </w:p>
          <w:p w:rsidR="006E69F8" w:rsidRPr="002D2649" w:rsidRDefault="006E69F8" w:rsidP="006E69F8">
            <w:pPr>
              <w:spacing w:before="100" w:after="100"/>
              <w:ind w:firstLine="567"/>
              <w:rPr>
                <w:lang w:val="nl-NL"/>
              </w:rPr>
            </w:pPr>
            <w:r w:rsidRPr="002D2649">
              <w:rPr>
                <w:b/>
                <w:bCs/>
                <w:lang w:val="nl-NL"/>
              </w:rPr>
              <w:t>Điều 76. Kế hoạch kiểm toán nội bộ hằng năm</w:t>
            </w:r>
          </w:p>
          <w:p w:rsidR="006E69F8" w:rsidRPr="002D2649" w:rsidRDefault="006E69F8" w:rsidP="00E42F9C">
            <w:pPr>
              <w:spacing w:before="100" w:after="100"/>
              <w:ind w:firstLine="720"/>
              <w:rPr>
                <w:b/>
                <w:spacing w:val="-2"/>
                <w:lang w:val="nl-NL"/>
              </w:rPr>
            </w:pPr>
            <w:r w:rsidRPr="002D2649">
              <w:rPr>
                <w:b/>
                <w:spacing w:val="-2"/>
                <w:lang w:val="nl-NL"/>
              </w:rPr>
              <w:t>Điều 77. Kiểm toán nội bộ đối với kiểm soát nội bộ</w:t>
            </w:r>
          </w:p>
          <w:p w:rsidR="006E69F8" w:rsidRPr="002D2649" w:rsidRDefault="006E69F8" w:rsidP="006E69F8">
            <w:pPr>
              <w:spacing w:before="100" w:after="100"/>
              <w:ind w:firstLine="709"/>
              <w:rPr>
                <w:b/>
                <w:spacing w:val="-2"/>
                <w:lang w:val="nl-NL"/>
              </w:rPr>
            </w:pPr>
            <w:r w:rsidRPr="002D2649">
              <w:rPr>
                <w:b/>
                <w:lang w:val="nl-NL"/>
              </w:rPr>
              <w:t>Điều</w:t>
            </w:r>
            <w:r w:rsidRPr="002D2649">
              <w:rPr>
                <w:b/>
                <w:spacing w:val="-2"/>
                <w:lang w:val="nl-NL"/>
              </w:rPr>
              <w:t xml:space="preserve"> 78. Kiểm toán nội bộ đối với quản lý rủi ro</w:t>
            </w:r>
          </w:p>
          <w:p w:rsidR="006E69F8" w:rsidRPr="00D12CA6" w:rsidRDefault="002D2649" w:rsidP="00D12CA6">
            <w:pPr>
              <w:pStyle w:val="Heading1"/>
              <w:spacing w:before="100" w:after="100"/>
              <w:ind w:firstLine="709"/>
              <w:jc w:val="both"/>
              <w:rPr>
                <w:rFonts w:ascii="Times New Roman" w:hAnsi="Times New Roman"/>
                <w:spacing w:val="-2"/>
                <w:sz w:val="26"/>
                <w:szCs w:val="26"/>
                <w:lang w:val="nl-NL"/>
              </w:rPr>
            </w:pPr>
            <w:r w:rsidRPr="002D2649">
              <w:rPr>
                <w:rFonts w:ascii="Times New Roman" w:hAnsi="Times New Roman"/>
                <w:spacing w:val="-2"/>
                <w:sz w:val="26"/>
                <w:szCs w:val="26"/>
                <w:lang w:val="nl-NL"/>
              </w:rPr>
              <w:t>Điều 79. Kiểm toán nội bộ đối với đánh giá nội bộ về mức đủ vốn</w:t>
            </w:r>
          </w:p>
        </w:tc>
        <w:tc>
          <w:tcPr>
            <w:tcW w:w="2715" w:type="dxa"/>
            <w:shd w:val="clear" w:color="auto" w:fill="auto"/>
          </w:tcPr>
          <w:p w:rsidR="006E69F8" w:rsidRPr="002D2649" w:rsidRDefault="006E69F8" w:rsidP="00E42F9C">
            <w:pPr>
              <w:spacing w:line="252" w:lineRule="auto"/>
              <w:rPr>
                <w:rFonts w:eastAsia="Calibri"/>
                <w:lang w:val="sv-SE"/>
              </w:rPr>
            </w:pPr>
          </w:p>
        </w:tc>
      </w:tr>
    </w:tbl>
    <w:p w:rsidR="00A04B98" w:rsidRPr="002D2649" w:rsidRDefault="00A04B98" w:rsidP="00D21DFF">
      <w:pPr>
        <w:tabs>
          <w:tab w:val="left" w:pos="1130"/>
        </w:tabs>
        <w:spacing w:line="240" w:lineRule="auto"/>
        <w:jc w:val="left"/>
        <w:rPr>
          <w:lang w:val="sv-SE"/>
        </w:rPr>
      </w:pPr>
    </w:p>
    <w:sectPr w:rsidR="00A04B98" w:rsidRPr="002D2649" w:rsidSect="00603110">
      <w:pgSz w:w="16839" w:h="11907" w:orient="landscape" w:code="9"/>
      <w:pgMar w:top="709" w:right="540" w:bottom="142" w:left="5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altName w:val="Calibri"/>
    <w:charset w:val="00"/>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3E083F"/>
    <w:multiLevelType w:val="hybridMultilevel"/>
    <w:tmpl w:val="EC0AE9F0"/>
    <w:lvl w:ilvl="0" w:tplc="3D987BF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035798A"/>
    <w:multiLevelType w:val="hybridMultilevel"/>
    <w:tmpl w:val="9D1EF084"/>
    <w:lvl w:ilvl="0" w:tplc="C93A3850">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2">
    <w:nsid w:val="336975FC"/>
    <w:multiLevelType w:val="hybridMultilevel"/>
    <w:tmpl w:val="AC84FA52"/>
    <w:lvl w:ilvl="0" w:tplc="F542679E">
      <w:start w:val="1"/>
      <w:numFmt w:val="decimal"/>
      <w:lvlText w:val="%1."/>
      <w:lvlJc w:val="left"/>
      <w:pPr>
        <w:ind w:left="507" w:hanging="360"/>
      </w:pPr>
      <w:rPr>
        <w:rFonts w:hint="default"/>
      </w:rPr>
    </w:lvl>
    <w:lvl w:ilvl="1" w:tplc="04090019" w:tentative="1">
      <w:start w:val="1"/>
      <w:numFmt w:val="lowerLetter"/>
      <w:lvlText w:val="%2."/>
      <w:lvlJc w:val="left"/>
      <w:pPr>
        <w:ind w:left="1227" w:hanging="360"/>
      </w:pPr>
    </w:lvl>
    <w:lvl w:ilvl="2" w:tplc="0409001B" w:tentative="1">
      <w:start w:val="1"/>
      <w:numFmt w:val="lowerRoman"/>
      <w:lvlText w:val="%3."/>
      <w:lvlJc w:val="right"/>
      <w:pPr>
        <w:ind w:left="1947" w:hanging="180"/>
      </w:pPr>
    </w:lvl>
    <w:lvl w:ilvl="3" w:tplc="0409000F" w:tentative="1">
      <w:start w:val="1"/>
      <w:numFmt w:val="decimal"/>
      <w:lvlText w:val="%4."/>
      <w:lvlJc w:val="left"/>
      <w:pPr>
        <w:ind w:left="2667" w:hanging="360"/>
      </w:pPr>
    </w:lvl>
    <w:lvl w:ilvl="4" w:tplc="04090019" w:tentative="1">
      <w:start w:val="1"/>
      <w:numFmt w:val="lowerLetter"/>
      <w:lvlText w:val="%5."/>
      <w:lvlJc w:val="left"/>
      <w:pPr>
        <w:ind w:left="3387" w:hanging="360"/>
      </w:pPr>
    </w:lvl>
    <w:lvl w:ilvl="5" w:tplc="0409001B" w:tentative="1">
      <w:start w:val="1"/>
      <w:numFmt w:val="lowerRoman"/>
      <w:lvlText w:val="%6."/>
      <w:lvlJc w:val="right"/>
      <w:pPr>
        <w:ind w:left="4107" w:hanging="180"/>
      </w:pPr>
    </w:lvl>
    <w:lvl w:ilvl="6" w:tplc="0409000F" w:tentative="1">
      <w:start w:val="1"/>
      <w:numFmt w:val="decimal"/>
      <w:lvlText w:val="%7."/>
      <w:lvlJc w:val="left"/>
      <w:pPr>
        <w:ind w:left="4827" w:hanging="360"/>
      </w:pPr>
    </w:lvl>
    <w:lvl w:ilvl="7" w:tplc="04090019" w:tentative="1">
      <w:start w:val="1"/>
      <w:numFmt w:val="lowerLetter"/>
      <w:lvlText w:val="%8."/>
      <w:lvlJc w:val="left"/>
      <w:pPr>
        <w:ind w:left="5547" w:hanging="360"/>
      </w:pPr>
    </w:lvl>
    <w:lvl w:ilvl="8" w:tplc="0409001B" w:tentative="1">
      <w:start w:val="1"/>
      <w:numFmt w:val="lowerRoman"/>
      <w:lvlText w:val="%9."/>
      <w:lvlJc w:val="right"/>
      <w:pPr>
        <w:ind w:left="6267" w:hanging="180"/>
      </w:pPr>
    </w:lvl>
  </w:abstractNum>
  <w:abstractNum w:abstractNumId="3">
    <w:nsid w:val="51BB32E1"/>
    <w:multiLevelType w:val="hybridMultilevel"/>
    <w:tmpl w:val="97506A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hideSpellingErrors/>
  <w:proofState w:grammar="clean"/>
  <w:defaultTabStop w:val="720"/>
  <w:drawingGridHorizontalSpacing w:val="13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6254"/>
    <w:rsid w:val="00050356"/>
    <w:rsid w:val="000B1AA3"/>
    <w:rsid w:val="00101B23"/>
    <w:rsid w:val="00106964"/>
    <w:rsid w:val="0010697E"/>
    <w:rsid w:val="00142CBE"/>
    <w:rsid w:val="00165970"/>
    <w:rsid w:val="001C0865"/>
    <w:rsid w:val="00263EFC"/>
    <w:rsid w:val="002D2649"/>
    <w:rsid w:val="003F2DDE"/>
    <w:rsid w:val="00407041"/>
    <w:rsid w:val="00420AD3"/>
    <w:rsid w:val="0048253F"/>
    <w:rsid w:val="004D464E"/>
    <w:rsid w:val="004E1AFA"/>
    <w:rsid w:val="00554BE5"/>
    <w:rsid w:val="00560DBF"/>
    <w:rsid w:val="005974BB"/>
    <w:rsid w:val="005B0B90"/>
    <w:rsid w:val="0060238A"/>
    <w:rsid w:val="00603110"/>
    <w:rsid w:val="006A5FDB"/>
    <w:rsid w:val="006E69F8"/>
    <w:rsid w:val="00705184"/>
    <w:rsid w:val="00705741"/>
    <w:rsid w:val="007E5FE5"/>
    <w:rsid w:val="007F2B6D"/>
    <w:rsid w:val="008349CE"/>
    <w:rsid w:val="008679F2"/>
    <w:rsid w:val="008C6BD4"/>
    <w:rsid w:val="00923B0D"/>
    <w:rsid w:val="0092435D"/>
    <w:rsid w:val="009B5463"/>
    <w:rsid w:val="009D5FCA"/>
    <w:rsid w:val="009E436B"/>
    <w:rsid w:val="00A04B98"/>
    <w:rsid w:val="00AA11D8"/>
    <w:rsid w:val="00AC0225"/>
    <w:rsid w:val="00B50951"/>
    <w:rsid w:val="00B75E5A"/>
    <w:rsid w:val="00B92BD6"/>
    <w:rsid w:val="00C04378"/>
    <w:rsid w:val="00C927B8"/>
    <w:rsid w:val="00D12CA6"/>
    <w:rsid w:val="00D160B5"/>
    <w:rsid w:val="00D21DFF"/>
    <w:rsid w:val="00D85DDF"/>
    <w:rsid w:val="00DA5F63"/>
    <w:rsid w:val="00E82EE8"/>
    <w:rsid w:val="00EA7701"/>
    <w:rsid w:val="00F2675C"/>
    <w:rsid w:val="00FB6254"/>
    <w:rsid w:val="00FD6B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6"/>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92BD6"/>
    <w:pPr>
      <w:keepNext/>
      <w:spacing w:before="240" w:after="60" w:line="240" w:lineRule="auto"/>
      <w:jc w:val="left"/>
      <w:outlineLvl w:val="0"/>
    </w:pPr>
    <w:rPr>
      <w:rFonts w:ascii="Arial" w:eastAsia="MS Mincho" w:hAnsi="Arial"/>
      <w:b/>
      <w:bCs/>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uiPriority w:val="99"/>
    <w:semiHidden/>
    <w:unhideWhenUsed/>
    <w:rsid w:val="00560D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BF"/>
    <w:rPr>
      <w:rFonts w:ascii="Segoe UI" w:hAnsi="Segoe UI" w:cs="Segoe UI"/>
      <w:sz w:val="18"/>
      <w:szCs w:val="18"/>
    </w:rPr>
  </w:style>
  <w:style w:type="character" w:customStyle="1" w:styleId="Heading1Char">
    <w:name w:val="Heading 1 Char"/>
    <w:basedOn w:val="DefaultParagraphFont"/>
    <w:link w:val="Heading1"/>
    <w:rsid w:val="00B92BD6"/>
    <w:rPr>
      <w:rFonts w:ascii="Arial" w:eastAsia="MS Mincho" w:hAnsi="Arial"/>
      <w:b/>
      <w:bCs/>
      <w:kern w:val="32"/>
      <w:sz w:val="32"/>
      <w:szCs w:val="32"/>
      <w:lang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6"/>
        <w:szCs w:val="26"/>
        <w:lang w:val="en-US" w:eastAsia="en-US" w:bidi="ar-SA"/>
      </w:rPr>
    </w:rPrDefault>
    <w:pPrDefault>
      <w:pPr>
        <w:spacing w:line="360"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paragraph" w:styleId="Heading1">
    <w:name w:val="heading 1"/>
    <w:basedOn w:val="Normal"/>
    <w:next w:val="Normal"/>
    <w:link w:val="Heading1Char"/>
    <w:qFormat/>
    <w:rsid w:val="00B92BD6"/>
    <w:pPr>
      <w:keepNext/>
      <w:spacing w:before="240" w:after="60" w:line="240" w:lineRule="auto"/>
      <w:jc w:val="left"/>
      <w:outlineLvl w:val="0"/>
    </w:pPr>
    <w:rPr>
      <w:rFonts w:ascii="Arial" w:eastAsia="MS Mincho" w:hAnsi="Arial"/>
      <w:b/>
      <w:bCs/>
      <w:kern w:val="32"/>
      <w:sz w:val="32"/>
      <w:szCs w:val="32"/>
      <w:lang w:val="en-U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49CE"/>
    <w:pPr>
      <w:ind w:left="720"/>
      <w:contextualSpacing/>
    </w:pPr>
  </w:style>
  <w:style w:type="paragraph" w:styleId="BalloonText">
    <w:name w:val="Balloon Text"/>
    <w:basedOn w:val="Normal"/>
    <w:link w:val="BalloonTextChar"/>
    <w:uiPriority w:val="99"/>
    <w:semiHidden/>
    <w:unhideWhenUsed/>
    <w:rsid w:val="00560DB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60DBF"/>
    <w:rPr>
      <w:rFonts w:ascii="Segoe UI" w:hAnsi="Segoe UI" w:cs="Segoe UI"/>
      <w:sz w:val="18"/>
      <w:szCs w:val="18"/>
    </w:rPr>
  </w:style>
  <w:style w:type="character" w:customStyle="1" w:styleId="Heading1Char">
    <w:name w:val="Heading 1 Char"/>
    <w:basedOn w:val="DefaultParagraphFont"/>
    <w:link w:val="Heading1"/>
    <w:rsid w:val="00B92BD6"/>
    <w:rPr>
      <w:rFonts w:ascii="Arial" w:eastAsia="MS Mincho" w:hAnsi="Arial"/>
      <w:b/>
      <w:bCs/>
      <w:kern w:val="32"/>
      <w:sz w:val="32"/>
      <w:szCs w:val="32"/>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1118">
      <w:bodyDiv w:val="1"/>
      <w:marLeft w:val="0"/>
      <w:marRight w:val="0"/>
      <w:marTop w:val="0"/>
      <w:marBottom w:val="0"/>
      <w:divBdr>
        <w:top w:val="none" w:sz="0" w:space="0" w:color="auto"/>
        <w:left w:val="none" w:sz="0" w:space="0" w:color="auto"/>
        <w:bottom w:val="none" w:sz="0" w:space="0" w:color="auto"/>
        <w:right w:val="none" w:sz="0" w:space="0" w:color="auto"/>
      </w:divBdr>
    </w:div>
    <w:div w:id="22024422">
      <w:bodyDiv w:val="1"/>
      <w:marLeft w:val="0"/>
      <w:marRight w:val="0"/>
      <w:marTop w:val="0"/>
      <w:marBottom w:val="0"/>
      <w:divBdr>
        <w:top w:val="none" w:sz="0" w:space="0" w:color="auto"/>
        <w:left w:val="none" w:sz="0" w:space="0" w:color="auto"/>
        <w:bottom w:val="none" w:sz="0" w:space="0" w:color="auto"/>
        <w:right w:val="none" w:sz="0" w:space="0" w:color="auto"/>
      </w:divBdr>
    </w:div>
    <w:div w:id="30543317">
      <w:bodyDiv w:val="1"/>
      <w:marLeft w:val="0"/>
      <w:marRight w:val="0"/>
      <w:marTop w:val="0"/>
      <w:marBottom w:val="0"/>
      <w:divBdr>
        <w:top w:val="none" w:sz="0" w:space="0" w:color="auto"/>
        <w:left w:val="none" w:sz="0" w:space="0" w:color="auto"/>
        <w:bottom w:val="none" w:sz="0" w:space="0" w:color="auto"/>
        <w:right w:val="none" w:sz="0" w:space="0" w:color="auto"/>
      </w:divBdr>
    </w:div>
    <w:div w:id="33430892">
      <w:bodyDiv w:val="1"/>
      <w:marLeft w:val="0"/>
      <w:marRight w:val="0"/>
      <w:marTop w:val="0"/>
      <w:marBottom w:val="0"/>
      <w:divBdr>
        <w:top w:val="none" w:sz="0" w:space="0" w:color="auto"/>
        <w:left w:val="none" w:sz="0" w:space="0" w:color="auto"/>
        <w:bottom w:val="none" w:sz="0" w:space="0" w:color="auto"/>
        <w:right w:val="none" w:sz="0" w:space="0" w:color="auto"/>
      </w:divBdr>
    </w:div>
    <w:div w:id="45299699">
      <w:bodyDiv w:val="1"/>
      <w:marLeft w:val="0"/>
      <w:marRight w:val="0"/>
      <w:marTop w:val="0"/>
      <w:marBottom w:val="0"/>
      <w:divBdr>
        <w:top w:val="none" w:sz="0" w:space="0" w:color="auto"/>
        <w:left w:val="none" w:sz="0" w:space="0" w:color="auto"/>
        <w:bottom w:val="none" w:sz="0" w:space="0" w:color="auto"/>
        <w:right w:val="none" w:sz="0" w:space="0" w:color="auto"/>
      </w:divBdr>
    </w:div>
    <w:div w:id="77337129">
      <w:bodyDiv w:val="1"/>
      <w:marLeft w:val="0"/>
      <w:marRight w:val="0"/>
      <w:marTop w:val="0"/>
      <w:marBottom w:val="0"/>
      <w:divBdr>
        <w:top w:val="none" w:sz="0" w:space="0" w:color="auto"/>
        <w:left w:val="none" w:sz="0" w:space="0" w:color="auto"/>
        <w:bottom w:val="none" w:sz="0" w:space="0" w:color="auto"/>
        <w:right w:val="none" w:sz="0" w:space="0" w:color="auto"/>
      </w:divBdr>
    </w:div>
    <w:div w:id="118186702">
      <w:bodyDiv w:val="1"/>
      <w:marLeft w:val="0"/>
      <w:marRight w:val="0"/>
      <w:marTop w:val="0"/>
      <w:marBottom w:val="0"/>
      <w:divBdr>
        <w:top w:val="none" w:sz="0" w:space="0" w:color="auto"/>
        <w:left w:val="none" w:sz="0" w:space="0" w:color="auto"/>
        <w:bottom w:val="none" w:sz="0" w:space="0" w:color="auto"/>
        <w:right w:val="none" w:sz="0" w:space="0" w:color="auto"/>
      </w:divBdr>
    </w:div>
    <w:div w:id="169176120">
      <w:bodyDiv w:val="1"/>
      <w:marLeft w:val="0"/>
      <w:marRight w:val="0"/>
      <w:marTop w:val="0"/>
      <w:marBottom w:val="0"/>
      <w:divBdr>
        <w:top w:val="none" w:sz="0" w:space="0" w:color="auto"/>
        <w:left w:val="none" w:sz="0" w:space="0" w:color="auto"/>
        <w:bottom w:val="none" w:sz="0" w:space="0" w:color="auto"/>
        <w:right w:val="none" w:sz="0" w:space="0" w:color="auto"/>
      </w:divBdr>
    </w:div>
    <w:div w:id="201137194">
      <w:bodyDiv w:val="1"/>
      <w:marLeft w:val="0"/>
      <w:marRight w:val="0"/>
      <w:marTop w:val="0"/>
      <w:marBottom w:val="0"/>
      <w:divBdr>
        <w:top w:val="none" w:sz="0" w:space="0" w:color="auto"/>
        <w:left w:val="none" w:sz="0" w:space="0" w:color="auto"/>
        <w:bottom w:val="none" w:sz="0" w:space="0" w:color="auto"/>
        <w:right w:val="none" w:sz="0" w:space="0" w:color="auto"/>
      </w:divBdr>
    </w:div>
    <w:div w:id="211501677">
      <w:bodyDiv w:val="1"/>
      <w:marLeft w:val="0"/>
      <w:marRight w:val="0"/>
      <w:marTop w:val="0"/>
      <w:marBottom w:val="0"/>
      <w:divBdr>
        <w:top w:val="none" w:sz="0" w:space="0" w:color="auto"/>
        <w:left w:val="none" w:sz="0" w:space="0" w:color="auto"/>
        <w:bottom w:val="none" w:sz="0" w:space="0" w:color="auto"/>
        <w:right w:val="none" w:sz="0" w:space="0" w:color="auto"/>
      </w:divBdr>
    </w:div>
    <w:div w:id="315838133">
      <w:bodyDiv w:val="1"/>
      <w:marLeft w:val="0"/>
      <w:marRight w:val="0"/>
      <w:marTop w:val="0"/>
      <w:marBottom w:val="0"/>
      <w:divBdr>
        <w:top w:val="none" w:sz="0" w:space="0" w:color="auto"/>
        <w:left w:val="none" w:sz="0" w:space="0" w:color="auto"/>
        <w:bottom w:val="none" w:sz="0" w:space="0" w:color="auto"/>
        <w:right w:val="none" w:sz="0" w:space="0" w:color="auto"/>
      </w:divBdr>
    </w:div>
    <w:div w:id="319887464">
      <w:bodyDiv w:val="1"/>
      <w:marLeft w:val="0"/>
      <w:marRight w:val="0"/>
      <w:marTop w:val="0"/>
      <w:marBottom w:val="0"/>
      <w:divBdr>
        <w:top w:val="none" w:sz="0" w:space="0" w:color="auto"/>
        <w:left w:val="none" w:sz="0" w:space="0" w:color="auto"/>
        <w:bottom w:val="none" w:sz="0" w:space="0" w:color="auto"/>
        <w:right w:val="none" w:sz="0" w:space="0" w:color="auto"/>
      </w:divBdr>
    </w:div>
    <w:div w:id="340935066">
      <w:bodyDiv w:val="1"/>
      <w:marLeft w:val="0"/>
      <w:marRight w:val="0"/>
      <w:marTop w:val="0"/>
      <w:marBottom w:val="0"/>
      <w:divBdr>
        <w:top w:val="none" w:sz="0" w:space="0" w:color="auto"/>
        <w:left w:val="none" w:sz="0" w:space="0" w:color="auto"/>
        <w:bottom w:val="none" w:sz="0" w:space="0" w:color="auto"/>
        <w:right w:val="none" w:sz="0" w:space="0" w:color="auto"/>
      </w:divBdr>
    </w:div>
    <w:div w:id="548885281">
      <w:bodyDiv w:val="1"/>
      <w:marLeft w:val="0"/>
      <w:marRight w:val="0"/>
      <w:marTop w:val="0"/>
      <w:marBottom w:val="0"/>
      <w:divBdr>
        <w:top w:val="none" w:sz="0" w:space="0" w:color="auto"/>
        <w:left w:val="none" w:sz="0" w:space="0" w:color="auto"/>
        <w:bottom w:val="none" w:sz="0" w:space="0" w:color="auto"/>
        <w:right w:val="none" w:sz="0" w:space="0" w:color="auto"/>
      </w:divBdr>
    </w:div>
    <w:div w:id="581373963">
      <w:bodyDiv w:val="1"/>
      <w:marLeft w:val="0"/>
      <w:marRight w:val="0"/>
      <w:marTop w:val="0"/>
      <w:marBottom w:val="0"/>
      <w:divBdr>
        <w:top w:val="none" w:sz="0" w:space="0" w:color="auto"/>
        <w:left w:val="none" w:sz="0" w:space="0" w:color="auto"/>
        <w:bottom w:val="none" w:sz="0" w:space="0" w:color="auto"/>
        <w:right w:val="none" w:sz="0" w:space="0" w:color="auto"/>
      </w:divBdr>
    </w:div>
    <w:div w:id="600187937">
      <w:bodyDiv w:val="1"/>
      <w:marLeft w:val="0"/>
      <w:marRight w:val="0"/>
      <w:marTop w:val="0"/>
      <w:marBottom w:val="0"/>
      <w:divBdr>
        <w:top w:val="none" w:sz="0" w:space="0" w:color="auto"/>
        <w:left w:val="none" w:sz="0" w:space="0" w:color="auto"/>
        <w:bottom w:val="none" w:sz="0" w:space="0" w:color="auto"/>
        <w:right w:val="none" w:sz="0" w:space="0" w:color="auto"/>
      </w:divBdr>
    </w:div>
    <w:div w:id="626665301">
      <w:bodyDiv w:val="1"/>
      <w:marLeft w:val="0"/>
      <w:marRight w:val="0"/>
      <w:marTop w:val="0"/>
      <w:marBottom w:val="0"/>
      <w:divBdr>
        <w:top w:val="none" w:sz="0" w:space="0" w:color="auto"/>
        <w:left w:val="none" w:sz="0" w:space="0" w:color="auto"/>
        <w:bottom w:val="none" w:sz="0" w:space="0" w:color="auto"/>
        <w:right w:val="none" w:sz="0" w:space="0" w:color="auto"/>
      </w:divBdr>
    </w:div>
    <w:div w:id="636763772">
      <w:bodyDiv w:val="1"/>
      <w:marLeft w:val="0"/>
      <w:marRight w:val="0"/>
      <w:marTop w:val="0"/>
      <w:marBottom w:val="0"/>
      <w:divBdr>
        <w:top w:val="none" w:sz="0" w:space="0" w:color="auto"/>
        <w:left w:val="none" w:sz="0" w:space="0" w:color="auto"/>
        <w:bottom w:val="none" w:sz="0" w:space="0" w:color="auto"/>
        <w:right w:val="none" w:sz="0" w:space="0" w:color="auto"/>
      </w:divBdr>
    </w:div>
    <w:div w:id="672494567">
      <w:bodyDiv w:val="1"/>
      <w:marLeft w:val="0"/>
      <w:marRight w:val="0"/>
      <w:marTop w:val="0"/>
      <w:marBottom w:val="0"/>
      <w:divBdr>
        <w:top w:val="none" w:sz="0" w:space="0" w:color="auto"/>
        <w:left w:val="none" w:sz="0" w:space="0" w:color="auto"/>
        <w:bottom w:val="none" w:sz="0" w:space="0" w:color="auto"/>
        <w:right w:val="none" w:sz="0" w:space="0" w:color="auto"/>
      </w:divBdr>
    </w:div>
    <w:div w:id="694842717">
      <w:bodyDiv w:val="1"/>
      <w:marLeft w:val="0"/>
      <w:marRight w:val="0"/>
      <w:marTop w:val="0"/>
      <w:marBottom w:val="0"/>
      <w:divBdr>
        <w:top w:val="none" w:sz="0" w:space="0" w:color="auto"/>
        <w:left w:val="none" w:sz="0" w:space="0" w:color="auto"/>
        <w:bottom w:val="none" w:sz="0" w:space="0" w:color="auto"/>
        <w:right w:val="none" w:sz="0" w:space="0" w:color="auto"/>
      </w:divBdr>
    </w:div>
    <w:div w:id="727414829">
      <w:bodyDiv w:val="1"/>
      <w:marLeft w:val="0"/>
      <w:marRight w:val="0"/>
      <w:marTop w:val="0"/>
      <w:marBottom w:val="0"/>
      <w:divBdr>
        <w:top w:val="none" w:sz="0" w:space="0" w:color="auto"/>
        <w:left w:val="none" w:sz="0" w:space="0" w:color="auto"/>
        <w:bottom w:val="none" w:sz="0" w:space="0" w:color="auto"/>
        <w:right w:val="none" w:sz="0" w:space="0" w:color="auto"/>
      </w:divBdr>
    </w:div>
    <w:div w:id="736628470">
      <w:bodyDiv w:val="1"/>
      <w:marLeft w:val="0"/>
      <w:marRight w:val="0"/>
      <w:marTop w:val="0"/>
      <w:marBottom w:val="0"/>
      <w:divBdr>
        <w:top w:val="none" w:sz="0" w:space="0" w:color="auto"/>
        <w:left w:val="none" w:sz="0" w:space="0" w:color="auto"/>
        <w:bottom w:val="none" w:sz="0" w:space="0" w:color="auto"/>
        <w:right w:val="none" w:sz="0" w:space="0" w:color="auto"/>
      </w:divBdr>
    </w:div>
    <w:div w:id="776873296">
      <w:bodyDiv w:val="1"/>
      <w:marLeft w:val="0"/>
      <w:marRight w:val="0"/>
      <w:marTop w:val="0"/>
      <w:marBottom w:val="0"/>
      <w:divBdr>
        <w:top w:val="none" w:sz="0" w:space="0" w:color="auto"/>
        <w:left w:val="none" w:sz="0" w:space="0" w:color="auto"/>
        <w:bottom w:val="none" w:sz="0" w:space="0" w:color="auto"/>
        <w:right w:val="none" w:sz="0" w:space="0" w:color="auto"/>
      </w:divBdr>
    </w:div>
    <w:div w:id="784622179">
      <w:bodyDiv w:val="1"/>
      <w:marLeft w:val="0"/>
      <w:marRight w:val="0"/>
      <w:marTop w:val="0"/>
      <w:marBottom w:val="0"/>
      <w:divBdr>
        <w:top w:val="none" w:sz="0" w:space="0" w:color="auto"/>
        <w:left w:val="none" w:sz="0" w:space="0" w:color="auto"/>
        <w:bottom w:val="none" w:sz="0" w:space="0" w:color="auto"/>
        <w:right w:val="none" w:sz="0" w:space="0" w:color="auto"/>
      </w:divBdr>
    </w:div>
    <w:div w:id="800028410">
      <w:bodyDiv w:val="1"/>
      <w:marLeft w:val="0"/>
      <w:marRight w:val="0"/>
      <w:marTop w:val="0"/>
      <w:marBottom w:val="0"/>
      <w:divBdr>
        <w:top w:val="none" w:sz="0" w:space="0" w:color="auto"/>
        <w:left w:val="none" w:sz="0" w:space="0" w:color="auto"/>
        <w:bottom w:val="none" w:sz="0" w:space="0" w:color="auto"/>
        <w:right w:val="none" w:sz="0" w:space="0" w:color="auto"/>
      </w:divBdr>
    </w:div>
    <w:div w:id="800998474">
      <w:bodyDiv w:val="1"/>
      <w:marLeft w:val="0"/>
      <w:marRight w:val="0"/>
      <w:marTop w:val="0"/>
      <w:marBottom w:val="0"/>
      <w:divBdr>
        <w:top w:val="none" w:sz="0" w:space="0" w:color="auto"/>
        <w:left w:val="none" w:sz="0" w:space="0" w:color="auto"/>
        <w:bottom w:val="none" w:sz="0" w:space="0" w:color="auto"/>
        <w:right w:val="none" w:sz="0" w:space="0" w:color="auto"/>
      </w:divBdr>
    </w:div>
    <w:div w:id="828181483">
      <w:bodyDiv w:val="1"/>
      <w:marLeft w:val="0"/>
      <w:marRight w:val="0"/>
      <w:marTop w:val="0"/>
      <w:marBottom w:val="0"/>
      <w:divBdr>
        <w:top w:val="none" w:sz="0" w:space="0" w:color="auto"/>
        <w:left w:val="none" w:sz="0" w:space="0" w:color="auto"/>
        <w:bottom w:val="none" w:sz="0" w:space="0" w:color="auto"/>
        <w:right w:val="none" w:sz="0" w:space="0" w:color="auto"/>
      </w:divBdr>
    </w:div>
    <w:div w:id="835418100">
      <w:bodyDiv w:val="1"/>
      <w:marLeft w:val="0"/>
      <w:marRight w:val="0"/>
      <w:marTop w:val="0"/>
      <w:marBottom w:val="0"/>
      <w:divBdr>
        <w:top w:val="none" w:sz="0" w:space="0" w:color="auto"/>
        <w:left w:val="none" w:sz="0" w:space="0" w:color="auto"/>
        <w:bottom w:val="none" w:sz="0" w:space="0" w:color="auto"/>
        <w:right w:val="none" w:sz="0" w:space="0" w:color="auto"/>
      </w:divBdr>
    </w:div>
    <w:div w:id="919679672">
      <w:bodyDiv w:val="1"/>
      <w:marLeft w:val="0"/>
      <w:marRight w:val="0"/>
      <w:marTop w:val="0"/>
      <w:marBottom w:val="0"/>
      <w:divBdr>
        <w:top w:val="none" w:sz="0" w:space="0" w:color="auto"/>
        <w:left w:val="none" w:sz="0" w:space="0" w:color="auto"/>
        <w:bottom w:val="none" w:sz="0" w:space="0" w:color="auto"/>
        <w:right w:val="none" w:sz="0" w:space="0" w:color="auto"/>
      </w:divBdr>
    </w:div>
    <w:div w:id="972442985">
      <w:bodyDiv w:val="1"/>
      <w:marLeft w:val="0"/>
      <w:marRight w:val="0"/>
      <w:marTop w:val="0"/>
      <w:marBottom w:val="0"/>
      <w:divBdr>
        <w:top w:val="none" w:sz="0" w:space="0" w:color="auto"/>
        <w:left w:val="none" w:sz="0" w:space="0" w:color="auto"/>
        <w:bottom w:val="none" w:sz="0" w:space="0" w:color="auto"/>
        <w:right w:val="none" w:sz="0" w:space="0" w:color="auto"/>
      </w:divBdr>
    </w:div>
    <w:div w:id="976683593">
      <w:bodyDiv w:val="1"/>
      <w:marLeft w:val="0"/>
      <w:marRight w:val="0"/>
      <w:marTop w:val="0"/>
      <w:marBottom w:val="0"/>
      <w:divBdr>
        <w:top w:val="none" w:sz="0" w:space="0" w:color="auto"/>
        <w:left w:val="none" w:sz="0" w:space="0" w:color="auto"/>
        <w:bottom w:val="none" w:sz="0" w:space="0" w:color="auto"/>
        <w:right w:val="none" w:sz="0" w:space="0" w:color="auto"/>
      </w:divBdr>
    </w:div>
    <w:div w:id="1048141465">
      <w:bodyDiv w:val="1"/>
      <w:marLeft w:val="0"/>
      <w:marRight w:val="0"/>
      <w:marTop w:val="0"/>
      <w:marBottom w:val="0"/>
      <w:divBdr>
        <w:top w:val="none" w:sz="0" w:space="0" w:color="auto"/>
        <w:left w:val="none" w:sz="0" w:space="0" w:color="auto"/>
        <w:bottom w:val="none" w:sz="0" w:space="0" w:color="auto"/>
        <w:right w:val="none" w:sz="0" w:space="0" w:color="auto"/>
      </w:divBdr>
    </w:div>
    <w:div w:id="1051198510">
      <w:bodyDiv w:val="1"/>
      <w:marLeft w:val="0"/>
      <w:marRight w:val="0"/>
      <w:marTop w:val="0"/>
      <w:marBottom w:val="0"/>
      <w:divBdr>
        <w:top w:val="none" w:sz="0" w:space="0" w:color="auto"/>
        <w:left w:val="none" w:sz="0" w:space="0" w:color="auto"/>
        <w:bottom w:val="none" w:sz="0" w:space="0" w:color="auto"/>
        <w:right w:val="none" w:sz="0" w:space="0" w:color="auto"/>
      </w:divBdr>
    </w:div>
    <w:div w:id="1096173878">
      <w:bodyDiv w:val="1"/>
      <w:marLeft w:val="0"/>
      <w:marRight w:val="0"/>
      <w:marTop w:val="0"/>
      <w:marBottom w:val="0"/>
      <w:divBdr>
        <w:top w:val="none" w:sz="0" w:space="0" w:color="auto"/>
        <w:left w:val="none" w:sz="0" w:space="0" w:color="auto"/>
        <w:bottom w:val="none" w:sz="0" w:space="0" w:color="auto"/>
        <w:right w:val="none" w:sz="0" w:space="0" w:color="auto"/>
      </w:divBdr>
    </w:div>
    <w:div w:id="1099838649">
      <w:bodyDiv w:val="1"/>
      <w:marLeft w:val="0"/>
      <w:marRight w:val="0"/>
      <w:marTop w:val="0"/>
      <w:marBottom w:val="0"/>
      <w:divBdr>
        <w:top w:val="none" w:sz="0" w:space="0" w:color="auto"/>
        <w:left w:val="none" w:sz="0" w:space="0" w:color="auto"/>
        <w:bottom w:val="none" w:sz="0" w:space="0" w:color="auto"/>
        <w:right w:val="none" w:sz="0" w:space="0" w:color="auto"/>
      </w:divBdr>
    </w:div>
    <w:div w:id="1114908551">
      <w:bodyDiv w:val="1"/>
      <w:marLeft w:val="0"/>
      <w:marRight w:val="0"/>
      <w:marTop w:val="0"/>
      <w:marBottom w:val="0"/>
      <w:divBdr>
        <w:top w:val="none" w:sz="0" w:space="0" w:color="auto"/>
        <w:left w:val="none" w:sz="0" w:space="0" w:color="auto"/>
        <w:bottom w:val="none" w:sz="0" w:space="0" w:color="auto"/>
        <w:right w:val="none" w:sz="0" w:space="0" w:color="auto"/>
      </w:divBdr>
    </w:div>
    <w:div w:id="1115830410">
      <w:bodyDiv w:val="1"/>
      <w:marLeft w:val="0"/>
      <w:marRight w:val="0"/>
      <w:marTop w:val="0"/>
      <w:marBottom w:val="0"/>
      <w:divBdr>
        <w:top w:val="none" w:sz="0" w:space="0" w:color="auto"/>
        <w:left w:val="none" w:sz="0" w:space="0" w:color="auto"/>
        <w:bottom w:val="none" w:sz="0" w:space="0" w:color="auto"/>
        <w:right w:val="none" w:sz="0" w:space="0" w:color="auto"/>
      </w:divBdr>
    </w:div>
    <w:div w:id="1157959806">
      <w:bodyDiv w:val="1"/>
      <w:marLeft w:val="0"/>
      <w:marRight w:val="0"/>
      <w:marTop w:val="0"/>
      <w:marBottom w:val="0"/>
      <w:divBdr>
        <w:top w:val="none" w:sz="0" w:space="0" w:color="auto"/>
        <w:left w:val="none" w:sz="0" w:space="0" w:color="auto"/>
        <w:bottom w:val="none" w:sz="0" w:space="0" w:color="auto"/>
        <w:right w:val="none" w:sz="0" w:space="0" w:color="auto"/>
      </w:divBdr>
    </w:div>
    <w:div w:id="1167818594">
      <w:bodyDiv w:val="1"/>
      <w:marLeft w:val="0"/>
      <w:marRight w:val="0"/>
      <w:marTop w:val="0"/>
      <w:marBottom w:val="0"/>
      <w:divBdr>
        <w:top w:val="none" w:sz="0" w:space="0" w:color="auto"/>
        <w:left w:val="none" w:sz="0" w:space="0" w:color="auto"/>
        <w:bottom w:val="none" w:sz="0" w:space="0" w:color="auto"/>
        <w:right w:val="none" w:sz="0" w:space="0" w:color="auto"/>
      </w:divBdr>
    </w:div>
    <w:div w:id="1188913125">
      <w:bodyDiv w:val="1"/>
      <w:marLeft w:val="0"/>
      <w:marRight w:val="0"/>
      <w:marTop w:val="0"/>
      <w:marBottom w:val="0"/>
      <w:divBdr>
        <w:top w:val="none" w:sz="0" w:space="0" w:color="auto"/>
        <w:left w:val="none" w:sz="0" w:space="0" w:color="auto"/>
        <w:bottom w:val="none" w:sz="0" w:space="0" w:color="auto"/>
        <w:right w:val="none" w:sz="0" w:space="0" w:color="auto"/>
      </w:divBdr>
    </w:div>
    <w:div w:id="1227110599">
      <w:bodyDiv w:val="1"/>
      <w:marLeft w:val="0"/>
      <w:marRight w:val="0"/>
      <w:marTop w:val="0"/>
      <w:marBottom w:val="0"/>
      <w:divBdr>
        <w:top w:val="none" w:sz="0" w:space="0" w:color="auto"/>
        <w:left w:val="none" w:sz="0" w:space="0" w:color="auto"/>
        <w:bottom w:val="none" w:sz="0" w:space="0" w:color="auto"/>
        <w:right w:val="none" w:sz="0" w:space="0" w:color="auto"/>
      </w:divBdr>
    </w:div>
    <w:div w:id="1314797523">
      <w:bodyDiv w:val="1"/>
      <w:marLeft w:val="0"/>
      <w:marRight w:val="0"/>
      <w:marTop w:val="0"/>
      <w:marBottom w:val="0"/>
      <w:divBdr>
        <w:top w:val="none" w:sz="0" w:space="0" w:color="auto"/>
        <w:left w:val="none" w:sz="0" w:space="0" w:color="auto"/>
        <w:bottom w:val="none" w:sz="0" w:space="0" w:color="auto"/>
        <w:right w:val="none" w:sz="0" w:space="0" w:color="auto"/>
      </w:divBdr>
    </w:div>
    <w:div w:id="1318340996">
      <w:bodyDiv w:val="1"/>
      <w:marLeft w:val="0"/>
      <w:marRight w:val="0"/>
      <w:marTop w:val="0"/>
      <w:marBottom w:val="0"/>
      <w:divBdr>
        <w:top w:val="none" w:sz="0" w:space="0" w:color="auto"/>
        <w:left w:val="none" w:sz="0" w:space="0" w:color="auto"/>
        <w:bottom w:val="none" w:sz="0" w:space="0" w:color="auto"/>
        <w:right w:val="none" w:sz="0" w:space="0" w:color="auto"/>
      </w:divBdr>
    </w:div>
    <w:div w:id="1362976496">
      <w:bodyDiv w:val="1"/>
      <w:marLeft w:val="0"/>
      <w:marRight w:val="0"/>
      <w:marTop w:val="0"/>
      <w:marBottom w:val="0"/>
      <w:divBdr>
        <w:top w:val="none" w:sz="0" w:space="0" w:color="auto"/>
        <w:left w:val="none" w:sz="0" w:space="0" w:color="auto"/>
        <w:bottom w:val="none" w:sz="0" w:space="0" w:color="auto"/>
        <w:right w:val="none" w:sz="0" w:space="0" w:color="auto"/>
      </w:divBdr>
    </w:div>
    <w:div w:id="1367606000">
      <w:bodyDiv w:val="1"/>
      <w:marLeft w:val="0"/>
      <w:marRight w:val="0"/>
      <w:marTop w:val="0"/>
      <w:marBottom w:val="0"/>
      <w:divBdr>
        <w:top w:val="none" w:sz="0" w:space="0" w:color="auto"/>
        <w:left w:val="none" w:sz="0" w:space="0" w:color="auto"/>
        <w:bottom w:val="none" w:sz="0" w:space="0" w:color="auto"/>
        <w:right w:val="none" w:sz="0" w:space="0" w:color="auto"/>
      </w:divBdr>
    </w:div>
    <w:div w:id="1380283888">
      <w:bodyDiv w:val="1"/>
      <w:marLeft w:val="0"/>
      <w:marRight w:val="0"/>
      <w:marTop w:val="0"/>
      <w:marBottom w:val="0"/>
      <w:divBdr>
        <w:top w:val="none" w:sz="0" w:space="0" w:color="auto"/>
        <w:left w:val="none" w:sz="0" w:space="0" w:color="auto"/>
        <w:bottom w:val="none" w:sz="0" w:space="0" w:color="auto"/>
        <w:right w:val="none" w:sz="0" w:space="0" w:color="auto"/>
      </w:divBdr>
    </w:div>
    <w:div w:id="1406876456">
      <w:bodyDiv w:val="1"/>
      <w:marLeft w:val="0"/>
      <w:marRight w:val="0"/>
      <w:marTop w:val="0"/>
      <w:marBottom w:val="0"/>
      <w:divBdr>
        <w:top w:val="none" w:sz="0" w:space="0" w:color="auto"/>
        <w:left w:val="none" w:sz="0" w:space="0" w:color="auto"/>
        <w:bottom w:val="none" w:sz="0" w:space="0" w:color="auto"/>
        <w:right w:val="none" w:sz="0" w:space="0" w:color="auto"/>
      </w:divBdr>
    </w:div>
    <w:div w:id="1416248246">
      <w:bodyDiv w:val="1"/>
      <w:marLeft w:val="0"/>
      <w:marRight w:val="0"/>
      <w:marTop w:val="0"/>
      <w:marBottom w:val="0"/>
      <w:divBdr>
        <w:top w:val="none" w:sz="0" w:space="0" w:color="auto"/>
        <w:left w:val="none" w:sz="0" w:space="0" w:color="auto"/>
        <w:bottom w:val="none" w:sz="0" w:space="0" w:color="auto"/>
        <w:right w:val="none" w:sz="0" w:space="0" w:color="auto"/>
      </w:divBdr>
    </w:div>
    <w:div w:id="1423839606">
      <w:bodyDiv w:val="1"/>
      <w:marLeft w:val="0"/>
      <w:marRight w:val="0"/>
      <w:marTop w:val="0"/>
      <w:marBottom w:val="0"/>
      <w:divBdr>
        <w:top w:val="none" w:sz="0" w:space="0" w:color="auto"/>
        <w:left w:val="none" w:sz="0" w:space="0" w:color="auto"/>
        <w:bottom w:val="none" w:sz="0" w:space="0" w:color="auto"/>
        <w:right w:val="none" w:sz="0" w:space="0" w:color="auto"/>
      </w:divBdr>
    </w:div>
    <w:div w:id="1439250362">
      <w:bodyDiv w:val="1"/>
      <w:marLeft w:val="0"/>
      <w:marRight w:val="0"/>
      <w:marTop w:val="0"/>
      <w:marBottom w:val="0"/>
      <w:divBdr>
        <w:top w:val="none" w:sz="0" w:space="0" w:color="auto"/>
        <w:left w:val="none" w:sz="0" w:space="0" w:color="auto"/>
        <w:bottom w:val="none" w:sz="0" w:space="0" w:color="auto"/>
        <w:right w:val="none" w:sz="0" w:space="0" w:color="auto"/>
      </w:divBdr>
    </w:div>
    <w:div w:id="1468741836">
      <w:bodyDiv w:val="1"/>
      <w:marLeft w:val="0"/>
      <w:marRight w:val="0"/>
      <w:marTop w:val="0"/>
      <w:marBottom w:val="0"/>
      <w:divBdr>
        <w:top w:val="none" w:sz="0" w:space="0" w:color="auto"/>
        <w:left w:val="none" w:sz="0" w:space="0" w:color="auto"/>
        <w:bottom w:val="none" w:sz="0" w:space="0" w:color="auto"/>
        <w:right w:val="none" w:sz="0" w:space="0" w:color="auto"/>
      </w:divBdr>
    </w:div>
    <w:div w:id="1515343366">
      <w:bodyDiv w:val="1"/>
      <w:marLeft w:val="0"/>
      <w:marRight w:val="0"/>
      <w:marTop w:val="0"/>
      <w:marBottom w:val="0"/>
      <w:divBdr>
        <w:top w:val="none" w:sz="0" w:space="0" w:color="auto"/>
        <w:left w:val="none" w:sz="0" w:space="0" w:color="auto"/>
        <w:bottom w:val="none" w:sz="0" w:space="0" w:color="auto"/>
        <w:right w:val="none" w:sz="0" w:space="0" w:color="auto"/>
      </w:divBdr>
    </w:div>
    <w:div w:id="1546019160">
      <w:bodyDiv w:val="1"/>
      <w:marLeft w:val="0"/>
      <w:marRight w:val="0"/>
      <w:marTop w:val="0"/>
      <w:marBottom w:val="0"/>
      <w:divBdr>
        <w:top w:val="none" w:sz="0" w:space="0" w:color="auto"/>
        <w:left w:val="none" w:sz="0" w:space="0" w:color="auto"/>
        <w:bottom w:val="none" w:sz="0" w:space="0" w:color="auto"/>
        <w:right w:val="none" w:sz="0" w:space="0" w:color="auto"/>
      </w:divBdr>
    </w:div>
    <w:div w:id="1613584152">
      <w:bodyDiv w:val="1"/>
      <w:marLeft w:val="0"/>
      <w:marRight w:val="0"/>
      <w:marTop w:val="0"/>
      <w:marBottom w:val="0"/>
      <w:divBdr>
        <w:top w:val="none" w:sz="0" w:space="0" w:color="auto"/>
        <w:left w:val="none" w:sz="0" w:space="0" w:color="auto"/>
        <w:bottom w:val="none" w:sz="0" w:space="0" w:color="auto"/>
        <w:right w:val="none" w:sz="0" w:space="0" w:color="auto"/>
      </w:divBdr>
    </w:div>
    <w:div w:id="1632903802">
      <w:bodyDiv w:val="1"/>
      <w:marLeft w:val="0"/>
      <w:marRight w:val="0"/>
      <w:marTop w:val="0"/>
      <w:marBottom w:val="0"/>
      <w:divBdr>
        <w:top w:val="none" w:sz="0" w:space="0" w:color="auto"/>
        <w:left w:val="none" w:sz="0" w:space="0" w:color="auto"/>
        <w:bottom w:val="none" w:sz="0" w:space="0" w:color="auto"/>
        <w:right w:val="none" w:sz="0" w:space="0" w:color="auto"/>
      </w:divBdr>
    </w:div>
    <w:div w:id="1643577566">
      <w:bodyDiv w:val="1"/>
      <w:marLeft w:val="0"/>
      <w:marRight w:val="0"/>
      <w:marTop w:val="0"/>
      <w:marBottom w:val="0"/>
      <w:divBdr>
        <w:top w:val="none" w:sz="0" w:space="0" w:color="auto"/>
        <w:left w:val="none" w:sz="0" w:space="0" w:color="auto"/>
        <w:bottom w:val="none" w:sz="0" w:space="0" w:color="auto"/>
        <w:right w:val="none" w:sz="0" w:space="0" w:color="auto"/>
      </w:divBdr>
    </w:div>
    <w:div w:id="1647658682">
      <w:bodyDiv w:val="1"/>
      <w:marLeft w:val="0"/>
      <w:marRight w:val="0"/>
      <w:marTop w:val="0"/>
      <w:marBottom w:val="0"/>
      <w:divBdr>
        <w:top w:val="none" w:sz="0" w:space="0" w:color="auto"/>
        <w:left w:val="none" w:sz="0" w:space="0" w:color="auto"/>
        <w:bottom w:val="none" w:sz="0" w:space="0" w:color="auto"/>
        <w:right w:val="none" w:sz="0" w:space="0" w:color="auto"/>
      </w:divBdr>
    </w:div>
    <w:div w:id="1648896558">
      <w:bodyDiv w:val="1"/>
      <w:marLeft w:val="0"/>
      <w:marRight w:val="0"/>
      <w:marTop w:val="0"/>
      <w:marBottom w:val="0"/>
      <w:divBdr>
        <w:top w:val="none" w:sz="0" w:space="0" w:color="auto"/>
        <w:left w:val="none" w:sz="0" w:space="0" w:color="auto"/>
        <w:bottom w:val="none" w:sz="0" w:space="0" w:color="auto"/>
        <w:right w:val="none" w:sz="0" w:space="0" w:color="auto"/>
      </w:divBdr>
    </w:div>
    <w:div w:id="1676498365">
      <w:bodyDiv w:val="1"/>
      <w:marLeft w:val="0"/>
      <w:marRight w:val="0"/>
      <w:marTop w:val="0"/>
      <w:marBottom w:val="0"/>
      <w:divBdr>
        <w:top w:val="none" w:sz="0" w:space="0" w:color="auto"/>
        <w:left w:val="none" w:sz="0" w:space="0" w:color="auto"/>
        <w:bottom w:val="none" w:sz="0" w:space="0" w:color="auto"/>
        <w:right w:val="none" w:sz="0" w:space="0" w:color="auto"/>
      </w:divBdr>
    </w:div>
    <w:div w:id="1707025768">
      <w:bodyDiv w:val="1"/>
      <w:marLeft w:val="0"/>
      <w:marRight w:val="0"/>
      <w:marTop w:val="0"/>
      <w:marBottom w:val="0"/>
      <w:divBdr>
        <w:top w:val="none" w:sz="0" w:space="0" w:color="auto"/>
        <w:left w:val="none" w:sz="0" w:space="0" w:color="auto"/>
        <w:bottom w:val="none" w:sz="0" w:space="0" w:color="auto"/>
        <w:right w:val="none" w:sz="0" w:space="0" w:color="auto"/>
      </w:divBdr>
    </w:div>
    <w:div w:id="1748772197">
      <w:bodyDiv w:val="1"/>
      <w:marLeft w:val="0"/>
      <w:marRight w:val="0"/>
      <w:marTop w:val="0"/>
      <w:marBottom w:val="0"/>
      <w:divBdr>
        <w:top w:val="none" w:sz="0" w:space="0" w:color="auto"/>
        <w:left w:val="none" w:sz="0" w:space="0" w:color="auto"/>
        <w:bottom w:val="none" w:sz="0" w:space="0" w:color="auto"/>
        <w:right w:val="none" w:sz="0" w:space="0" w:color="auto"/>
      </w:divBdr>
    </w:div>
    <w:div w:id="1769623030">
      <w:bodyDiv w:val="1"/>
      <w:marLeft w:val="0"/>
      <w:marRight w:val="0"/>
      <w:marTop w:val="0"/>
      <w:marBottom w:val="0"/>
      <w:divBdr>
        <w:top w:val="none" w:sz="0" w:space="0" w:color="auto"/>
        <w:left w:val="none" w:sz="0" w:space="0" w:color="auto"/>
        <w:bottom w:val="none" w:sz="0" w:space="0" w:color="auto"/>
        <w:right w:val="none" w:sz="0" w:space="0" w:color="auto"/>
      </w:divBdr>
    </w:div>
    <w:div w:id="1770349549">
      <w:bodyDiv w:val="1"/>
      <w:marLeft w:val="0"/>
      <w:marRight w:val="0"/>
      <w:marTop w:val="0"/>
      <w:marBottom w:val="0"/>
      <w:divBdr>
        <w:top w:val="none" w:sz="0" w:space="0" w:color="auto"/>
        <w:left w:val="none" w:sz="0" w:space="0" w:color="auto"/>
        <w:bottom w:val="none" w:sz="0" w:space="0" w:color="auto"/>
        <w:right w:val="none" w:sz="0" w:space="0" w:color="auto"/>
      </w:divBdr>
    </w:div>
    <w:div w:id="1824661641">
      <w:bodyDiv w:val="1"/>
      <w:marLeft w:val="0"/>
      <w:marRight w:val="0"/>
      <w:marTop w:val="0"/>
      <w:marBottom w:val="0"/>
      <w:divBdr>
        <w:top w:val="none" w:sz="0" w:space="0" w:color="auto"/>
        <w:left w:val="none" w:sz="0" w:space="0" w:color="auto"/>
        <w:bottom w:val="none" w:sz="0" w:space="0" w:color="auto"/>
        <w:right w:val="none" w:sz="0" w:space="0" w:color="auto"/>
      </w:divBdr>
    </w:div>
    <w:div w:id="1863276935">
      <w:bodyDiv w:val="1"/>
      <w:marLeft w:val="0"/>
      <w:marRight w:val="0"/>
      <w:marTop w:val="0"/>
      <w:marBottom w:val="0"/>
      <w:divBdr>
        <w:top w:val="none" w:sz="0" w:space="0" w:color="auto"/>
        <w:left w:val="none" w:sz="0" w:space="0" w:color="auto"/>
        <w:bottom w:val="none" w:sz="0" w:space="0" w:color="auto"/>
        <w:right w:val="none" w:sz="0" w:space="0" w:color="auto"/>
      </w:divBdr>
    </w:div>
    <w:div w:id="1894923636">
      <w:bodyDiv w:val="1"/>
      <w:marLeft w:val="0"/>
      <w:marRight w:val="0"/>
      <w:marTop w:val="0"/>
      <w:marBottom w:val="0"/>
      <w:divBdr>
        <w:top w:val="none" w:sz="0" w:space="0" w:color="auto"/>
        <w:left w:val="none" w:sz="0" w:space="0" w:color="auto"/>
        <w:bottom w:val="none" w:sz="0" w:space="0" w:color="auto"/>
        <w:right w:val="none" w:sz="0" w:space="0" w:color="auto"/>
      </w:divBdr>
    </w:div>
    <w:div w:id="1907915014">
      <w:bodyDiv w:val="1"/>
      <w:marLeft w:val="0"/>
      <w:marRight w:val="0"/>
      <w:marTop w:val="0"/>
      <w:marBottom w:val="0"/>
      <w:divBdr>
        <w:top w:val="none" w:sz="0" w:space="0" w:color="auto"/>
        <w:left w:val="none" w:sz="0" w:space="0" w:color="auto"/>
        <w:bottom w:val="none" w:sz="0" w:space="0" w:color="auto"/>
        <w:right w:val="none" w:sz="0" w:space="0" w:color="auto"/>
      </w:divBdr>
    </w:div>
    <w:div w:id="1941521804">
      <w:bodyDiv w:val="1"/>
      <w:marLeft w:val="0"/>
      <w:marRight w:val="0"/>
      <w:marTop w:val="0"/>
      <w:marBottom w:val="0"/>
      <w:divBdr>
        <w:top w:val="none" w:sz="0" w:space="0" w:color="auto"/>
        <w:left w:val="none" w:sz="0" w:space="0" w:color="auto"/>
        <w:bottom w:val="none" w:sz="0" w:space="0" w:color="auto"/>
        <w:right w:val="none" w:sz="0" w:space="0" w:color="auto"/>
      </w:divBdr>
    </w:div>
    <w:div w:id="1946114564">
      <w:bodyDiv w:val="1"/>
      <w:marLeft w:val="0"/>
      <w:marRight w:val="0"/>
      <w:marTop w:val="0"/>
      <w:marBottom w:val="0"/>
      <w:divBdr>
        <w:top w:val="none" w:sz="0" w:space="0" w:color="auto"/>
        <w:left w:val="none" w:sz="0" w:space="0" w:color="auto"/>
        <w:bottom w:val="none" w:sz="0" w:space="0" w:color="auto"/>
        <w:right w:val="none" w:sz="0" w:space="0" w:color="auto"/>
      </w:divBdr>
    </w:div>
    <w:div w:id="1953780181">
      <w:bodyDiv w:val="1"/>
      <w:marLeft w:val="0"/>
      <w:marRight w:val="0"/>
      <w:marTop w:val="0"/>
      <w:marBottom w:val="0"/>
      <w:divBdr>
        <w:top w:val="none" w:sz="0" w:space="0" w:color="auto"/>
        <w:left w:val="none" w:sz="0" w:space="0" w:color="auto"/>
        <w:bottom w:val="none" w:sz="0" w:space="0" w:color="auto"/>
        <w:right w:val="none" w:sz="0" w:space="0" w:color="auto"/>
      </w:divBdr>
    </w:div>
    <w:div w:id="1991395814">
      <w:bodyDiv w:val="1"/>
      <w:marLeft w:val="0"/>
      <w:marRight w:val="0"/>
      <w:marTop w:val="0"/>
      <w:marBottom w:val="0"/>
      <w:divBdr>
        <w:top w:val="none" w:sz="0" w:space="0" w:color="auto"/>
        <w:left w:val="none" w:sz="0" w:space="0" w:color="auto"/>
        <w:bottom w:val="none" w:sz="0" w:space="0" w:color="auto"/>
        <w:right w:val="none" w:sz="0" w:space="0" w:color="auto"/>
      </w:divBdr>
    </w:div>
    <w:div w:id="2035498205">
      <w:bodyDiv w:val="1"/>
      <w:marLeft w:val="0"/>
      <w:marRight w:val="0"/>
      <w:marTop w:val="0"/>
      <w:marBottom w:val="0"/>
      <w:divBdr>
        <w:top w:val="none" w:sz="0" w:space="0" w:color="auto"/>
        <w:left w:val="none" w:sz="0" w:space="0" w:color="auto"/>
        <w:bottom w:val="none" w:sz="0" w:space="0" w:color="auto"/>
        <w:right w:val="none" w:sz="0" w:space="0" w:color="auto"/>
      </w:divBdr>
    </w:div>
    <w:div w:id="2044016902">
      <w:bodyDiv w:val="1"/>
      <w:marLeft w:val="0"/>
      <w:marRight w:val="0"/>
      <w:marTop w:val="0"/>
      <w:marBottom w:val="0"/>
      <w:divBdr>
        <w:top w:val="none" w:sz="0" w:space="0" w:color="auto"/>
        <w:left w:val="none" w:sz="0" w:space="0" w:color="auto"/>
        <w:bottom w:val="none" w:sz="0" w:space="0" w:color="auto"/>
        <w:right w:val="none" w:sz="0" w:space="0" w:color="auto"/>
      </w:divBdr>
    </w:div>
    <w:div w:id="2127462079">
      <w:bodyDiv w:val="1"/>
      <w:marLeft w:val="0"/>
      <w:marRight w:val="0"/>
      <w:marTop w:val="0"/>
      <w:marBottom w:val="0"/>
      <w:divBdr>
        <w:top w:val="none" w:sz="0" w:space="0" w:color="auto"/>
        <w:left w:val="none" w:sz="0" w:space="0" w:color="auto"/>
        <w:bottom w:val="none" w:sz="0" w:space="0" w:color="auto"/>
        <w:right w:val="none" w:sz="0" w:space="0" w:color="auto"/>
      </w:divBdr>
    </w:div>
    <w:div w:id="2140368182">
      <w:bodyDiv w:val="1"/>
      <w:marLeft w:val="0"/>
      <w:marRight w:val="0"/>
      <w:marTop w:val="0"/>
      <w:marBottom w:val="0"/>
      <w:divBdr>
        <w:top w:val="none" w:sz="0" w:space="0" w:color="auto"/>
        <w:left w:val="none" w:sz="0" w:space="0" w:color="auto"/>
        <w:bottom w:val="none" w:sz="0" w:space="0" w:color="auto"/>
        <w:right w:val="none" w:sz="0" w:space="0" w:color="auto"/>
      </w:divBdr>
    </w:div>
    <w:div w:id="2140956791">
      <w:bodyDiv w:val="1"/>
      <w:marLeft w:val="0"/>
      <w:marRight w:val="0"/>
      <w:marTop w:val="0"/>
      <w:marBottom w:val="0"/>
      <w:divBdr>
        <w:top w:val="none" w:sz="0" w:space="0" w:color="auto"/>
        <w:left w:val="none" w:sz="0" w:space="0" w:color="auto"/>
        <w:bottom w:val="none" w:sz="0" w:space="0" w:color="auto"/>
        <w:right w:val="none" w:sz="0" w:space="0" w:color="auto"/>
      </w:divBdr>
    </w:div>
    <w:div w:id="2146845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11</Pages>
  <Words>2165</Words>
  <Characters>12344</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PC09</dc:creator>
  <cp:lastModifiedBy>PC 07</cp:lastModifiedBy>
  <cp:revision>2</cp:revision>
  <cp:lastPrinted>2016-10-03T04:26:00Z</cp:lastPrinted>
  <dcterms:created xsi:type="dcterms:W3CDTF">2017-03-07T02:18:00Z</dcterms:created>
  <dcterms:modified xsi:type="dcterms:W3CDTF">2017-03-07T02:18:00Z</dcterms:modified>
</cp:coreProperties>
</file>