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7" w:type="dxa"/>
        <w:tblLayout w:type="fixed"/>
        <w:tblLook w:val="0000" w:firstRow="0" w:lastRow="0" w:firstColumn="0" w:lastColumn="0" w:noHBand="0" w:noVBand="0"/>
      </w:tblPr>
      <w:tblGrid>
        <w:gridCol w:w="3794"/>
        <w:gridCol w:w="5603"/>
      </w:tblGrid>
      <w:tr w:rsidR="007565F5" w:rsidRPr="00F06B68" w:rsidTr="000D0ACE">
        <w:tc>
          <w:tcPr>
            <w:tcW w:w="3794" w:type="dxa"/>
            <w:tcBorders>
              <w:top w:val="nil"/>
              <w:left w:val="nil"/>
              <w:bottom w:val="nil"/>
              <w:right w:val="nil"/>
            </w:tcBorders>
          </w:tcPr>
          <w:p w:rsidR="00274094" w:rsidRPr="001D6B7D" w:rsidRDefault="00274094" w:rsidP="00274094">
            <w:pPr>
              <w:jc w:val="center"/>
              <w:rPr>
                <w:iCs/>
                <w:sz w:val="24"/>
              </w:rPr>
            </w:pPr>
            <w:r w:rsidRPr="001D6B7D">
              <w:rPr>
                <w:iCs/>
                <w:sz w:val="24"/>
              </w:rPr>
              <w:t>QUỐC HỘI KHÓA XI</w:t>
            </w:r>
            <w:r>
              <w:rPr>
                <w:iCs/>
                <w:sz w:val="24"/>
              </w:rPr>
              <w:t>V</w:t>
            </w:r>
          </w:p>
          <w:p w:rsidR="00274094" w:rsidRPr="001D6B7D" w:rsidRDefault="00274094" w:rsidP="00274094">
            <w:pPr>
              <w:jc w:val="center"/>
              <w:rPr>
                <w:b/>
                <w:iCs/>
                <w:sz w:val="24"/>
              </w:rPr>
            </w:pPr>
            <w:r w:rsidRPr="001D6B7D">
              <w:rPr>
                <w:b/>
                <w:iCs/>
                <w:sz w:val="24"/>
              </w:rPr>
              <w:t>ỦY BAN KINH TẾ</w:t>
            </w:r>
          </w:p>
          <w:p w:rsidR="00274094" w:rsidRPr="001D6B7D" w:rsidRDefault="00FD6F5F" w:rsidP="00274094">
            <w:pPr>
              <w:widowControl w:val="0"/>
              <w:spacing w:before="120" w:line="320" w:lineRule="exact"/>
              <w:jc w:val="center"/>
            </w:pPr>
            <w:r>
              <w:rPr>
                <w:noProof/>
              </w:rPr>
              <mc:AlternateContent>
                <mc:Choice Requires="wps">
                  <w:drawing>
                    <wp:anchor distT="0" distB="0" distL="114300" distR="114300" simplePos="0" relativeHeight="251660800" behindDoc="0" locked="0" layoutInCell="1" allowOverlap="1">
                      <wp:simplePos x="0" y="0"/>
                      <wp:positionH relativeFrom="column">
                        <wp:posOffset>833120</wp:posOffset>
                      </wp:positionH>
                      <wp:positionV relativeFrom="paragraph">
                        <wp:posOffset>43180</wp:posOffset>
                      </wp:positionV>
                      <wp:extent cx="665480" cy="0"/>
                      <wp:effectExtent l="8255" t="13335" r="12065" b="5715"/>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64BAD" id="Line 4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pt,3.4pt" to="11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" strokeweight=".26mm">
                      <v:stroke joinstyle="miter" endcap="square"/>
                    </v:line>
                  </w:pict>
                </mc:Fallback>
              </mc:AlternateContent>
            </w:r>
            <w:r w:rsidR="00274094" w:rsidRPr="001D6B7D">
              <w:rPr>
                <w:sz w:val="26"/>
                <w:szCs w:val="26"/>
              </w:rPr>
              <w:t>Số:</w:t>
            </w:r>
            <w:r w:rsidR="00274094">
              <w:rPr>
                <w:sz w:val="26"/>
                <w:szCs w:val="26"/>
              </w:rPr>
              <w:t xml:space="preserve"> </w:t>
            </w:r>
            <w:r w:rsidR="001E53FB">
              <w:rPr>
                <w:sz w:val="26"/>
                <w:szCs w:val="26"/>
              </w:rPr>
              <w:t xml:space="preserve"> </w:t>
            </w:r>
            <w:r w:rsidR="00A12040">
              <w:rPr>
                <w:sz w:val="26"/>
                <w:szCs w:val="26"/>
              </w:rPr>
              <w:t>361</w:t>
            </w:r>
            <w:r w:rsidR="00274094" w:rsidRPr="001D6B7D">
              <w:rPr>
                <w:sz w:val="26"/>
                <w:szCs w:val="26"/>
              </w:rPr>
              <w:t>/BC-UBKT1</w:t>
            </w:r>
            <w:r w:rsidR="00274094">
              <w:rPr>
                <w:sz w:val="26"/>
                <w:szCs w:val="26"/>
              </w:rPr>
              <w:t xml:space="preserve">4 </w:t>
            </w:r>
          </w:p>
          <w:p w:rsidR="007565F5" w:rsidRPr="00F06B68" w:rsidRDefault="007565F5" w:rsidP="007565F5">
            <w:pPr>
              <w:jc w:val="center"/>
            </w:pPr>
          </w:p>
        </w:tc>
        <w:tc>
          <w:tcPr>
            <w:tcW w:w="5603" w:type="dxa"/>
            <w:tcBorders>
              <w:top w:val="nil"/>
              <w:left w:val="nil"/>
              <w:bottom w:val="nil"/>
              <w:right w:val="nil"/>
            </w:tcBorders>
          </w:tcPr>
          <w:p w:rsidR="007565F5" w:rsidRPr="00F06B68" w:rsidRDefault="007565F5" w:rsidP="007565F5">
            <w:pPr>
              <w:pStyle w:val="Heading1"/>
              <w:jc w:val="center"/>
              <w:rPr>
                <w:b/>
                <w:bCs/>
                <w:noProof/>
                <w:sz w:val="24"/>
                <w:szCs w:val="24"/>
              </w:rPr>
            </w:pPr>
            <w:r w:rsidRPr="00F06B68">
              <w:rPr>
                <w:b/>
                <w:bCs/>
                <w:noProof/>
                <w:sz w:val="24"/>
                <w:szCs w:val="24"/>
              </w:rPr>
              <w:t>CỘNG HÒA XÃ HỘI CHỦ NGHĨA VIỆT NAM</w:t>
            </w:r>
          </w:p>
          <w:p w:rsidR="007565F5" w:rsidRPr="00F06B68" w:rsidRDefault="007565F5" w:rsidP="007565F5">
            <w:pPr>
              <w:pStyle w:val="Heading3"/>
              <w:spacing w:before="0" w:after="0"/>
              <w:jc w:val="center"/>
              <w:rPr>
                <w:rFonts w:ascii="Times New Roman" w:hAnsi="Times New Roman"/>
                <w:i/>
                <w:iCs/>
              </w:rPr>
            </w:pPr>
            <w:r w:rsidRPr="00F06B68">
              <w:rPr>
                <w:rFonts w:ascii="Times New Roman" w:hAnsi="Times New Roman"/>
                <w:noProof/>
              </w:rPr>
              <w:t>Độc lập - Tự do - Hạnh phúc</w:t>
            </w:r>
          </w:p>
          <w:p w:rsidR="007565F5" w:rsidRPr="00F06B68" w:rsidRDefault="00FD6F5F" w:rsidP="007565F5">
            <w:pPr>
              <w:widowControl w:val="0"/>
              <w:ind w:firstLine="539"/>
              <w:jc w:val="right"/>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731520</wp:posOffset>
                      </wp:positionH>
                      <wp:positionV relativeFrom="paragraph">
                        <wp:posOffset>34925</wp:posOffset>
                      </wp:positionV>
                      <wp:extent cx="1943100" cy="0"/>
                      <wp:effectExtent l="10795" t="10160" r="825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183A2"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2.75pt" to="210.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"/>
                  </w:pict>
                </mc:Fallback>
              </mc:AlternateContent>
            </w:r>
          </w:p>
          <w:p w:rsidR="001D286F" w:rsidRDefault="000C1A13" w:rsidP="0036768A">
            <w:pPr>
              <w:widowControl w:val="0"/>
              <w:jc w:val="center"/>
              <w:rPr>
                <w:i/>
                <w:iCs/>
              </w:rPr>
            </w:pPr>
            <w:r>
              <w:rPr>
                <w:i/>
                <w:iCs/>
              </w:rPr>
              <w:t xml:space="preserve">             </w:t>
            </w:r>
            <w:r w:rsidR="007565F5" w:rsidRPr="00F06B68">
              <w:rPr>
                <w:i/>
                <w:iCs/>
              </w:rPr>
              <w:t xml:space="preserve">Hà Nội, ngày </w:t>
            </w:r>
            <w:r w:rsidR="00A12040">
              <w:rPr>
                <w:i/>
                <w:iCs/>
              </w:rPr>
              <w:t xml:space="preserve">    th</w:t>
            </w:r>
            <w:r w:rsidR="007565F5" w:rsidRPr="00F06B68">
              <w:rPr>
                <w:i/>
                <w:iCs/>
              </w:rPr>
              <w:t xml:space="preserve">áng </w:t>
            </w:r>
            <w:r w:rsidR="00331582">
              <w:rPr>
                <w:i/>
                <w:iCs/>
              </w:rPr>
              <w:t>03</w:t>
            </w:r>
            <w:r w:rsidR="007565F5" w:rsidRPr="00F06B68">
              <w:rPr>
                <w:i/>
                <w:iCs/>
              </w:rPr>
              <w:t xml:space="preserve"> năm 2017</w:t>
            </w:r>
          </w:p>
        </w:tc>
      </w:tr>
    </w:tbl>
    <w:p w:rsidR="007565F5" w:rsidRPr="00F06B68" w:rsidRDefault="007565F5" w:rsidP="000D0ACE">
      <w:pPr>
        <w:spacing w:before="360" w:after="60"/>
        <w:jc w:val="center"/>
        <w:rPr>
          <w:b/>
          <w:bCs/>
        </w:rPr>
      </w:pPr>
      <w:r w:rsidRPr="00F06B68">
        <w:rPr>
          <w:b/>
          <w:bCs/>
        </w:rPr>
        <w:t>BÁO CÁO</w:t>
      </w:r>
      <w:r w:rsidR="00A61294">
        <w:rPr>
          <w:b/>
          <w:bCs/>
        </w:rPr>
        <w:t xml:space="preserve"> </w:t>
      </w:r>
    </w:p>
    <w:p w:rsidR="009D32B3" w:rsidRDefault="00274094">
      <w:pPr>
        <w:jc w:val="center"/>
        <w:rPr>
          <w:b/>
          <w:bCs/>
        </w:rPr>
      </w:pPr>
      <w:r>
        <w:rPr>
          <w:b/>
          <w:bCs/>
        </w:rPr>
        <w:t xml:space="preserve">Một số vấn đề lớn trong </w:t>
      </w:r>
      <w:r w:rsidR="00405F6E" w:rsidRPr="00F06B68">
        <w:rPr>
          <w:b/>
          <w:bCs/>
        </w:rPr>
        <w:t>tiếp thu, chỉnh lý</w:t>
      </w:r>
      <w:r w:rsidR="001E53FB">
        <w:rPr>
          <w:b/>
          <w:bCs/>
        </w:rPr>
        <w:t xml:space="preserve"> </w:t>
      </w:r>
    </w:p>
    <w:p w:rsidR="009D32B3" w:rsidRDefault="00274094">
      <w:pPr>
        <w:jc w:val="center"/>
        <w:rPr>
          <w:b/>
          <w:bCs/>
        </w:rPr>
      </w:pPr>
      <w:r>
        <w:rPr>
          <w:b/>
          <w:bCs/>
        </w:rPr>
        <w:t>D</w:t>
      </w:r>
      <w:r w:rsidR="007565F5" w:rsidRPr="00F06B68">
        <w:rPr>
          <w:b/>
          <w:bCs/>
        </w:rPr>
        <w:t xml:space="preserve">ự </w:t>
      </w:r>
      <w:r w:rsidR="008C0CEC">
        <w:rPr>
          <w:b/>
          <w:bCs/>
        </w:rPr>
        <w:t>thảo</w:t>
      </w:r>
      <w:r w:rsidR="001E53FB" w:rsidRPr="00F06B68">
        <w:rPr>
          <w:b/>
          <w:bCs/>
        </w:rPr>
        <w:t xml:space="preserve"> </w:t>
      </w:r>
      <w:r w:rsidR="007565F5" w:rsidRPr="00F06B68">
        <w:rPr>
          <w:b/>
          <w:bCs/>
        </w:rPr>
        <w:t xml:space="preserve">Luật </w:t>
      </w:r>
      <w:r w:rsidR="001E53FB">
        <w:rPr>
          <w:b/>
          <w:bCs/>
        </w:rPr>
        <w:t>hỗ trợ doanh nghiệp nhỏ và vừa</w:t>
      </w:r>
    </w:p>
    <w:p w:rsidR="00274094" w:rsidRPr="00F06B68" w:rsidRDefault="00FD6F5F" w:rsidP="007565F5">
      <w:pPr>
        <w:spacing w:after="120"/>
        <w:jc w:val="center"/>
        <w:rPr>
          <w:b/>
          <w:bCs/>
        </w:rPr>
      </w:pPr>
      <w:r>
        <w:rPr>
          <w:b/>
          <w:bCs/>
          <w:noProof/>
        </w:rPr>
        <mc:AlternateContent>
          <mc:Choice Requires="wps">
            <w:drawing>
              <wp:anchor distT="0" distB="0" distL="114300" distR="114300" simplePos="0" relativeHeight="251661824" behindDoc="0" locked="0" layoutInCell="1" allowOverlap="1">
                <wp:simplePos x="0" y="0"/>
                <wp:positionH relativeFrom="column">
                  <wp:posOffset>2148840</wp:posOffset>
                </wp:positionH>
                <wp:positionV relativeFrom="paragraph">
                  <wp:posOffset>63500</wp:posOffset>
                </wp:positionV>
                <wp:extent cx="1495425" cy="0"/>
                <wp:effectExtent l="9525" t="6985" r="952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5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16DDA4" id="_x0000_t32" coordsize="21600,21600" o:spt="32" o:oned="t" path="m,l21600,21600e" filled="f">
                <v:path arrowok="t" fillok="f" o:connecttype="none"/>
                <o:lock v:ext="edit" shapetype="t"/>
              </v:shapetype>
              <v:shape id="AutoShape 6" o:spid="_x0000_s1026" type="#_x0000_t32" style="position:absolute;margin-left:169.2pt;margin-top:5pt;width:117.7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AeHA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"/>
            </w:pict>
          </mc:Fallback>
        </mc:AlternateContent>
      </w:r>
    </w:p>
    <w:p w:rsidR="002F06B2" w:rsidRPr="002F06B2" w:rsidRDefault="00B5466E" w:rsidP="002F06B2">
      <w:pPr>
        <w:widowControl w:val="0"/>
        <w:spacing w:before="120" w:after="120" w:line="340" w:lineRule="exact"/>
        <w:ind w:firstLine="630"/>
        <w:jc w:val="both"/>
      </w:pPr>
      <w:r>
        <w:rPr>
          <w:spacing w:val="-4"/>
        </w:rPr>
        <w:t xml:space="preserve">Tại kỳ họp thứ 2 Quốc hội khóa XIV, Quốc hội đã thảo luận tại </w:t>
      </w:r>
      <w:r w:rsidR="00AB2744">
        <w:rPr>
          <w:spacing w:val="-4"/>
        </w:rPr>
        <w:t>T</w:t>
      </w:r>
      <w:r>
        <w:rPr>
          <w:spacing w:val="-4"/>
        </w:rPr>
        <w:t xml:space="preserve">ổ và </w:t>
      </w:r>
      <w:r w:rsidR="00AB2744">
        <w:rPr>
          <w:spacing w:val="-4"/>
        </w:rPr>
        <w:t>H</w:t>
      </w:r>
      <w:r>
        <w:rPr>
          <w:spacing w:val="-4"/>
        </w:rPr>
        <w:t xml:space="preserve">ội trường về dự án Luật hỗ trợ doanh nghiệp nhỏ và vừa (DNNVV). </w:t>
      </w:r>
      <w:r>
        <w:t xml:space="preserve">Trên cơ sở ý kiến của các vị đại biểu Quốc hội, </w:t>
      </w:r>
      <w:r w:rsidR="00AB2744">
        <w:t>Ủy ban thường vụ Quốc hội</w:t>
      </w:r>
      <w:r>
        <w:t xml:space="preserve"> đã chỉ đạo Cơ quan chủ trì thẩm tra, Cơ quan soạn thảo và các cơ quan hữu quan nghiên cứu tiếp thu, chỉnh lý dự thảo Luật theo</w:t>
      </w:r>
      <w:r w:rsidR="00564F9B">
        <w:t xml:space="preserve"> các nguyên tắc sau:</w:t>
      </w:r>
      <w:r>
        <w:t xml:space="preserve"> bảo đảm phù hợp với chủ trương của Đảng, Nhà nước về đổi mới mô hình tăng trưởng; không vi phạm nguyên tắc thị trường, không vi phạm các điều ước quốc tế; hỗ trợ có chọn lọc, trọng tâm, trọng điểm; bảo đảm tính thống nhất của hệ thống pháp luật, tính khả thi trong cân đối nguồn lực để hỗ trợ DNNVV. </w:t>
      </w:r>
      <w:r w:rsidR="008406B8" w:rsidRPr="000D0ACE">
        <w:t xml:space="preserve">Ủy ban </w:t>
      </w:r>
      <w:r w:rsidR="009D32B3">
        <w:t xml:space="preserve">Kinh tế xin báo cáo </w:t>
      </w:r>
      <w:r w:rsidR="00146E7B">
        <w:t>các vị ĐBQH chuyên trách</w:t>
      </w:r>
      <w:r w:rsidR="009D32B3">
        <w:t xml:space="preserve"> một số vấn đề lớn trong tiếp thu, chỉnh lý dự án Luật </w:t>
      </w:r>
      <w:r>
        <w:t xml:space="preserve">hỗ trợ </w:t>
      </w:r>
      <w:r w:rsidR="00AB2744">
        <w:t>DNNVV</w:t>
      </w:r>
      <w:r w:rsidR="009D32B3">
        <w:t xml:space="preserve"> như sau: </w:t>
      </w:r>
    </w:p>
    <w:p w:rsidR="00B5466E" w:rsidRDefault="00B5466E" w:rsidP="0036768A">
      <w:pPr>
        <w:ind w:firstLine="630"/>
        <w:jc w:val="both"/>
        <w:rPr>
          <w:i/>
          <w:spacing w:val="-6"/>
        </w:rPr>
      </w:pPr>
      <w:r w:rsidRPr="0036768A">
        <w:rPr>
          <w:i/>
          <w:lang w:val="pt-BR"/>
        </w:rPr>
        <w:t xml:space="preserve">1. </w:t>
      </w:r>
      <w:r w:rsidR="00D73536">
        <w:rPr>
          <w:i/>
          <w:spacing w:val="-6"/>
        </w:rPr>
        <w:t xml:space="preserve">Về </w:t>
      </w:r>
      <w:r w:rsidR="00195A31">
        <w:rPr>
          <w:i/>
          <w:spacing w:val="-6"/>
        </w:rPr>
        <w:t>ý kiến đề nghị</w:t>
      </w:r>
      <w:r w:rsidRPr="00A10609">
        <w:rPr>
          <w:i/>
          <w:spacing w:val="-6"/>
        </w:rPr>
        <w:t xml:space="preserve"> rà soát dự thảo Luật để bảo đảm sự thống nhất trong hệ thống pháp luật, đặc biệt là Luật ngân sách nhà nước, Luật đất đai và các luật thuế.</w:t>
      </w:r>
    </w:p>
    <w:p w:rsidR="00B5466E" w:rsidRDefault="00B5466E" w:rsidP="00B5466E">
      <w:pPr>
        <w:spacing w:before="120" w:line="360" w:lineRule="exact"/>
        <w:ind w:firstLine="720"/>
        <w:jc w:val="both"/>
        <w:rPr>
          <w:rFonts w:eastAsia="Arial"/>
          <w:color w:val="FF0000"/>
        </w:rPr>
      </w:pPr>
      <w:r w:rsidRPr="00A10609">
        <w:rPr>
          <w:rFonts w:eastAsia="Arial"/>
        </w:rPr>
        <w:t>- Về Luật ngân sách nhà nước và Luật đấ</w:t>
      </w:r>
      <w:bookmarkStart w:id="0" w:name="_GoBack"/>
      <w:bookmarkEnd w:id="0"/>
      <w:r w:rsidRPr="00A10609">
        <w:rPr>
          <w:rFonts w:eastAsia="Arial"/>
        </w:rPr>
        <w:t xml:space="preserve">t đai: </w:t>
      </w:r>
      <w:r>
        <w:rPr>
          <w:rFonts w:eastAsia="Arial"/>
        </w:rPr>
        <w:t>S</w:t>
      </w:r>
      <w:r w:rsidRPr="006A192B">
        <w:rPr>
          <w:rFonts w:eastAsia="Arial"/>
        </w:rPr>
        <w:t>o vớ</w:t>
      </w:r>
      <w:r>
        <w:rPr>
          <w:rFonts w:eastAsia="Arial"/>
        </w:rPr>
        <w:t>i</w:t>
      </w:r>
      <w:r w:rsidRPr="00A10609">
        <w:rPr>
          <w:rFonts w:eastAsia="Arial"/>
        </w:rPr>
        <w:t xml:space="preserve"> </w:t>
      </w:r>
      <w:r w:rsidRPr="00A10609">
        <w:t>dự thảo</w:t>
      </w:r>
      <w:r>
        <w:t xml:space="preserve"> Luật đã</w:t>
      </w:r>
      <w:r w:rsidRPr="00A10609">
        <w:t xml:space="preserve"> trình Quốc hội, </w:t>
      </w:r>
      <w:r w:rsidRPr="00A10609">
        <w:rPr>
          <w:rFonts w:eastAsia="Arial"/>
        </w:rPr>
        <w:t xml:space="preserve">dự thảo Luật </w:t>
      </w:r>
      <w:r>
        <w:rPr>
          <w:rFonts w:eastAsia="Arial"/>
        </w:rPr>
        <w:t xml:space="preserve">lần này </w:t>
      </w:r>
      <w:r w:rsidRPr="00A10609">
        <w:rPr>
          <w:rFonts w:eastAsia="Arial"/>
        </w:rPr>
        <w:t>đã tiếp thu bỏ các quy định</w:t>
      </w:r>
      <w:r w:rsidRPr="00A10609">
        <w:rPr>
          <w:rFonts w:eastAsia="Arial"/>
          <w:color w:val="FF0000"/>
        </w:rPr>
        <w:t xml:space="preserve"> </w:t>
      </w:r>
      <w:r w:rsidRPr="00A10609">
        <w:t xml:space="preserve">liên quan có  thể dẫn đến mâu thuẫn, chồng chéo hoặc phải sửa đổi, bổ sung 2 </w:t>
      </w:r>
      <w:r>
        <w:t>L</w:t>
      </w:r>
      <w:r w:rsidRPr="00A10609">
        <w:t xml:space="preserve">uật này. </w:t>
      </w:r>
    </w:p>
    <w:p w:rsidR="00B5466E" w:rsidRDefault="00B5466E" w:rsidP="00B5466E">
      <w:pPr>
        <w:spacing w:before="120" w:line="360" w:lineRule="exact"/>
        <w:ind w:firstLine="720"/>
        <w:jc w:val="both"/>
        <w:rPr>
          <w:bCs/>
          <w:kern w:val="2"/>
        </w:rPr>
      </w:pPr>
      <w:r w:rsidRPr="00A10609">
        <w:rPr>
          <w:rFonts w:eastAsia="Arial"/>
          <w:color w:val="000000"/>
        </w:rPr>
        <w:t xml:space="preserve">- Về Luật thuế thu nhập doanh nghiệp và Luật thuế thu nhập cá nhân: </w:t>
      </w:r>
      <w:r w:rsidRPr="00A10609">
        <w:rPr>
          <w:rFonts w:eastAsia="Arial"/>
        </w:rPr>
        <w:t xml:space="preserve">dự thảo Luật </w:t>
      </w:r>
      <w:r>
        <w:rPr>
          <w:rFonts w:eastAsia="Arial"/>
        </w:rPr>
        <w:t xml:space="preserve">lần này </w:t>
      </w:r>
      <w:r w:rsidRPr="00A10609">
        <w:rPr>
          <w:rFonts w:eastAsia="Arial"/>
        </w:rPr>
        <w:t xml:space="preserve">đã tiếp thu </w:t>
      </w:r>
      <w:r>
        <w:rPr>
          <w:rFonts w:eastAsia="Arial"/>
          <w:color w:val="000000"/>
        </w:rPr>
        <w:t xml:space="preserve">bỏ các quy định liên quan đến thuế thu nhập cá nhân; </w:t>
      </w:r>
      <w:r w:rsidRPr="00A10609">
        <w:rPr>
          <w:rFonts w:eastAsia="Arial"/>
          <w:color w:val="000000"/>
        </w:rPr>
        <w:t xml:space="preserve">không quy định cụ thể mức miễn, giảm </w:t>
      </w:r>
      <w:r>
        <w:rPr>
          <w:rFonts w:eastAsia="Arial"/>
          <w:color w:val="000000"/>
        </w:rPr>
        <w:t xml:space="preserve">cụ thể </w:t>
      </w:r>
      <w:r w:rsidRPr="00A10609">
        <w:rPr>
          <w:rFonts w:eastAsia="Arial"/>
          <w:color w:val="000000"/>
        </w:rPr>
        <w:t>mà chỉ bổ sung</w:t>
      </w:r>
      <w:r w:rsidRPr="00A10609">
        <w:rPr>
          <w:bCs/>
          <w:kern w:val="2"/>
        </w:rPr>
        <w:t xml:space="preserve"> nguyên tắc chung về hỗ trợ thuế </w:t>
      </w:r>
      <w:r>
        <w:rPr>
          <w:rFonts w:eastAsia="Arial"/>
          <w:color w:val="000000"/>
        </w:rPr>
        <w:t xml:space="preserve">thu nhập doanh nghiệp </w:t>
      </w:r>
      <w:r w:rsidRPr="00A10609">
        <w:rPr>
          <w:bCs/>
          <w:kern w:val="2"/>
        </w:rPr>
        <w:t>đối với DNNVV, việc quy định mức thuế suất và thời hạn hỗ trợ sẽ được Chính phủ trình Quốc hội sửa đổi, bổ sung trong các luật thuế</w:t>
      </w:r>
      <w:r>
        <w:rPr>
          <w:bCs/>
          <w:kern w:val="2"/>
        </w:rPr>
        <w:t>.</w:t>
      </w:r>
      <w:r w:rsidDel="001F206C">
        <w:rPr>
          <w:rFonts w:eastAsia="Arial"/>
          <w:color w:val="000000"/>
        </w:rPr>
        <w:t xml:space="preserve"> </w:t>
      </w:r>
    </w:p>
    <w:p w:rsidR="00B5466E" w:rsidRDefault="00B5466E" w:rsidP="00B5466E">
      <w:pPr>
        <w:spacing w:before="120" w:line="360" w:lineRule="exact"/>
        <w:ind w:firstLine="720"/>
        <w:jc w:val="both"/>
      </w:pPr>
      <w:r w:rsidRPr="00A10609">
        <w:t xml:space="preserve">- Về Luật đấu thầu: </w:t>
      </w:r>
      <w:r>
        <w:t>Dự thảo Luật</w:t>
      </w:r>
      <w:r w:rsidRPr="00A10609">
        <w:t xml:space="preserve"> đã bỏ quy định về mức giá đấu thầu xây lắp và mua sắm chỉ dành riêng cho DNNVV để bảo đảm nguyên tắc thị trường (Điều 15 về hỗ trợ đấu thầu mua sắm công</w:t>
      </w:r>
      <w:r w:rsidRPr="00A10609">
        <w:rPr>
          <w:spacing w:val="-4"/>
        </w:rPr>
        <w:t xml:space="preserve">). </w:t>
      </w:r>
    </w:p>
    <w:p w:rsidR="00B5466E" w:rsidRDefault="00B5466E" w:rsidP="00B5466E">
      <w:pPr>
        <w:spacing w:before="120" w:line="360" w:lineRule="exact"/>
        <w:ind w:firstLine="720"/>
        <w:jc w:val="both"/>
      </w:pPr>
      <w:r w:rsidRPr="00A10609">
        <w:t xml:space="preserve">- Về Luật đầu tư: Khoản 2, Điều 19 Luật đầu tư quy định 8 nội dung hỗ trợ đầu tư; các chính sách ưu đãi đầu tư áp dụng đối với đối tượng là dự án đầu tư mới hoặc dự án đầu tư mở rộng thuộc lĩnh vực và địa bàn ưu đãi. Luật hỗ trợ DNNVV hỗ trợ pháp nhân là các DNNVV. </w:t>
      </w:r>
      <w:r>
        <w:t>K</w:t>
      </w:r>
      <w:r w:rsidRPr="00A10609">
        <w:t xml:space="preserve">hoản 2 Điều 36 dự thảo Luật quy định bãi bỏ các hình thức hỗ trợ đầu tư đối với DNNVV quy định tại Điều 19 Luật đầu tư để bảo đảm tính thống nhất của hệ thống pháp luật. </w:t>
      </w:r>
    </w:p>
    <w:p w:rsidR="00B5466E" w:rsidRDefault="00B814F3" w:rsidP="00B5466E">
      <w:pPr>
        <w:spacing w:before="120" w:line="360" w:lineRule="exact"/>
        <w:ind w:firstLine="720"/>
        <w:jc w:val="both"/>
      </w:pPr>
      <w:r>
        <w:lastRenderedPageBreak/>
        <w:t xml:space="preserve">- </w:t>
      </w:r>
      <w:r w:rsidR="00B5466E" w:rsidRPr="00A10609">
        <w:t xml:space="preserve">Đối với các luật về khoa học công nghệ, Luật đầu tư công, Luật các tổ chức tín dụng, </w:t>
      </w:r>
      <w:r w:rsidR="00B5466E" w:rsidRPr="00A10609">
        <w:rPr>
          <w:lang w:val="nl-NL"/>
        </w:rPr>
        <w:t>Cơ quan chủ trì thẩm tra, Cơ quan soạn thảo</w:t>
      </w:r>
      <w:r w:rsidR="00B5466E" w:rsidRPr="00A10609">
        <w:t xml:space="preserve"> </w:t>
      </w:r>
      <w:r w:rsidR="00D73536">
        <w:t xml:space="preserve">đã </w:t>
      </w:r>
      <w:r w:rsidR="00B5466E" w:rsidRPr="00A10609">
        <w:t>rà soát,</w:t>
      </w:r>
      <w:r w:rsidR="00B5466E" w:rsidRPr="00A10609">
        <w:rPr>
          <w:rFonts w:ascii="Damascus Medium" w:hAnsi="Damascus Medium" w:cs="Damascus Medium"/>
        </w:rPr>
        <w:t xml:space="preserve"> </w:t>
      </w:r>
      <w:r w:rsidR="00B5466E" w:rsidRPr="00A10609">
        <w:t>báo cáo Thủ tướng Chính phủ, lấy ý kiến các bộ, ngành có liên quan và tiếp thu, chỉnh lý để bảo đảm tính thống nhất của hệ thống pháp luật</w:t>
      </w:r>
      <w:r w:rsidR="00B5466E" w:rsidRPr="00A10609">
        <w:rPr>
          <w:lang w:val="nl-NL"/>
        </w:rPr>
        <w:t>.</w:t>
      </w:r>
    </w:p>
    <w:p w:rsidR="00B5466E" w:rsidRPr="00195A31" w:rsidRDefault="00B5466E" w:rsidP="00B5466E">
      <w:pPr>
        <w:widowControl w:val="0"/>
        <w:spacing w:before="120" w:line="360" w:lineRule="exact"/>
        <w:ind w:firstLine="720"/>
        <w:jc w:val="both"/>
        <w:rPr>
          <w:i/>
          <w:color w:val="000000"/>
          <w:lang w:val="es-MX"/>
        </w:rPr>
      </w:pPr>
      <w:r w:rsidRPr="0036768A">
        <w:rPr>
          <w:i/>
          <w:color w:val="000000"/>
          <w:lang w:val="es-MX"/>
        </w:rPr>
        <w:t>2.</w:t>
      </w:r>
      <w:r w:rsidR="00D73536" w:rsidRPr="00195A31">
        <w:rPr>
          <w:i/>
          <w:color w:val="000000"/>
          <w:lang w:val="es-MX"/>
        </w:rPr>
        <w:t xml:space="preserve">Về ý kiến </w:t>
      </w:r>
      <w:r w:rsidRPr="00195A31">
        <w:rPr>
          <w:i/>
        </w:rPr>
        <w:t>đề nghị hỗ trợ phải có trọng tâm, trọng điểm, phải cụ thể, theo lĩnh vực và cần cân đối nguồn lực để bảo đảm tính khả thi của chính sách, tránh dàn trải, chung chung.</w:t>
      </w:r>
      <w:r w:rsidRPr="00195A31">
        <w:rPr>
          <w:i/>
          <w:color w:val="000000"/>
          <w:lang w:val="es-MX"/>
        </w:rPr>
        <w:t xml:space="preserve"> </w:t>
      </w:r>
    </w:p>
    <w:p w:rsidR="00195A31" w:rsidRDefault="00B5466E" w:rsidP="00B5466E">
      <w:pPr>
        <w:spacing w:before="120" w:line="360" w:lineRule="exact"/>
        <w:ind w:firstLine="720"/>
        <w:jc w:val="both"/>
      </w:pPr>
      <w:r w:rsidRPr="00A10609">
        <w:t xml:space="preserve">- </w:t>
      </w:r>
      <w:r>
        <w:t>D</w:t>
      </w:r>
      <w:r w:rsidRPr="00A10609">
        <w:t>ự thảo Luật đã tiếp thu, hạn chế sử dụng ngân sách nhà nước và quy định thu hẹp các đối tượng được hỗ trợ</w:t>
      </w:r>
      <w:r w:rsidR="00195A31">
        <w:t xml:space="preserve">. Tuy nhiên, </w:t>
      </w:r>
      <w:r w:rsidRPr="00A10609">
        <w:t xml:space="preserve">để tránh quy định mang tính phân biệt đối xử, dự thảo Luật được xử lý kỹ thuật theo hướng không quy định việc loại bỏ doanh nghiệp có vốn đầu tư trực tiếp nước ngoài và doanh nghiệp có vốn nhà nước tại Điều 2 về đối tượng áp dụng mà </w:t>
      </w:r>
      <w:r w:rsidR="00195A31">
        <w:t xml:space="preserve">chuyển xuống </w:t>
      </w:r>
      <w:r w:rsidRPr="00A10609">
        <w:t xml:space="preserve">Điều 5 về nguyên tắc “Căn cứ vào điều kiện cụ thể trong từng thời kỳ, Chính phủ quy định nội dung hỗ trợ đối với doanh nghiệp có vốn đầu tư trực tiếp nước ngoài và doanh nghiệp có vốn nhà nước”. </w:t>
      </w:r>
    </w:p>
    <w:p w:rsidR="00B5466E" w:rsidRDefault="00B5466E" w:rsidP="00B5466E">
      <w:pPr>
        <w:spacing w:before="120" w:line="360" w:lineRule="exact"/>
        <w:ind w:firstLine="720"/>
        <w:jc w:val="both"/>
      </w:pPr>
      <w:r w:rsidRPr="00A10609">
        <w:t xml:space="preserve">- </w:t>
      </w:r>
      <w:r w:rsidRPr="004C09EA">
        <w:rPr>
          <w:spacing w:val="2"/>
        </w:rPr>
        <w:t>Dự thảo Luật đã tiếp thu tập trung hỗ trợ</w:t>
      </w:r>
      <w:r w:rsidR="00195A31">
        <w:rPr>
          <w:spacing w:val="2"/>
        </w:rPr>
        <w:t xml:space="preserve"> cụ thể</w:t>
      </w:r>
      <w:r w:rsidRPr="004C09EA">
        <w:rPr>
          <w:spacing w:val="2"/>
        </w:rPr>
        <w:t xml:space="preserve"> </w:t>
      </w:r>
      <w:r w:rsidR="00195A31">
        <w:rPr>
          <w:spacing w:val="2"/>
        </w:rPr>
        <w:t xml:space="preserve">cho </w:t>
      </w:r>
      <w:r w:rsidRPr="004C09EA">
        <w:rPr>
          <w:spacing w:val="2"/>
        </w:rPr>
        <w:t>doanh nghiệp khởi nghiệp sáng tạo, doanh nghiệp tham gia cụm liên kết ngành, chuỗi giá trị, doanh nghiệp chuyển đổi từ hộ kinh doanh (mục 2 Chương II). Trên cơ sở đó, điều chỉnh lại nội dung hỗ trợ có liên quan đến sử dụng ngân sách nhà nước như nguồn tín dụng hỗ trợ từ nhà nước và nguồn vốn của Quỹ phát triển DNNVV, Quỹ đầu tư khởi nghiệp sáng tạo</w:t>
      </w:r>
      <w:r w:rsidR="00195A31">
        <w:rPr>
          <w:spacing w:val="2"/>
        </w:rPr>
        <w:t xml:space="preserve"> </w:t>
      </w:r>
      <w:r w:rsidRPr="004C09EA">
        <w:rPr>
          <w:spacing w:val="2"/>
        </w:rPr>
        <w:t>(Điều 16 và Điều 18).</w:t>
      </w:r>
      <w:r w:rsidRPr="00A10609">
        <w:t xml:space="preserve"> Đối với hỗ trợ DNNVV tham gia cụm liên kết ngành, chuỗi giá trị, dự thảo Luật quy định hướng tập trung hỗ trợ đối với DNNVV trong lĩnh vực sản xuất, chế biến</w:t>
      </w:r>
      <w:r>
        <w:t>; hỗ trợ đổi mới sáng tạo liên quan đến quy trình công nghệ, vật liệu, linh kiện, máy móc thiết bị nhằm phát triển công nghiệp hỗ trợ (Điều 17). C</w:t>
      </w:r>
      <w:r w:rsidRPr="00A10609">
        <w:t>ác lĩnh vực khác sẽ do Chính phủ quy</w:t>
      </w:r>
      <w:r>
        <w:t>ết</w:t>
      </w:r>
      <w:r w:rsidRPr="00A10609">
        <w:t xml:space="preserve"> định tuỳ theo lĩnh vực ưu tiên từng thời kỳ</w:t>
      </w:r>
      <w:r>
        <w:t xml:space="preserve"> sau khi trình </w:t>
      </w:r>
      <w:r w:rsidR="00AB2744">
        <w:t>Ủy ban thường vụ Quốc hội</w:t>
      </w:r>
      <w:r>
        <w:t xml:space="preserve"> cho ý kiến.</w:t>
      </w:r>
    </w:p>
    <w:p w:rsidR="00B5466E" w:rsidRDefault="00B5466E" w:rsidP="00B5466E">
      <w:pPr>
        <w:spacing w:before="120" w:line="360" w:lineRule="exact"/>
        <w:ind w:firstLine="720"/>
        <w:jc w:val="both"/>
      </w:pPr>
      <w:r w:rsidRPr="00A10609">
        <w:t>- Dự thảo Luật đã bổ sung những quy định nhằm khuyến khích nguồn lực xã hội hỗ trợ DNNVV như quy định hỗ trợ cho doanh nghiệp, tổ chức đầu tư kinh doanh các cơ sở ươm tạo; cơ sở kỹ thuật hỗ trợ DNNVV; khu làm việc chung dành cho DNNVV khởi nghiệp sáng tạo; doanh nghiệp, tổ chức đầu tư kinh doanh chuỗi phân phối sản phẩm; Quỹ khởi nghiệp sáng tạo…</w:t>
      </w:r>
    </w:p>
    <w:p w:rsidR="00195A31" w:rsidRDefault="00195A31" w:rsidP="009438B6">
      <w:pPr>
        <w:spacing w:before="120" w:line="360" w:lineRule="exact"/>
        <w:ind w:firstLine="720"/>
        <w:jc w:val="both"/>
        <w:rPr>
          <w:i/>
        </w:rPr>
      </w:pPr>
      <w:r w:rsidRPr="0036768A">
        <w:rPr>
          <w:bCs/>
          <w:i/>
          <w:kern w:val="2"/>
        </w:rPr>
        <w:t>3</w:t>
      </w:r>
      <w:r w:rsidR="00B5466E" w:rsidRPr="0036768A">
        <w:rPr>
          <w:bCs/>
          <w:i/>
          <w:kern w:val="2"/>
        </w:rPr>
        <w:t>.</w:t>
      </w:r>
      <w:r w:rsidR="00A24BCF">
        <w:rPr>
          <w:i/>
        </w:rPr>
        <w:t>Về ý kiến</w:t>
      </w:r>
      <w:r w:rsidR="00B5466E" w:rsidRPr="00A10609">
        <w:rPr>
          <w:i/>
        </w:rPr>
        <w:t xml:space="preserve"> đề nghị nghiên cứu, bổ sung thêm tiêu chí doanh thu, cân nhắc doanh thu từ 200-300 tỷ đồng và nên chọn 2 trong 3 tiêu chí. </w:t>
      </w:r>
    </w:p>
    <w:p w:rsidR="00B5466E" w:rsidRDefault="00EE1AC5" w:rsidP="00B5466E">
      <w:pPr>
        <w:spacing w:before="120" w:line="360" w:lineRule="exact"/>
        <w:ind w:firstLine="720"/>
        <w:jc w:val="both"/>
      </w:pPr>
      <w:r w:rsidRPr="0036768A">
        <w:t>Dự thảo Luật đã được</w:t>
      </w:r>
      <w:r w:rsidR="00B5466E" w:rsidRPr="00A10609">
        <w:rPr>
          <w:bCs/>
          <w:kern w:val="2"/>
        </w:rPr>
        <w:t xml:space="preserve"> tiếp thu, chỉnh sửa </w:t>
      </w:r>
      <w:r w:rsidR="00B5466E" w:rsidRPr="00A10609">
        <w:t>theo hướng quy định tiêu chí trần để xác định DNNVV, bao gồm doanh nghiệp siêu nhỏ</w:t>
      </w:r>
      <w:r w:rsidR="00B5466E" w:rsidRPr="006A192B">
        <w:t>, doanh nghiệp nhỏ và doanh nghiệp vừa có số lao động bình quân  của năm trước liền k</w:t>
      </w:r>
      <w:r w:rsidR="00B5466E" w:rsidRPr="00A10609">
        <w:t>ề không quá 300 người và đáp ứng một trong hai tiêu chí về tài chính</w:t>
      </w:r>
      <w:r w:rsidR="009438B6">
        <w:t>, cụ thể là</w:t>
      </w:r>
      <w:r w:rsidR="009B63F7">
        <w:t xml:space="preserve"> </w:t>
      </w:r>
      <w:r w:rsidR="00B5466E" w:rsidRPr="00A10609">
        <w:t xml:space="preserve">tổng nguồn vốn của năm trước liền kề không quá 100 tỷ đồng hoặc doanh thu của năm trước </w:t>
      </w:r>
      <w:r w:rsidR="00B5466E" w:rsidRPr="00A10609">
        <w:lastRenderedPageBreak/>
        <w:t xml:space="preserve">liền kề không quá 300 tỷ đồng. Việc bổ sung lựa chọn tiêu chí doanh thu </w:t>
      </w:r>
      <w:r w:rsidR="00897725">
        <w:t xml:space="preserve">cũng </w:t>
      </w:r>
      <w:r w:rsidR="00B5466E" w:rsidRPr="00A10609">
        <w:t xml:space="preserve">phù hợp với thực tế </w:t>
      </w:r>
      <w:r w:rsidR="00897725">
        <w:t xml:space="preserve">hiện đang áp dụng </w:t>
      </w:r>
      <w:r w:rsidR="00B5466E" w:rsidRPr="00A10609">
        <w:t>trong lĩnh vực thuế, ngân hàng</w:t>
      </w:r>
      <w:r w:rsidR="00B5466E" w:rsidRPr="00A10609">
        <w:rPr>
          <w:spacing w:val="-6"/>
        </w:rPr>
        <w:t>.</w:t>
      </w:r>
      <w:r w:rsidR="00B5466E" w:rsidRPr="006A192B">
        <w:t xml:space="preserve"> </w:t>
      </w:r>
      <w:r w:rsidR="00C16507">
        <w:t xml:space="preserve">Căn cứ quy định này, </w:t>
      </w:r>
      <w:r w:rsidR="00B5466E" w:rsidRPr="001A5399">
        <w:t xml:space="preserve">Chính phủ quy định chi tiết việc xác định doanh nghiệp siêu nhỏ, </w:t>
      </w:r>
      <w:r w:rsidR="00B5466E">
        <w:t xml:space="preserve">doanh nghiệp </w:t>
      </w:r>
      <w:r w:rsidR="00B5466E" w:rsidRPr="001A5399">
        <w:t xml:space="preserve">nhỏ và </w:t>
      </w:r>
      <w:r w:rsidR="00B5466E">
        <w:t xml:space="preserve">doanh nghiệp </w:t>
      </w:r>
      <w:r w:rsidR="00B5466E" w:rsidRPr="001A5399">
        <w:t>vừa trong từng ngành, lĩnh vực</w:t>
      </w:r>
      <w:r w:rsidR="00B5466E">
        <w:t xml:space="preserve"> phù hợp trong </w:t>
      </w:r>
      <w:r w:rsidR="00B5466E" w:rsidRPr="00A10609">
        <w:t xml:space="preserve">từng thời kỳ để tạo sự ổn định của Luật. </w:t>
      </w:r>
    </w:p>
    <w:p w:rsidR="00B5466E" w:rsidRDefault="00AE0236" w:rsidP="0036768A">
      <w:pPr>
        <w:spacing w:before="120" w:line="360" w:lineRule="exact"/>
        <w:ind w:firstLine="720"/>
        <w:jc w:val="both"/>
        <w:rPr>
          <w:i/>
        </w:rPr>
      </w:pPr>
      <w:r w:rsidRPr="00AE0236">
        <w:rPr>
          <w:i/>
        </w:rPr>
        <w:t>4</w:t>
      </w:r>
      <w:r w:rsidR="00B5466E" w:rsidRPr="0036768A">
        <w:rPr>
          <w:bCs/>
          <w:i/>
          <w:kern w:val="2"/>
        </w:rPr>
        <w:t xml:space="preserve">. </w:t>
      </w:r>
      <w:r w:rsidR="00311C4D">
        <w:rPr>
          <w:i/>
        </w:rPr>
        <w:t xml:space="preserve">Về </w:t>
      </w:r>
      <w:r w:rsidR="00B5466E" w:rsidRPr="00A10609">
        <w:rPr>
          <w:i/>
        </w:rPr>
        <w:t xml:space="preserve">ý kiến cho rằng cần </w:t>
      </w:r>
      <w:r w:rsidR="00ED59A4">
        <w:rPr>
          <w:i/>
        </w:rPr>
        <w:t xml:space="preserve">có </w:t>
      </w:r>
      <w:r w:rsidR="00B5466E" w:rsidRPr="00A10609">
        <w:rPr>
          <w:i/>
        </w:rPr>
        <w:t xml:space="preserve">cơ chế mạnh hơn để DNNVV tiếp cận được nguồn vốn tín dụng vì nội dung dự thảo Luật còn chung chung, chưa khuyến khích được các tổ chức tín dụng cho vay vốn, khó khả thi trong thực tế. </w:t>
      </w:r>
    </w:p>
    <w:p w:rsidR="00B5466E" w:rsidRDefault="00EE1AC5" w:rsidP="00B5466E">
      <w:pPr>
        <w:pStyle w:val="Body"/>
        <w:rPr>
          <w:bCs/>
          <w:kern w:val="2"/>
        </w:rPr>
      </w:pPr>
      <w:r>
        <w:t>Dự thảo Luật đã được</w:t>
      </w:r>
      <w:r w:rsidR="00B5466E" w:rsidRPr="00A10609">
        <w:t xml:space="preserve"> </w:t>
      </w:r>
      <w:r w:rsidR="00B5466E" w:rsidRPr="00A10609">
        <w:rPr>
          <w:bCs/>
          <w:kern w:val="2"/>
        </w:rPr>
        <w:t>tiếp thu, chỉnh sửa theo hướng quy định t</w:t>
      </w:r>
      <w:r w:rsidR="00B5466E" w:rsidRPr="00A10609">
        <w:t>rong thực hiện kế hoạch phát triển kinh tế - xã hội, Chính phủ có cơ chế, biện pháp khuyến khích và tạo điều kiện để các tổ chức tín dụng tăng dư nợ cho vay đối với DNNVV để phù hợp đặc điểm, tình hình của từng thời kỳ; bổ sung quy định khuyến khích tổ chức tín dụng cho vay DNNVV dựa trên xếp hạng tín nhiệm và các biện pháp phù hợp khác (khoản 1 Điều 8)</w:t>
      </w:r>
      <w:r w:rsidR="00B5466E" w:rsidRPr="00A10609">
        <w:rPr>
          <w:bCs/>
          <w:kern w:val="2"/>
        </w:rPr>
        <w:t xml:space="preserve">. Ngoài ra, để hỗ trợ cho các DNNVV </w:t>
      </w:r>
      <w:r w:rsidR="00B5466E">
        <w:rPr>
          <w:bCs/>
          <w:kern w:val="2"/>
        </w:rPr>
        <w:t xml:space="preserve">có dự án thực sự đem lại hiệu quả nhưng </w:t>
      </w:r>
      <w:r w:rsidR="00B5466E" w:rsidRPr="00A10609">
        <w:rPr>
          <w:bCs/>
          <w:kern w:val="2"/>
        </w:rPr>
        <w:t xml:space="preserve">không có tài sản </w:t>
      </w:r>
      <w:r w:rsidR="00B5466E">
        <w:rPr>
          <w:bCs/>
          <w:kern w:val="2"/>
        </w:rPr>
        <w:t xml:space="preserve">bảo đảm, đáp ứng đủ điều kiện </w:t>
      </w:r>
      <w:r w:rsidR="00B5466E" w:rsidRPr="00A10609">
        <w:rPr>
          <w:bCs/>
          <w:kern w:val="2"/>
        </w:rPr>
        <w:t xml:space="preserve">tiếp cận nguồn vốn của các tổ chức tín dụng thông qua hình thức cho vay tín chấp, ngoài việc tăng cường, củng cố chức năng, nhiệm vụ của Quỹ bảo lãnh tín dụng, dự thảo Luật còn giao nhiệm vụ cho Bộ Kế hoạch và Đầu tư làm đầu mối phối hợp với Bộ Tài chính, Ngân hàng Nhà nước </w:t>
      </w:r>
      <w:r w:rsidR="00B5466E">
        <w:rPr>
          <w:bCs/>
          <w:kern w:val="2"/>
        </w:rPr>
        <w:t xml:space="preserve">Việt Nam </w:t>
      </w:r>
      <w:r w:rsidR="00B5466E" w:rsidRPr="00A10609">
        <w:rPr>
          <w:bCs/>
          <w:kern w:val="2"/>
        </w:rPr>
        <w:t xml:space="preserve">và các tổ chức, cơ quan hữu quan cung cấp cơ sở dữ liệu thông tin về khách hàng DNNVV để các tổ chức </w:t>
      </w:r>
      <w:r w:rsidR="00B5466E" w:rsidRPr="004C09EA">
        <w:rPr>
          <w:bCs/>
          <w:spacing w:val="-14"/>
          <w:kern w:val="2"/>
        </w:rPr>
        <w:t>tín dụng và các tổ chức x</w:t>
      </w:r>
      <w:r w:rsidR="00B5466E">
        <w:rPr>
          <w:bCs/>
          <w:spacing w:val="-14"/>
          <w:kern w:val="2"/>
        </w:rPr>
        <w:t>ây dựng</w:t>
      </w:r>
      <w:r w:rsidR="00B5466E" w:rsidRPr="004C09EA">
        <w:rPr>
          <w:bCs/>
          <w:spacing w:val="-14"/>
          <w:kern w:val="2"/>
        </w:rPr>
        <w:t xml:space="preserve"> hệ thống xếp hạng tín nhiệm DNNVV (khoản 5 Điều 21)</w:t>
      </w:r>
      <w:r w:rsidR="00B5466E" w:rsidRPr="004C09EA">
        <w:rPr>
          <w:spacing w:val="-14"/>
        </w:rPr>
        <w:t>.</w:t>
      </w:r>
      <w:r w:rsidR="00B5466E" w:rsidRPr="00A10609">
        <w:t xml:space="preserve"> </w:t>
      </w:r>
    </w:p>
    <w:p w:rsidR="00B5466E" w:rsidRDefault="00B5466E" w:rsidP="00B5466E">
      <w:pPr>
        <w:pStyle w:val="Body"/>
      </w:pPr>
      <w:r w:rsidRPr="00A10609">
        <w:rPr>
          <w:bCs/>
          <w:kern w:val="2"/>
        </w:rPr>
        <w:t xml:space="preserve">Đồng thời, </w:t>
      </w:r>
      <w:r w:rsidRPr="00A10609">
        <w:t>trên thực tế DNNVV thường khó tiếp cận vốn vay từ các ngân hàng vì năng lực quản trị hạn chế; tài sản bảo đảm ít, phương án, dự án kinh doanh, vay vốn xây dựng không bài bản; hệ thống sổ sách tài chính</w:t>
      </w:r>
      <w:r>
        <w:t>,</w:t>
      </w:r>
      <w:r w:rsidRPr="00A10609">
        <w:t xml:space="preserve"> kế toán thiếu minh bạch; tiềm lực tài chính yếu; dễ bị rủi ro. Do vậy</w:t>
      </w:r>
      <w:r>
        <w:t>,</w:t>
      </w:r>
      <w:r w:rsidRPr="00A10609">
        <w:t xml:space="preserve"> bổ sung </w:t>
      </w:r>
      <w:r w:rsidRPr="00A10609">
        <w:rPr>
          <w:bCs/>
          <w:kern w:val="2"/>
        </w:rPr>
        <w:t>quy định DNNVV</w:t>
      </w:r>
      <w:r w:rsidRPr="00A10609">
        <w:t xml:space="preserve"> được hỗ trợ nâng cao năng lực tiếp cận tín dụng thông qua các cơ quan, tổ chức và cá nhân hỗ trợ DNNVV để tư vấn xây dựng phương án sản xuất kinh doanh khả thi, nâng cao năng lực quản trị, minh bạch hoạt động của doanh nghiệp (khoản 2 Điều 8 dự thảo Luật). </w:t>
      </w:r>
    </w:p>
    <w:p w:rsidR="00B5466E" w:rsidRDefault="00B5466E" w:rsidP="00B5466E">
      <w:pPr>
        <w:spacing w:before="120" w:line="360" w:lineRule="exact"/>
        <w:jc w:val="both"/>
        <w:rPr>
          <w:i/>
        </w:rPr>
      </w:pPr>
      <w:r w:rsidRPr="00AE0236">
        <w:rPr>
          <w:i/>
        </w:rPr>
        <w:tab/>
      </w:r>
      <w:r w:rsidR="00AE0236" w:rsidRPr="0036768A">
        <w:rPr>
          <w:bCs/>
          <w:i/>
          <w:kern w:val="2"/>
        </w:rPr>
        <w:t>5.</w:t>
      </w:r>
      <w:r w:rsidRPr="00A10609">
        <w:rPr>
          <w:b/>
          <w:bCs/>
          <w:kern w:val="2"/>
        </w:rPr>
        <w:t xml:space="preserve"> </w:t>
      </w:r>
      <w:r w:rsidR="00311C4D">
        <w:rPr>
          <w:i/>
        </w:rPr>
        <w:t>Về</w:t>
      </w:r>
      <w:r w:rsidRPr="00A10609">
        <w:rPr>
          <w:i/>
        </w:rPr>
        <w:t xml:space="preserve"> ý kiến đề nghị không nên quy định quá nhiều quỹ vì nguồn lực có hạn và để bảo đảm tính khả thi của quỹ</w:t>
      </w:r>
      <w:r>
        <w:rPr>
          <w:i/>
        </w:rPr>
        <w:t>, cần</w:t>
      </w:r>
      <w:r w:rsidRPr="00A10609">
        <w:rPr>
          <w:i/>
        </w:rPr>
        <w:t xml:space="preserve"> quy định rõ tổ chức, hoạt động, </w:t>
      </w:r>
      <w:r w:rsidRPr="004C09EA">
        <w:rPr>
          <w:i/>
          <w:spacing w:val="-6"/>
        </w:rPr>
        <w:t>chức năng, nhiệm vụ của Quỹ phát triển DNNVV, Quỹ bảo lãnh tín dụng DNNVV.</w:t>
      </w:r>
    </w:p>
    <w:p w:rsidR="00E67941" w:rsidRDefault="004B1964" w:rsidP="0036768A">
      <w:pPr>
        <w:spacing w:before="120" w:line="360" w:lineRule="exact"/>
        <w:ind w:firstLine="720"/>
        <w:jc w:val="both"/>
      </w:pPr>
      <w:r>
        <w:t>Dự thảo Luật đã được</w:t>
      </w:r>
      <w:r w:rsidRPr="00A10609">
        <w:t xml:space="preserve"> </w:t>
      </w:r>
      <w:r w:rsidR="00B5466E" w:rsidRPr="00A10609">
        <w:t xml:space="preserve">tiếp thu, bỏ quy định về Quỹ đầu tư khởi nghiệp sáng tạo tại địa phương. Hiện nay, dự thảo Luật chỉ quy định về ba quỹ, trong đó có hai quỹ đã được thành lập và đang hoạt động. Hai </w:t>
      </w:r>
      <w:r w:rsidR="00B5466E">
        <w:t>q</w:t>
      </w:r>
      <w:r w:rsidR="00B5466E" w:rsidRPr="00A10609">
        <w:t>uỹ này cần kiện toàn về tổ chức và mô hình hoạt động để hỗ trợ DNNVV hiệu quả hơn</w:t>
      </w:r>
      <w:r w:rsidR="00B5466E">
        <w:t>.</w:t>
      </w:r>
      <w:r w:rsidR="00E67941">
        <w:t xml:space="preserve"> </w:t>
      </w:r>
      <w:r w:rsidR="00E67941">
        <w:rPr>
          <w:spacing w:val="-2"/>
        </w:rPr>
        <w:t xml:space="preserve">Chính phủ đang chỉ đạo dự thảo </w:t>
      </w:r>
      <w:r w:rsidR="00E67941">
        <w:t xml:space="preserve">04 Nghị định hướng dẫn Luật gồm: (i) Nghị định hướng dẫn một số điều của Luật hỗ trợ DNNVV, (ii) Nghị định về tổ chức và hoạt động của Quỹ phát triển DNNVV, (iii) Nghị định về tổ chức và hoạt động của Quỹ đầu tư khởi </w:t>
      </w:r>
      <w:r w:rsidR="00E67941">
        <w:lastRenderedPageBreak/>
        <w:t>nghiệp sáng tạo, (iv) Nghị định về quỹ bảo lãnh tín dụng cho DNNVV) sẽ được kèm theo dự thảo Luật trình Quốc hội tại kỳ họp này.</w:t>
      </w:r>
    </w:p>
    <w:p w:rsidR="00B5466E" w:rsidRDefault="00AE0236" w:rsidP="00B5466E">
      <w:pPr>
        <w:spacing w:before="120" w:line="360" w:lineRule="exact"/>
        <w:ind w:firstLine="720"/>
        <w:jc w:val="both"/>
        <w:rPr>
          <w:bCs/>
          <w:i/>
          <w:kern w:val="2"/>
        </w:rPr>
      </w:pPr>
      <w:r w:rsidRPr="0036768A">
        <w:rPr>
          <w:i/>
        </w:rPr>
        <w:t>6</w:t>
      </w:r>
      <w:r w:rsidR="00B5466E" w:rsidRPr="0036768A">
        <w:rPr>
          <w:bCs/>
          <w:i/>
          <w:kern w:val="2"/>
        </w:rPr>
        <w:t xml:space="preserve">. </w:t>
      </w:r>
      <w:r w:rsidR="006E0522">
        <w:rPr>
          <w:i/>
          <w:color w:val="000000"/>
          <w:lang w:val="nl-NL"/>
        </w:rPr>
        <w:t>Về</w:t>
      </w:r>
      <w:r w:rsidR="00B5466E" w:rsidRPr="00A10609">
        <w:rPr>
          <w:i/>
          <w:color w:val="000000"/>
          <w:lang w:val="nl-NL"/>
        </w:rPr>
        <w:t xml:space="preserve"> ý kiến đề nghị không quy định hỗ trợ thuế hoặc thu hẹp phạm vi theo hướng chỉ hỗ trợ thuế cho các DNNVV là đối tượng hỗ trợ trọng tâm theo quy định của Luật, không hỗ trợ thuế cho toàn bộ DNNVV, tránh làm giảm thu lớn ngân sách nhà nước.</w:t>
      </w:r>
    </w:p>
    <w:p w:rsidR="00B5466E" w:rsidRDefault="00B5466E" w:rsidP="00B5466E">
      <w:pPr>
        <w:spacing w:before="120" w:line="360" w:lineRule="exact"/>
        <w:ind w:firstLine="720"/>
        <w:jc w:val="both"/>
      </w:pPr>
      <w:r w:rsidRPr="006A192B">
        <w:rPr>
          <w:bCs/>
          <w:kern w:val="2"/>
        </w:rPr>
        <w:t xml:space="preserve">Theo hồ sơ Chính phủ trình tại </w:t>
      </w:r>
      <w:r w:rsidR="00AB2744">
        <w:rPr>
          <w:bCs/>
          <w:kern w:val="2"/>
        </w:rPr>
        <w:t>k</w:t>
      </w:r>
      <w:r w:rsidRPr="006A192B">
        <w:rPr>
          <w:bCs/>
          <w:kern w:val="2"/>
        </w:rPr>
        <w:t xml:space="preserve">ỳ họp thứ </w:t>
      </w:r>
      <w:r w:rsidR="00AB2744">
        <w:rPr>
          <w:bCs/>
          <w:kern w:val="2"/>
        </w:rPr>
        <w:t>2</w:t>
      </w:r>
      <w:r w:rsidRPr="006A192B">
        <w:rPr>
          <w:bCs/>
          <w:kern w:val="2"/>
        </w:rPr>
        <w:t>,</w:t>
      </w:r>
      <w:r>
        <w:rPr>
          <w:bCs/>
          <w:kern w:val="2"/>
        </w:rPr>
        <w:t xml:space="preserve"> việc</w:t>
      </w:r>
      <w:r w:rsidRPr="006A192B">
        <w:rPr>
          <w:bCs/>
          <w:kern w:val="2"/>
        </w:rPr>
        <w:t xml:space="preserve"> giảm thuế cho DNNVV </w:t>
      </w:r>
      <w:r>
        <w:rPr>
          <w:bCs/>
          <w:kern w:val="2"/>
        </w:rPr>
        <w:t>cũng được một số</w:t>
      </w:r>
      <w:r w:rsidRPr="006A192B">
        <w:rPr>
          <w:bCs/>
          <w:kern w:val="2"/>
        </w:rPr>
        <w:t xml:space="preserve"> quốc gia như Hàn Quốc, Trung Quốc, Malaysia, Thái Lan, Pháp</w:t>
      </w:r>
      <w:r>
        <w:rPr>
          <w:bCs/>
          <w:kern w:val="2"/>
        </w:rPr>
        <w:t xml:space="preserve"> áp dụng</w:t>
      </w:r>
      <w:r w:rsidRPr="006A192B">
        <w:rPr>
          <w:bCs/>
          <w:kern w:val="2"/>
        </w:rPr>
        <w:t>. Việc quy định hỗ trợ thuế đối với DNNVV trong d</w:t>
      </w:r>
      <w:r w:rsidRPr="00A10609">
        <w:rPr>
          <w:bCs/>
          <w:kern w:val="2"/>
        </w:rPr>
        <w:t>ự thảo Luật sẽ tác động làm giảm thu ngân sách trong ngắn hạn, nhưng việc các DNNVV được hưởng lợi sẽ góp phần tăng tổng tài sản, tăng cơ hội đầu tư vốn để mở rộng, phát triển doanh nghiệp, tạo thêm việc làm mới trong dài hạn, qua đó tăng số doanh nghiệp có khả năng nộp thuế, nuôi dưỡng nguồn thu cho ngân sách một cách bền vững</w:t>
      </w:r>
      <w:r>
        <w:rPr>
          <w:bCs/>
          <w:kern w:val="2"/>
        </w:rPr>
        <w:t xml:space="preserve">. </w:t>
      </w:r>
      <w:r w:rsidRPr="006A192B">
        <w:rPr>
          <w:bCs/>
          <w:kern w:val="2"/>
        </w:rPr>
        <w:t xml:space="preserve">Đồng thời, trong thời gian qua </w:t>
      </w:r>
      <w:r>
        <w:rPr>
          <w:bCs/>
          <w:kern w:val="2"/>
        </w:rPr>
        <w:t>nước ta</w:t>
      </w:r>
      <w:r w:rsidRPr="006A192B">
        <w:rPr>
          <w:bCs/>
          <w:kern w:val="2"/>
        </w:rPr>
        <w:t xml:space="preserve"> cũng đã áp dụng một số chính sách giảm và giãn nợ cho DNNVV. </w:t>
      </w:r>
      <w:r>
        <w:rPr>
          <w:bCs/>
          <w:kern w:val="2"/>
        </w:rPr>
        <w:t>Việc chủ động hỗ trợ thuế</w:t>
      </w:r>
      <w:r w:rsidRPr="006A192B" w:rsidDel="00B359D7">
        <w:rPr>
          <w:bCs/>
          <w:kern w:val="2"/>
        </w:rPr>
        <w:t xml:space="preserve"> </w:t>
      </w:r>
      <w:r w:rsidRPr="006A192B">
        <w:rPr>
          <w:bCs/>
          <w:kern w:val="2"/>
        </w:rPr>
        <w:t>cho DNNVV sẽ mang lại tác động tích cực</w:t>
      </w:r>
      <w:r>
        <w:rPr>
          <w:bCs/>
          <w:kern w:val="2"/>
        </w:rPr>
        <w:t xml:space="preserve"> và tốt hơn việc chạy theo xử lý tình thế khi doanh nghiệp gặp khó khăn.</w:t>
      </w:r>
      <w:r w:rsidRPr="006A192B">
        <w:rPr>
          <w:bCs/>
          <w:kern w:val="2"/>
        </w:rPr>
        <w:t xml:space="preserve"> </w:t>
      </w:r>
      <w:r>
        <w:rPr>
          <w:bCs/>
          <w:kern w:val="2"/>
        </w:rPr>
        <w:t>T</w:t>
      </w:r>
      <w:r w:rsidRPr="006A192B">
        <w:rPr>
          <w:bCs/>
          <w:kern w:val="2"/>
        </w:rPr>
        <w:t xml:space="preserve">iếp thu ý kiến đại biểu, dự thảo Luật đã </w:t>
      </w:r>
      <w:r>
        <w:rPr>
          <w:bCs/>
          <w:kern w:val="2"/>
        </w:rPr>
        <w:t xml:space="preserve">thu hẹp đối tượng được hỗ trợ </w:t>
      </w:r>
      <w:r w:rsidRPr="006A192B">
        <w:rPr>
          <w:bCs/>
          <w:kern w:val="2"/>
        </w:rPr>
        <w:t xml:space="preserve">nên tác động đến thu </w:t>
      </w:r>
      <w:r w:rsidRPr="006A192B">
        <w:t>ngân sách nhà nước</w:t>
      </w:r>
      <w:r>
        <w:t xml:space="preserve"> </w:t>
      </w:r>
      <w:r w:rsidR="00AB2744">
        <w:t xml:space="preserve">sẽ </w:t>
      </w:r>
      <w:r>
        <w:t>ít hơn số liệu đã báo cáo Quốc hội</w:t>
      </w:r>
      <w:r w:rsidRPr="00A10609">
        <w:rPr>
          <w:bCs/>
          <w:kern w:val="2"/>
        </w:rPr>
        <w:t>.</w:t>
      </w:r>
      <w:r w:rsidRPr="006A192B">
        <w:t xml:space="preserve"> </w:t>
      </w:r>
    </w:p>
    <w:p w:rsidR="00B5466E" w:rsidRDefault="00AE0236" w:rsidP="00B5466E">
      <w:pPr>
        <w:spacing w:before="120" w:line="360" w:lineRule="exact"/>
        <w:ind w:firstLine="720"/>
        <w:jc w:val="both"/>
        <w:rPr>
          <w:i/>
        </w:rPr>
      </w:pPr>
      <w:r>
        <w:rPr>
          <w:bCs/>
          <w:i/>
          <w:kern w:val="2"/>
        </w:rPr>
        <w:t>7</w:t>
      </w:r>
      <w:r w:rsidRPr="0036768A">
        <w:rPr>
          <w:bCs/>
          <w:i/>
          <w:kern w:val="2"/>
        </w:rPr>
        <w:t xml:space="preserve">. </w:t>
      </w:r>
      <w:r w:rsidR="00593E58" w:rsidRPr="00AE0236">
        <w:rPr>
          <w:i/>
        </w:rPr>
        <w:t>V</w:t>
      </w:r>
      <w:r w:rsidR="00593E58">
        <w:rPr>
          <w:i/>
        </w:rPr>
        <w:t xml:space="preserve">ề </w:t>
      </w:r>
      <w:r w:rsidR="00B5466E" w:rsidRPr="00A10609">
        <w:rPr>
          <w:i/>
        </w:rPr>
        <w:t xml:space="preserve">ý kiến đề nghị không thực hiện hỗ trợ thuế </w:t>
      </w:r>
      <w:r w:rsidR="00B5466E">
        <w:rPr>
          <w:i/>
        </w:rPr>
        <w:t>thu nhập doanh nghiệp</w:t>
      </w:r>
      <w:r w:rsidR="00B5466E" w:rsidRPr="00A10609">
        <w:rPr>
          <w:i/>
        </w:rPr>
        <w:t xml:space="preserve"> đối với doanh nghiệp, nhà đầu tư kinh doanh hạ tầng khu, cụm công nghiệp để tránh hỗ trợ hai lần vì việc này không bảo đảm việc DNNVV được giảm chi phí thuê mặt bằng trong khu, cụm công nghiệp.</w:t>
      </w:r>
    </w:p>
    <w:p w:rsidR="00B5466E" w:rsidRDefault="004B1964" w:rsidP="00B5466E">
      <w:pPr>
        <w:pStyle w:val="Body"/>
      </w:pPr>
      <w:r>
        <w:t>Dự thảo Luật đã được</w:t>
      </w:r>
      <w:r w:rsidRPr="00A10609">
        <w:t xml:space="preserve"> </w:t>
      </w:r>
      <w:r w:rsidR="00B5466E" w:rsidRPr="00A10609">
        <w:t xml:space="preserve">tiếp thu, bỏ quy định về hỗ trợ doanh nghiệp, tổ chức đầu tư kinh doanh phát triển hạ tầng các khu công nghiệp, khu công nghệ cao, khu kinh tế cho DNNVV thuê đất công nghiệp </w:t>
      </w:r>
      <w:r w:rsidR="00B5466E" w:rsidRPr="00A10609">
        <w:rPr>
          <w:spacing w:val="15"/>
        </w:rPr>
        <w:t>(khoản 1 Điều 12</w:t>
      </w:r>
      <w:r w:rsidR="00B5466E">
        <w:rPr>
          <w:spacing w:val="15"/>
        </w:rPr>
        <w:t>)</w:t>
      </w:r>
      <w:r w:rsidR="00B5466E" w:rsidRPr="00A10609">
        <w:rPr>
          <w:spacing w:val="15"/>
        </w:rPr>
        <w:t xml:space="preserve"> </w:t>
      </w:r>
      <w:r w:rsidR="00B5466E" w:rsidRPr="00A10609">
        <w:t xml:space="preserve">và chỉnh lý cụ thể tại Điều 10 dự thảo Luật. </w:t>
      </w:r>
    </w:p>
    <w:p w:rsidR="00B5466E" w:rsidRPr="00D81EF5" w:rsidRDefault="00AE0236" w:rsidP="00B5466E">
      <w:pPr>
        <w:spacing w:before="120" w:line="340" w:lineRule="exact"/>
        <w:ind w:firstLine="720"/>
        <w:jc w:val="both"/>
        <w:rPr>
          <w:i/>
        </w:rPr>
      </w:pPr>
      <w:r w:rsidRPr="0036768A">
        <w:rPr>
          <w:i/>
        </w:rPr>
        <w:t>8.</w:t>
      </w:r>
      <w:r>
        <w:t xml:space="preserve"> </w:t>
      </w:r>
      <w:r w:rsidR="002E2776">
        <w:rPr>
          <w:i/>
        </w:rPr>
        <w:t>Về</w:t>
      </w:r>
      <w:r w:rsidR="002E2776" w:rsidRPr="00D81EF5">
        <w:rPr>
          <w:i/>
        </w:rPr>
        <w:t xml:space="preserve"> </w:t>
      </w:r>
      <w:r w:rsidR="004F11EE" w:rsidRPr="00D81EF5">
        <w:rPr>
          <w:i/>
        </w:rPr>
        <w:t xml:space="preserve">ý kiến cho rằng cần quy định nhiệm vụ cụ thể của từng cơ quan </w:t>
      </w:r>
      <w:r w:rsidR="004F11EE" w:rsidRPr="00D81EF5">
        <w:rPr>
          <w:i/>
          <w:spacing w:val="-6"/>
        </w:rPr>
        <w:t>đối với việc hỗ trợ DNNVV, nhất là các bộ, ngành thay vì quy định trách nhiệm chung chung.</w:t>
      </w:r>
      <w:r w:rsidR="004F11EE" w:rsidRPr="00D81EF5">
        <w:rPr>
          <w:i/>
        </w:rPr>
        <w:t xml:space="preserve"> </w:t>
      </w:r>
    </w:p>
    <w:p w:rsidR="00B5466E" w:rsidRPr="00D81EF5" w:rsidRDefault="004B1964" w:rsidP="00B5466E">
      <w:pPr>
        <w:spacing w:before="120" w:line="340" w:lineRule="exact"/>
        <w:ind w:firstLine="720"/>
        <w:jc w:val="both"/>
      </w:pPr>
      <w:r>
        <w:t>Dự thảo Luật đã được</w:t>
      </w:r>
      <w:r w:rsidRPr="00A10609">
        <w:t xml:space="preserve"> </w:t>
      </w:r>
      <w:r w:rsidR="004F11EE" w:rsidRPr="00D81EF5">
        <w:t xml:space="preserve">tiếp thu, ghép Chương IV và Chương V thành Chương III mới. Đồng thời, tiếp thu và bổ sung một số điều mới quy định trách nhiệm của Chính phủ, quy định rõ trách nhiệm cụ thể cho các bộ, ngành có liên quan nhiều đến hỗ trợ DNNVV để bảo đảm việc triển khai Luật, thể hiện từ Điều 20 </w:t>
      </w:r>
      <w:r w:rsidR="00AE0236">
        <w:t>đến</w:t>
      </w:r>
      <w:r w:rsidR="004F11EE" w:rsidRPr="00D81EF5">
        <w:t xml:space="preserve"> Điều 28 dự thảo Luật.</w:t>
      </w:r>
    </w:p>
    <w:p w:rsidR="00B5466E" w:rsidRPr="00D81EF5" w:rsidRDefault="00AE0236" w:rsidP="00B5466E">
      <w:pPr>
        <w:spacing w:before="120" w:line="340" w:lineRule="exact"/>
        <w:ind w:firstLine="720"/>
        <w:jc w:val="both"/>
        <w:rPr>
          <w:i/>
        </w:rPr>
      </w:pPr>
      <w:r>
        <w:rPr>
          <w:i/>
        </w:rPr>
        <w:t>9.</w:t>
      </w:r>
      <w:r w:rsidR="002E2776">
        <w:rPr>
          <w:i/>
        </w:rPr>
        <w:t>Về</w:t>
      </w:r>
      <w:r w:rsidR="002E2776" w:rsidRPr="00D81EF5">
        <w:rPr>
          <w:i/>
        </w:rPr>
        <w:t xml:space="preserve"> </w:t>
      </w:r>
      <w:r w:rsidR="004F11EE" w:rsidRPr="00D81EF5">
        <w:rPr>
          <w:i/>
        </w:rPr>
        <w:t xml:space="preserve">ý kiến cho rằng không nên quy định trách nhiệm của VCCI và Hiệp hội DNNVV trong Luật. </w:t>
      </w:r>
    </w:p>
    <w:p w:rsidR="00B5466E" w:rsidRPr="00B75810" w:rsidRDefault="004B1964" w:rsidP="00B5466E">
      <w:pPr>
        <w:spacing w:before="120" w:line="340" w:lineRule="exact"/>
        <w:ind w:firstLine="720"/>
        <w:jc w:val="both"/>
        <w:rPr>
          <w:highlight w:val="yellow"/>
        </w:rPr>
      </w:pPr>
      <w:r>
        <w:t>V</w:t>
      </w:r>
      <w:r w:rsidR="002D7B9E" w:rsidRPr="00D81EF5">
        <w:t xml:space="preserve">iệc quy định trách nhiệm của VCCI và các hiệp hội, ngành nghề trong dự thảo Luật sẽ góp phần lựa chọn đối tượng hỗ trợ cho trúng và đúng, phối hợp </w:t>
      </w:r>
      <w:r w:rsidR="002D7B9E" w:rsidRPr="00D81EF5">
        <w:lastRenderedPageBreak/>
        <w:t>với cơ quan quản lý nhà nước trong việc thực hiện.</w:t>
      </w:r>
      <w:r w:rsidR="002D7B9E">
        <w:t xml:space="preserve"> </w:t>
      </w:r>
      <w:r>
        <w:t xml:space="preserve">Dự thảo Luật đã tiếp thu, </w:t>
      </w:r>
      <w:r w:rsidR="004F11EE" w:rsidRPr="00D81EF5">
        <w:t xml:space="preserve">tách riêng trách nhiệm của Phòng Thương mại và Công nghiệp Việt Nam, Hiệp hội doanh nghiệp nhỏ và vừa Việt Nam và hiệp hội, ngành nghề; bổ sung làm rõ trách nhiệm Hiệp hội doanh nghiệp nhỏ và vừa Việt Nam trong việc hỗ trợ DNNVV. </w:t>
      </w:r>
    </w:p>
    <w:p w:rsidR="00B5466E" w:rsidRDefault="00B424FC" w:rsidP="00B5466E">
      <w:pPr>
        <w:spacing w:before="120" w:line="360" w:lineRule="exact"/>
        <w:ind w:firstLine="720"/>
        <w:jc w:val="both"/>
        <w:rPr>
          <w:i/>
        </w:rPr>
      </w:pPr>
      <w:r>
        <w:rPr>
          <w:i/>
        </w:rPr>
        <w:t>10.</w:t>
      </w:r>
      <w:r w:rsidR="002D7B9E">
        <w:rPr>
          <w:i/>
        </w:rPr>
        <w:t>Về ý kiến đ</w:t>
      </w:r>
      <w:r w:rsidR="00B5466E" w:rsidRPr="00A10609">
        <w:rPr>
          <w:i/>
        </w:rPr>
        <w:t>ề nghị đẩy nhanh sửa đổi các luật về thuế để bảo đảm tính đồng bộ trong việc thực hiện các chính sách hỗ trợ đối với DNNVV.</w:t>
      </w:r>
    </w:p>
    <w:p w:rsidR="002F06B2" w:rsidRPr="002F06B2" w:rsidRDefault="004B1964" w:rsidP="002F06B2">
      <w:pPr>
        <w:pStyle w:val="ListParagraph"/>
        <w:spacing w:before="120" w:after="120" w:line="340" w:lineRule="exact"/>
        <w:ind w:left="0" w:firstLine="720"/>
        <w:jc w:val="both"/>
        <w:rPr>
          <w:lang w:val="vi-VN"/>
        </w:rPr>
      </w:pPr>
      <w:r>
        <w:t>Dự thảo Luật đã được</w:t>
      </w:r>
      <w:r w:rsidRPr="00A10609">
        <w:t xml:space="preserve"> </w:t>
      </w:r>
      <w:r w:rsidR="00B5466E" w:rsidRPr="00A10609">
        <w:t xml:space="preserve">tiếp thu, </w:t>
      </w:r>
      <w:r>
        <w:t>c</w:t>
      </w:r>
      <w:r w:rsidR="00B5466E" w:rsidRPr="00A10609">
        <w:t xml:space="preserve">hỉnh </w:t>
      </w:r>
      <w:r>
        <w:t>lý, theo đó</w:t>
      </w:r>
      <w:r w:rsidR="00B5466E" w:rsidRPr="00A10609">
        <w:t xml:space="preserve"> Luật này có hiệu lực thi hành từ ngày 01 tháng 01 năm 2018. Đối với các nội dung hỗ trợ liên quan đến các chính sách thuế có hiệu lực từ ngày 01 tháng 01 năm 2019. </w:t>
      </w:r>
      <w:r w:rsidR="00B5466E">
        <w:t xml:space="preserve">Đề nghị </w:t>
      </w:r>
      <w:r w:rsidR="00B5466E" w:rsidRPr="00A10609">
        <w:t xml:space="preserve">Chính phủ </w:t>
      </w:r>
      <w:r w:rsidR="00B5466E">
        <w:t xml:space="preserve">tích cực chuẩn bị </w:t>
      </w:r>
      <w:r w:rsidR="00B5466E" w:rsidRPr="00A10609">
        <w:t xml:space="preserve">trình Quốc hội </w:t>
      </w:r>
      <w:r w:rsidR="00B5466E">
        <w:t>các</w:t>
      </w:r>
      <w:r w:rsidR="00B5466E" w:rsidRPr="00A10609">
        <w:t xml:space="preserve"> nội dung sửa đổi, bổ sung các quy định liên quan đến hỗ trợ DNNVV về thuế thu nhập doanh nghiệp năm 2018.</w:t>
      </w:r>
      <w:r w:rsidR="002F06B2" w:rsidRPr="002F06B2">
        <w:rPr>
          <w:lang w:val="vi-VN"/>
        </w:rPr>
        <w:t xml:space="preserve"> </w:t>
      </w:r>
    </w:p>
    <w:p w:rsidR="00A9682B" w:rsidRDefault="007565F5">
      <w:pPr>
        <w:spacing w:before="120" w:after="120" w:line="340" w:lineRule="exact"/>
        <w:jc w:val="both"/>
        <w:rPr>
          <w:color w:val="000000"/>
          <w:lang w:val="es-MX"/>
        </w:rPr>
      </w:pPr>
      <w:r w:rsidRPr="000D0ACE">
        <w:rPr>
          <w:b/>
          <w:lang w:val="es-MX"/>
        </w:rPr>
        <w:tab/>
      </w:r>
      <w:r w:rsidR="00951BB2" w:rsidRPr="000D0ACE">
        <w:t>Trên đây là Báo cáo mộ</w:t>
      </w:r>
      <w:r w:rsidR="002F06B2" w:rsidRPr="002F06B2">
        <w:t xml:space="preserve">t số vấn đề lớn trong tiếp thu, chỉnh lý dự thảo Luật </w:t>
      </w:r>
      <w:r w:rsidR="00B5466E">
        <w:t>hỗ trợ doanh nghiệp nhỏ và vừa</w:t>
      </w:r>
      <w:r w:rsidR="002F06B2" w:rsidRPr="002F06B2">
        <w:t>, Thường trực Ủy ban Kinh tế</w:t>
      </w:r>
      <w:r w:rsidR="002F06B2" w:rsidRPr="002F06B2">
        <w:rPr>
          <w:lang w:val="es-MX"/>
        </w:rPr>
        <w:t xml:space="preserve"> xin </w:t>
      </w:r>
      <w:r w:rsidR="002F06B2" w:rsidRPr="002F06B2">
        <w:rPr>
          <w:color w:val="000000"/>
          <w:lang w:val="es-MX"/>
        </w:rPr>
        <w:t xml:space="preserve">kính trình </w:t>
      </w:r>
      <w:r w:rsidR="00F35E1F">
        <w:rPr>
          <w:color w:val="000000"/>
          <w:lang w:val="es-MX"/>
        </w:rPr>
        <w:t>các đại biểu Quốc hội chuyên trách</w:t>
      </w:r>
      <w:r w:rsidR="002F06B2" w:rsidRPr="002F06B2">
        <w:rPr>
          <w:color w:val="000000"/>
          <w:lang w:val="es-MX"/>
        </w:rPr>
        <w:t xml:space="preserve"> xem xét, cho ý kiến./.</w:t>
      </w:r>
    </w:p>
    <w:p w:rsidR="001E53FB" w:rsidRDefault="001E53FB">
      <w:pPr>
        <w:spacing w:before="120" w:after="120" w:line="340" w:lineRule="exact"/>
        <w:jc w:val="both"/>
        <w:rPr>
          <w:color w:val="000000"/>
          <w:lang w:val="es-MX"/>
        </w:rPr>
      </w:pPr>
    </w:p>
    <w:tbl>
      <w:tblPr>
        <w:tblW w:w="0" w:type="auto"/>
        <w:tblInd w:w="108" w:type="dxa"/>
        <w:tblLook w:val="01E0" w:firstRow="1" w:lastRow="1" w:firstColumn="1" w:lastColumn="1" w:noHBand="0" w:noVBand="0"/>
      </w:tblPr>
      <w:tblGrid>
        <w:gridCol w:w="3680"/>
        <w:gridCol w:w="5500"/>
      </w:tblGrid>
      <w:tr w:rsidR="007565F5" w:rsidRPr="00F06B68">
        <w:tc>
          <w:tcPr>
            <w:tcW w:w="3680" w:type="dxa"/>
          </w:tcPr>
          <w:p w:rsidR="00C64B21" w:rsidRDefault="004F11EE">
            <w:pPr>
              <w:rPr>
                <w:sz w:val="22"/>
                <w:szCs w:val="22"/>
                <w:lang w:val="pt-BR"/>
              </w:rPr>
            </w:pPr>
            <w:r w:rsidRPr="004F11EE">
              <w:rPr>
                <w:b/>
                <w:i/>
                <w:sz w:val="24"/>
                <w:szCs w:val="24"/>
                <w:lang w:val="pt-BR"/>
              </w:rPr>
              <w:t>Nơi nhận:</w:t>
            </w:r>
          </w:p>
          <w:p w:rsidR="00C64B21" w:rsidRDefault="004F11EE">
            <w:pPr>
              <w:rPr>
                <w:sz w:val="22"/>
                <w:szCs w:val="22"/>
                <w:lang w:val="pt-BR"/>
              </w:rPr>
            </w:pPr>
            <w:r w:rsidRPr="004F11EE">
              <w:rPr>
                <w:sz w:val="22"/>
                <w:szCs w:val="22"/>
                <w:lang w:val="pt-BR"/>
              </w:rPr>
              <w:t xml:space="preserve">- Như trên; </w:t>
            </w:r>
          </w:p>
          <w:p w:rsidR="00C64B21" w:rsidRDefault="004F11EE">
            <w:pPr>
              <w:rPr>
                <w:sz w:val="22"/>
                <w:szCs w:val="22"/>
                <w:lang w:val="pt-BR"/>
              </w:rPr>
            </w:pPr>
            <w:r w:rsidRPr="004F11EE">
              <w:rPr>
                <w:sz w:val="22"/>
                <w:szCs w:val="22"/>
                <w:lang w:val="pt-BR"/>
              </w:rPr>
              <w:t>- Thành viên UBKT;</w:t>
            </w:r>
          </w:p>
          <w:p w:rsidR="00C64B21" w:rsidRDefault="004F11EE">
            <w:pPr>
              <w:rPr>
                <w:sz w:val="22"/>
                <w:szCs w:val="22"/>
                <w:lang w:val="pt-BR"/>
              </w:rPr>
            </w:pPr>
            <w:r w:rsidRPr="004F11EE">
              <w:rPr>
                <w:sz w:val="22"/>
                <w:szCs w:val="22"/>
                <w:lang w:val="pt-BR"/>
              </w:rPr>
              <w:t>- TT UBPL;</w:t>
            </w:r>
          </w:p>
          <w:p w:rsidR="00C64B21" w:rsidRDefault="007565F5">
            <w:pPr>
              <w:rPr>
                <w:sz w:val="22"/>
                <w:szCs w:val="22"/>
              </w:rPr>
            </w:pPr>
            <w:r w:rsidRPr="00F06B68">
              <w:rPr>
                <w:sz w:val="22"/>
                <w:szCs w:val="22"/>
                <w:lang w:val="es-MX"/>
              </w:rPr>
              <w:t xml:space="preserve">- </w:t>
            </w:r>
            <w:r w:rsidR="003D4DD1">
              <w:rPr>
                <w:sz w:val="22"/>
                <w:szCs w:val="22"/>
                <w:lang w:val="es-MX"/>
              </w:rPr>
              <w:t xml:space="preserve">Bộ </w:t>
            </w:r>
            <w:r w:rsidR="001E53FB">
              <w:rPr>
                <w:sz w:val="22"/>
                <w:szCs w:val="22"/>
                <w:lang w:val="es-MX"/>
              </w:rPr>
              <w:t>Kế hoạch và Đầu tư</w:t>
            </w:r>
            <w:r w:rsidRPr="00F06B68">
              <w:rPr>
                <w:sz w:val="22"/>
                <w:szCs w:val="22"/>
                <w:lang w:val="es-MX"/>
              </w:rPr>
              <w:t>;</w:t>
            </w:r>
            <w:r w:rsidRPr="00F06B68">
              <w:rPr>
                <w:sz w:val="22"/>
                <w:szCs w:val="22"/>
                <w:lang w:val="vi-VN"/>
              </w:rPr>
              <w:t xml:space="preserve"> </w:t>
            </w:r>
            <w:r w:rsidR="00881B89">
              <w:rPr>
                <w:sz w:val="22"/>
                <w:szCs w:val="22"/>
              </w:rPr>
              <w:t>VPCP</w:t>
            </w:r>
            <w:r w:rsidR="000A0A18">
              <w:rPr>
                <w:sz w:val="22"/>
                <w:szCs w:val="22"/>
              </w:rPr>
              <w:t>;</w:t>
            </w:r>
          </w:p>
          <w:p w:rsidR="00C64B21" w:rsidRDefault="00881B89">
            <w:pPr>
              <w:rPr>
                <w:sz w:val="22"/>
                <w:szCs w:val="22"/>
                <w:lang w:val="pt-BR"/>
              </w:rPr>
            </w:pPr>
            <w:r>
              <w:rPr>
                <w:sz w:val="22"/>
                <w:szCs w:val="22"/>
                <w:lang w:val="pt-BR"/>
              </w:rPr>
              <w:t>- Các Vụ: KT, PL;</w:t>
            </w:r>
          </w:p>
          <w:p w:rsidR="00C64B21" w:rsidRDefault="007565F5">
            <w:pPr>
              <w:jc w:val="both"/>
              <w:rPr>
                <w:sz w:val="22"/>
                <w:szCs w:val="22"/>
                <w:lang w:val="de-DE"/>
              </w:rPr>
            </w:pPr>
            <w:r w:rsidRPr="00F06B68">
              <w:rPr>
                <w:sz w:val="22"/>
                <w:szCs w:val="22"/>
                <w:lang w:val="de-DE"/>
              </w:rPr>
              <w:t>- Lưu: HC, K</w:t>
            </w:r>
            <w:r w:rsidR="004174EF">
              <w:rPr>
                <w:sz w:val="22"/>
                <w:szCs w:val="22"/>
                <w:lang w:val="de-DE"/>
              </w:rPr>
              <w:t>T</w:t>
            </w:r>
            <w:r w:rsidRPr="00F06B68">
              <w:rPr>
                <w:sz w:val="22"/>
                <w:szCs w:val="22"/>
                <w:lang w:val="de-DE"/>
              </w:rPr>
              <w:t>.</w:t>
            </w:r>
          </w:p>
          <w:p w:rsidR="00C64B21" w:rsidRDefault="007565F5">
            <w:pPr>
              <w:jc w:val="both"/>
              <w:rPr>
                <w:lang w:val="de-DE"/>
              </w:rPr>
            </w:pPr>
            <w:r w:rsidRPr="00F06B68">
              <w:rPr>
                <w:sz w:val="22"/>
                <w:szCs w:val="22"/>
                <w:lang w:val="de-DE"/>
              </w:rPr>
              <w:t xml:space="preserve">- E-pas: </w:t>
            </w:r>
            <w:r w:rsidR="00A12040">
              <w:rPr>
                <w:sz w:val="22"/>
                <w:szCs w:val="22"/>
                <w:lang w:val="de-DE"/>
              </w:rPr>
              <w:t>20899</w:t>
            </w:r>
          </w:p>
        </w:tc>
        <w:tc>
          <w:tcPr>
            <w:tcW w:w="5500" w:type="dxa"/>
          </w:tcPr>
          <w:p w:rsidR="007565F5" w:rsidRPr="00F06B68" w:rsidRDefault="007565F5" w:rsidP="007565F5">
            <w:pPr>
              <w:jc w:val="center"/>
              <w:rPr>
                <w:b/>
                <w:bCs/>
                <w:sz w:val="26"/>
                <w:szCs w:val="26"/>
                <w:lang w:val="de-DE"/>
              </w:rPr>
            </w:pPr>
            <w:r w:rsidRPr="00F06B68">
              <w:rPr>
                <w:b/>
                <w:bCs/>
                <w:sz w:val="26"/>
                <w:szCs w:val="26"/>
                <w:lang w:val="de-DE"/>
              </w:rPr>
              <w:t xml:space="preserve">TM. ỦY BAN </w:t>
            </w:r>
            <w:r w:rsidR="004174EF">
              <w:rPr>
                <w:b/>
                <w:bCs/>
                <w:sz w:val="26"/>
                <w:szCs w:val="26"/>
                <w:lang w:val="de-DE"/>
              </w:rPr>
              <w:t>KINH TẾ</w:t>
            </w:r>
          </w:p>
          <w:p w:rsidR="007565F5" w:rsidRPr="00F06B68" w:rsidRDefault="007565F5" w:rsidP="007565F5">
            <w:pPr>
              <w:jc w:val="center"/>
              <w:rPr>
                <w:b/>
                <w:bCs/>
                <w:sz w:val="26"/>
                <w:szCs w:val="26"/>
                <w:lang w:val="de-DE"/>
              </w:rPr>
            </w:pPr>
            <w:r w:rsidRPr="00F06B68">
              <w:rPr>
                <w:b/>
                <w:bCs/>
                <w:sz w:val="26"/>
                <w:szCs w:val="26"/>
                <w:lang w:val="de-DE"/>
              </w:rPr>
              <w:t xml:space="preserve">CHỦ </w:t>
            </w:r>
            <w:r w:rsidR="004174EF">
              <w:rPr>
                <w:b/>
                <w:bCs/>
                <w:sz w:val="26"/>
                <w:szCs w:val="26"/>
                <w:lang w:val="de-DE"/>
              </w:rPr>
              <w:t>NHIỆM</w:t>
            </w:r>
          </w:p>
          <w:p w:rsidR="007565F5" w:rsidRPr="00F06B68" w:rsidRDefault="007565F5" w:rsidP="007565F5">
            <w:pPr>
              <w:keepNext/>
              <w:autoSpaceDE w:val="0"/>
              <w:autoSpaceDN w:val="0"/>
              <w:jc w:val="center"/>
              <w:outlineLvl w:val="0"/>
              <w:rPr>
                <w:b/>
                <w:bCs/>
                <w:sz w:val="26"/>
                <w:szCs w:val="26"/>
                <w:lang w:val="de-DE"/>
              </w:rPr>
            </w:pPr>
          </w:p>
          <w:p w:rsidR="007565F5" w:rsidRPr="00F06B68" w:rsidRDefault="007565F5" w:rsidP="007565F5">
            <w:pPr>
              <w:keepNext/>
              <w:autoSpaceDE w:val="0"/>
              <w:autoSpaceDN w:val="0"/>
              <w:jc w:val="center"/>
              <w:outlineLvl w:val="0"/>
              <w:rPr>
                <w:b/>
                <w:bCs/>
                <w:sz w:val="26"/>
                <w:szCs w:val="26"/>
                <w:lang w:val="de-DE"/>
              </w:rPr>
            </w:pPr>
          </w:p>
          <w:p w:rsidR="007565F5" w:rsidRDefault="007565F5" w:rsidP="007565F5">
            <w:pPr>
              <w:keepNext/>
              <w:autoSpaceDE w:val="0"/>
              <w:autoSpaceDN w:val="0"/>
              <w:jc w:val="center"/>
              <w:outlineLvl w:val="0"/>
              <w:rPr>
                <w:b/>
                <w:bCs/>
                <w:sz w:val="26"/>
                <w:szCs w:val="26"/>
                <w:lang w:val="de-DE"/>
              </w:rPr>
            </w:pPr>
          </w:p>
          <w:p w:rsidR="001E53FB" w:rsidRPr="00F06B68" w:rsidRDefault="001E53FB" w:rsidP="007565F5">
            <w:pPr>
              <w:keepNext/>
              <w:autoSpaceDE w:val="0"/>
              <w:autoSpaceDN w:val="0"/>
              <w:jc w:val="center"/>
              <w:outlineLvl w:val="0"/>
              <w:rPr>
                <w:b/>
                <w:bCs/>
                <w:sz w:val="26"/>
                <w:szCs w:val="26"/>
                <w:lang w:val="de-DE"/>
              </w:rPr>
            </w:pPr>
          </w:p>
          <w:p w:rsidR="007565F5" w:rsidRPr="00F06B68" w:rsidRDefault="007565F5" w:rsidP="007565F5">
            <w:pPr>
              <w:keepNext/>
              <w:autoSpaceDE w:val="0"/>
              <w:autoSpaceDN w:val="0"/>
              <w:jc w:val="center"/>
              <w:outlineLvl w:val="0"/>
              <w:rPr>
                <w:b/>
                <w:bCs/>
                <w:sz w:val="26"/>
                <w:szCs w:val="26"/>
                <w:lang w:val="de-DE"/>
              </w:rPr>
            </w:pPr>
          </w:p>
          <w:p w:rsidR="007565F5" w:rsidRPr="00F06B68" w:rsidRDefault="004174EF" w:rsidP="007565F5">
            <w:pPr>
              <w:spacing w:before="120" w:after="120" w:line="360" w:lineRule="exact"/>
              <w:jc w:val="center"/>
              <w:rPr>
                <w:b/>
                <w:bCs/>
              </w:rPr>
            </w:pPr>
            <w:r>
              <w:rPr>
                <w:b/>
                <w:bCs/>
              </w:rPr>
              <w:t>Vũ Hồng Thanh</w:t>
            </w:r>
          </w:p>
        </w:tc>
      </w:tr>
    </w:tbl>
    <w:p w:rsidR="00F41A85" w:rsidRPr="00F06B68" w:rsidRDefault="00F41A85"/>
    <w:sectPr w:rsidR="00F41A85" w:rsidRPr="00F06B68" w:rsidSect="00881B89">
      <w:headerReference w:type="default" r:id="rId8"/>
      <w:footerReference w:type="default" r:id="rId9"/>
      <w:pgSz w:w="11907" w:h="16840" w:code="9"/>
      <w:pgMar w:top="1021" w:right="1134" w:bottom="1021" w:left="1701" w:header="397"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6596" w:rsidRDefault="008B6596">
      <w:r>
        <w:separator/>
      </w:r>
    </w:p>
  </w:endnote>
  <w:endnote w:type="continuationSeparator" w:id="0">
    <w:p w:rsidR="008B6596" w:rsidRDefault="008B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mascus Medium">
    <w:charset w:val="00"/>
    <w:family w:val="auto"/>
    <w:pitch w:val="variable"/>
    <w:sig w:usb0="80002003" w:usb1="8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F5" w:rsidRDefault="00AC4AF9" w:rsidP="007565F5">
    <w:pPr>
      <w:pStyle w:val="Footer"/>
      <w:framePr w:wrap="auto" w:vAnchor="text" w:hAnchor="margin" w:xAlign="center" w:y="1"/>
      <w:rPr>
        <w:rStyle w:val="PageNumber"/>
      </w:rPr>
    </w:pPr>
    <w:r>
      <w:rPr>
        <w:rStyle w:val="PageNumber"/>
      </w:rPr>
      <w:fldChar w:fldCharType="begin"/>
    </w:r>
    <w:r w:rsidR="007565F5">
      <w:rPr>
        <w:rStyle w:val="PageNumber"/>
      </w:rPr>
      <w:instrText xml:space="preserve">PAGE  </w:instrText>
    </w:r>
    <w:r>
      <w:rPr>
        <w:rStyle w:val="PageNumber"/>
      </w:rPr>
      <w:fldChar w:fldCharType="separate"/>
    </w:r>
    <w:r w:rsidR="00FD6F5F">
      <w:rPr>
        <w:rStyle w:val="PageNumber"/>
        <w:noProof/>
      </w:rPr>
      <w:t>2</w:t>
    </w:r>
    <w:r>
      <w:rPr>
        <w:rStyle w:val="PageNumber"/>
      </w:rPr>
      <w:fldChar w:fldCharType="end"/>
    </w:r>
  </w:p>
  <w:p w:rsidR="007565F5" w:rsidRDefault="007565F5" w:rsidP="007565F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6596" w:rsidRDefault="008B6596">
      <w:r>
        <w:separator/>
      </w:r>
    </w:p>
  </w:footnote>
  <w:footnote w:type="continuationSeparator" w:id="0">
    <w:p w:rsidR="008B6596" w:rsidRDefault="008B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5F5" w:rsidRDefault="007565F5" w:rsidP="007565F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52B9E"/>
    <w:multiLevelType w:val="hybridMultilevel"/>
    <w:tmpl w:val="49D265D6"/>
    <w:lvl w:ilvl="0" w:tplc="18E673AE">
      <w:start w:val="6"/>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
    <w:nsid w:val="4755399A"/>
    <w:multiLevelType w:val="multilevel"/>
    <w:tmpl w:val="2A267E84"/>
    <w:lvl w:ilvl="0">
      <w:start w:val="7"/>
      <w:numFmt w:val="decimal"/>
      <w:lvlText w:val="%1."/>
      <w:lvlJc w:val="left"/>
      <w:pPr>
        <w:ind w:left="450" w:hanging="450"/>
      </w:pPr>
      <w:rPr>
        <w:rFonts w:cs="Times New Roman" w:hint="default"/>
      </w:rPr>
    </w:lvl>
    <w:lvl w:ilvl="1">
      <w:start w:val="1"/>
      <w:numFmt w:val="decimal"/>
      <w:lvlText w:val="%1.%2."/>
      <w:lvlJc w:val="left"/>
      <w:pPr>
        <w:ind w:left="1857" w:hanging="720"/>
      </w:pPr>
      <w:rPr>
        <w:rFonts w:cs="Times New Roman" w:hint="default"/>
      </w:rPr>
    </w:lvl>
    <w:lvl w:ilvl="2">
      <w:start w:val="1"/>
      <w:numFmt w:val="decimal"/>
      <w:lvlText w:val="%1.%2.%3."/>
      <w:lvlJc w:val="left"/>
      <w:pPr>
        <w:ind w:left="2994" w:hanging="720"/>
      </w:pPr>
      <w:rPr>
        <w:rFonts w:cs="Times New Roman" w:hint="default"/>
      </w:rPr>
    </w:lvl>
    <w:lvl w:ilvl="3">
      <w:start w:val="1"/>
      <w:numFmt w:val="decimal"/>
      <w:lvlText w:val="%1.%2.%3.%4."/>
      <w:lvlJc w:val="left"/>
      <w:pPr>
        <w:ind w:left="4491" w:hanging="1080"/>
      </w:pPr>
      <w:rPr>
        <w:rFonts w:cs="Times New Roman" w:hint="default"/>
      </w:rPr>
    </w:lvl>
    <w:lvl w:ilvl="4">
      <w:start w:val="1"/>
      <w:numFmt w:val="decimal"/>
      <w:lvlText w:val="%1.%2.%3.%4.%5."/>
      <w:lvlJc w:val="left"/>
      <w:pPr>
        <w:ind w:left="5628" w:hanging="1080"/>
      </w:pPr>
      <w:rPr>
        <w:rFonts w:cs="Times New Roman" w:hint="default"/>
      </w:rPr>
    </w:lvl>
    <w:lvl w:ilvl="5">
      <w:start w:val="1"/>
      <w:numFmt w:val="decimal"/>
      <w:lvlText w:val="%1.%2.%3.%4.%5.%6."/>
      <w:lvlJc w:val="left"/>
      <w:pPr>
        <w:ind w:left="7125" w:hanging="1440"/>
      </w:pPr>
      <w:rPr>
        <w:rFonts w:cs="Times New Roman" w:hint="default"/>
      </w:rPr>
    </w:lvl>
    <w:lvl w:ilvl="6">
      <w:start w:val="1"/>
      <w:numFmt w:val="decimal"/>
      <w:lvlText w:val="%1.%2.%3.%4.%5.%6.%7."/>
      <w:lvlJc w:val="left"/>
      <w:pPr>
        <w:ind w:left="8622" w:hanging="1800"/>
      </w:pPr>
      <w:rPr>
        <w:rFonts w:cs="Times New Roman" w:hint="default"/>
      </w:rPr>
    </w:lvl>
    <w:lvl w:ilvl="7">
      <w:start w:val="1"/>
      <w:numFmt w:val="decimal"/>
      <w:lvlText w:val="%1.%2.%3.%4.%5.%6.%7.%8."/>
      <w:lvlJc w:val="left"/>
      <w:pPr>
        <w:ind w:left="9759" w:hanging="1800"/>
      </w:pPr>
      <w:rPr>
        <w:rFonts w:cs="Times New Roman" w:hint="default"/>
      </w:rPr>
    </w:lvl>
    <w:lvl w:ilvl="8">
      <w:start w:val="1"/>
      <w:numFmt w:val="decimal"/>
      <w:lvlText w:val="%1.%2.%3.%4.%5.%6.%7.%8.%9."/>
      <w:lvlJc w:val="left"/>
      <w:pPr>
        <w:ind w:left="11256" w:hanging="2160"/>
      </w:pPr>
      <w:rPr>
        <w:rFonts w:cs="Times New Roman" w:hint="default"/>
      </w:rPr>
    </w:lvl>
  </w:abstractNum>
  <w:abstractNum w:abstractNumId="2">
    <w:nsid w:val="6F3D4661"/>
    <w:multiLevelType w:val="multilevel"/>
    <w:tmpl w:val="057A5532"/>
    <w:lvl w:ilvl="0">
      <w:start w:val="1"/>
      <w:numFmt w:val="decimal"/>
      <w:lvlText w:val="%1."/>
      <w:lvlJc w:val="left"/>
      <w:pPr>
        <w:ind w:left="899" w:hanging="360"/>
      </w:pPr>
      <w:rPr>
        <w:rFonts w:cs="Times New Roman" w:hint="default"/>
      </w:rPr>
    </w:lvl>
    <w:lvl w:ilvl="1">
      <w:start w:val="2"/>
      <w:numFmt w:val="decimal"/>
      <w:isLgl/>
      <w:lvlText w:val="%1.%2."/>
      <w:lvlJc w:val="left"/>
      <w:pPr>
        <w:ind w:left="1259" w:hanging="720"/>
      </w:pPr>
      <w:rPr>
        <w:rFonts w:cs="Times New Roman" w:hint="default"/>
      </w:rPr>
    </w:lvl>
    <w:lvl w:ilvl="2">
      <w:start w:val="1"/>
      <w:numFmt w:val="decimal"/>
      <w:isLgl/>
      <w:lvlText w:val="%1.%2.%3."/>
      <w:lvlJc w:val="left"/>
      <w:pPr>
        <w:ind w:left="1259" w:hanging="720"/>
      </w:pPr>
      <w:rPr>
        <w:rFonts w:cs="Times New Roman" w:hint="default"/>
      </w:rPr>
    </w:lvl>
    <w:lvl w:ilvl="3">
      <w:start w:val="1"/>
      <w:numFmt w:val="decimal"/>
      <w:isLgl/>
      <w:lvlText w:val="%1.%2.%3.%4."/>
      <w:lvlJc w:val="left"/>
      <w:pPr>
        <w:ind w:left="1619" w:hanging="108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979" w:hanging="1440"/>
      </w:pPr>
      <w:rPr>
        <w:rFonts w:cs="Times New Roman" w:hint="default"/>
      </w:rPr>
    </w:lvl>
    <w:lvl w:ilvl="6">
      <w:start w:val="1"/>
      <w:numFmt w:val="decimal"/>
      <w:isLgl/>
      <w:lvlText w:val="%1.%2.%3.%4.%5.%6.%7."/>
      <w:lvlJc w:val="left"/>
      <w:pPr>
        <w:ind w:left="2339" w:hanging="1800"/>
      </w:pPr>
      <w:rPr>
        <w:rFonts w:cs="Times New Roman" w:hint="default"/>
      </w:rPr>
    </w:lvl>
    <w:lvl w:ilvl="7">
      <w:start w:val="1"/>
      <w:numFmt w:val="decimal"/>
      <w:isLgl/>
      <w:lvlText w:val="%1.%2.%3.%4.%5.%6.%7.%8."/>
      <w:lvlJc w:val="left"/>
      <w:pPr>
        <w:ind w:left="2339" w:hanging="1800"/>
      </w:pPr>
      <w:rPr>
        <w:rFonts w:cs="Times New Roman" w:hint="default"/>
      </w:rPr>
    </w:lvl>
    <w:lvl w:ilvl="8">
      <w:start w:val="1"/>
      <w:numFmt w:val="decimal"/>
      <w:isLgl/>
      <w:lvlText w:val="%1.%2.%3.%4.%5.%6.%7.%8.%9."/>
      <w:lvlJc w:val="left"/>
      <w:pPr>
        <w:ind w:left="2699" w:hanging="2160"/>
      </w:pPr>
      <w:rPr>
        <w:rFonts w:cs="Times New Roman" w:hint="default"/>
      </w:rPr>
    </w:lvl>
  </w:abstractNum>
  <w:abstractNum w:abstractNumId="3">
    <w:nsid w:val="74EC490A"/>
    <w:multiLevelType w:val="hybridMultilevel"/>
    <w:tmpl w:val="30FEE71C"/>
    <w:lvl w:ilvl="0" w:tplc="960019FC">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F5"/>
    <w:rsid w:val="000175E7"/>
    <w:rsid w:val="00027A68"/>
    <w:rsid w:val="00030AA4"/>
    <w:rsid w:val="000335B4"/>
    <w:rsid w:val="0007051A"/>
    <w:rsid w:val="0008293B"/>
    <w:rsid w:val="00084EE1"/>
    <w:rsid w:val="00086F1A"/>
    <w:rsid w:val="000A0A18"/>
    <w:rsid w:val="000A3A06"/>
    <w:rsid w:val="000B2F3C"/>
    <w:rsid w:val="000C1A13"/>
    <w:rsid w:val="000C6865"/>
    <w:rsid w:val="000D0ACE"/>
    <w:rsid w:val="000D1B8B"/>
    <w:rsid w:val="000D1C0E"/>
    <w:rsid w:val="000E5F23"/>
    <w:rsid w:val="00115AE0"/>
    <w:rsid w:val="0012493A"/>
    <w:rsid w:val="0014241B"/>
    <w:rsid w:val="00146E7B"/>
    <w:rsid w:val="00150E2B"/>
    <w:rsid w:val="00161A64"/>
    <w:rsid w:val="00192D78"/>
    <w:rsid w:val="00195A31"/>
    <w:rsid w:val="00196ECD"/>
    <w:rsid w:val="001C75A2"/>
    <w:rsid w:val="001D0A09"/>
    <w:rsid w:val="001D286F"/>
    <w:rsid w:val="001E53FB"/>
    <w:rsid w:val="00215B5B"/>
    <w:rsid w:val="002452CC"/>
    <w:rsid w:val="0025551D"/>
    <w:rsid w:val="00265470"/>
    <w:rsid w:val="002668F6"/>
    <w:rsid w:val="00274094"/>
    <w:rsid w:val="00283C49"/>
    <w:rsid w:val="002A6CB0"/>
    <w:rsid w:val="002D7B9E"/>
    <w:rsid w:val="002D7CF1"/>
    <w:rsid w:val="002E2776"/>
    <w:rsid w:val="002E7F1D"/>
    <w:rsid w:val="002F06B2"/>
    <w:rsid w:val="00306B57"/>
    <w:rsid w:val="00311C4D"/>
    <w:rsid w:val="0033120C"/>
    <w:rsid w:val="00331582"/>
    <w:rsid w:val="00335020"/>
    <w:rsid w:val="00340AC9"/>
    <w:rsid w:val="00347100"/>
    <w:rsid w:val="00354446"/>
    <w:rsid w:val="00362F98"/>
    <w:rsid w:val="003631B8"/>
    <w:rsid w:val="0036768A"/>
    <w:rsid w:val="003D4DD1"/>
    <w:rsid w:val="003E72A9"/>
    <w:rsid w:val="003F4308"/>
    <w:rsid w:val="003F46B0"/>
    <w:rsid w:val="0040219C"/>
    <w:rsid w:val="00405940"/>
    <w:rsid w:val="00405F6E"/>
    <w:rsid w:val="004174EF"/>
    <w:rsid w:val="00427C68"/>
    <w:rsid w:val="0043759A"/>
    <w:rsid w:val="00452D2A"/>
    <w:rsid w:val="00466274"/>
    <w:rsid w:val="00474FF8"/>
    <w:rsid w:val="0048775F"/>
    <w:rsid w:val="004A3C0C"/>
    <w:rsid w:val="004A5200"/>
    <w:rsid w:val="004B1964"/>
    <w:rsid w:val="004B49FF"/>
    <w:rsid w:val="004B51AD"/>
    <w:rsid w:val="004C054C"/>
    <w:rsid w:val="004D30ED"/>
    <w:rsid w:val="004E1014"/>
    <w:rsid w:val="004E1F83"/>
    <w:rsid w:val="004E7D5C"/>
    <w:rsid w:val="004F11EE"/>
    <w:rsid w:val="005200AC"/>
    <w:rsid w:val="00527041"/>
    <w:rsid w:val="00551E31"/>
    <w:rsid w:val="00564F9B"/>
    <w:rsid w:val="00593E58"/>
    <w:rsid w:val="00594F68"/>
    <w:rsid w:val="005C46B6"/>
    <w:rsid w:val="005D50FB"/>
    <w:rsid w:val="00603408"/>
    <w:rsid w:val="0061374E"/>
    <w:rsid w:val="00621742"/>
    <w:rsid w:val="00630CAE"/>
    <w:rsid w:val="00637BD8"/>
    <w:rsid w:val="006563E2"/>
    <w:rsid w:val="00667FDB"/>
    <w:rsid w:val="00677D5C"/>
    <w:rsid w:val="006A79F2"/>
    <w:rsid w:val="006C6FEC"/>
    <w:rsid w:val="006D3159"/>
    <w:rsid w:val="006D6DDE"/>
    <w:rsid w:val="006E0522"/>
    <w:rsid w:val="006E324C"/>
    <w:rsid w:val="006F0900"/>
    <w:rsid w:val="006F3A98"/>
    <w:rsid w:val="00706BF1"/>
    <w:rsid w:val="007326DC"/>
    <w:rsid w:val="007565F5"/>
    <w:rsid w:val="00790151"/>
    <w:rsid w:val="00793B7E"/>
    <w:rsid w:val="007A45D8"/>
    <w:rsid w:val="007B4371"/>
    <w:rsid w:val="007D2FE6"/>
    <w:rsid w:val="007D730B"/>
    <w:rsid w:val="007E200F"/>
    <w:rsid w:val="00801879"/>
    <w:rsid w:val="008406B8"/>
    <w:rsid w:val="00871075"/>
    <w:rsid w:val="00871F72"/>
    <w:rsid w:val="00881B89"/>
    <w:rsid w:val="00885119"/>
    <w:rsid w:val="00892B0A"/>
    <w:rsid w:val="00897725"/>
    <w:rsid w:val="008A6265"/>
    <w:rsid w:val="008B6596"/>
    <w:rsid w:val="008C0CEC"/>
    <w:rsid w:val="008F085C"/>
    <w:rsid w:val="008F17E1"/>
    <w:rsid w:val="00940790"/>
    <w:rsid w:val="009438B6"/>
    <w:rsid w:val="00945E5D"/>
    <w:rsid w:val="00951BB2"/>
    <w:rsid w:val="00953F44"/>
    <w:rsid w:val="0095526C"/>
    <w:rsid w:val="00990332"/>
    <w:rsid w:val="009A275F"/>
    <w:rsid w:val="009A6364"/>
    <w:rsid w:val="009B0313"/>
    <w:rsid w:val="009B63F7"/>
    <w:rsid w:val="009B6496"/>
    <w:rsid w:val="009C73D4"/>
    <w:rsid w:val="009C7E87"/>
    <w:rsid w:val="009D32B3"/>
    <w:rsid w:val="009D794A"/>
    <w:rsid w:val="009E1067"/>
    <w:rsid w:val="00A12040"/>
    <w:rsid w:val="00A24BCF"/>
    <w:rsid w:val="00A3439F"/>
    <w:rsid w:val="00A400CA"/>
    <w:rsid w:val="00A61294"/>
    <w:rsid w:val="00A65A11"/>
    <w:rsid w:val="00A9682B"/>
    <w:rsid w:val="00AB2744"/>
    <w:rsid w:val="00AC4AF9"/>
    <w:rsid w:val="00AD198B"/>
    <w:rsid w:val="00AE0236"/>
    <w:rsid w:val="00AE69FD"/>
    <w:rsid w:val="00B07DF0"/>
    <w:rsid w:val="00B33B00"/>
    <w:rsid w:val="00B33CCE"/>
    <w:rsid w:val="00B424FC"/>
    <w:rsid w:val="00B5466E"/>
    <w:rsid w:val="00B635EF"/>
    <w:rsid w:val="00B75810"/>
    <w:rsid w:val="00B814F3"/>
    <w:rsid w:val="00B86087"/>
    <w:rsid w:val="00B96AB7"/>
    <w:rsid w:val="00BD7B2B"/>
    <w:rsid w:val="00BF3E10"/>
    <w:rsid w:val="00C1076B"/>
    <w:rsid w:val="00C16507"/>
    <w:rsid w:val="00C3251E"/>
    <w:rsid w:val="00C32780"/>
    <w:rsid w:val="00C64B21"/>
    <w:rsid w:val="00D6674C"/>
    <w:rsid w:val="00D70851"/>
    <w:rsid w:val="00D73536"/>
    <w:rsid w:val="00D81EF5"/>
    <w:rsid w:val="00DD3067"/>
    <w:rsid w:val="00E1678C"/>
    <w:rsid w:val="00E30E52"/>
    <w:rsid w:val="00E37477"/>
    <w:rsid w:val="00E40C36"/>
    <w:rsid w:val="00E43F5C"/>
    <w:rsid w:val="00E51240"/>
    <w:rsid w:val="00E56235"/>
    <w:rsid w:val="00E67941"/>
    <w:rsid w:val="00ED59A4"/>
    <w:rsid w:val="00EE1AC5"/>
    <w:rsid w:val="00EE7353"/>
    <w:rsid w:val="00F06B68"/>
    <w:rsid w:val="00F25437"/>
    <w:rsid w:val="00F35E1F"/>
    <w:rsid w:val="00F41A85"/>
    <w:rsid w:val="00F80FB4"/>
    <w:rsid w:val="00F81E40"/>
    <w:rsid w:val="00F96FAB"/>
    <w:rsid w:val="00FC6AAC"/>
    <w:rsid w:val="00FD6F5F"/>
    <w:rsid w:val="00FE0C21"/>
    <w:rsid w:val="00FF0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EE6A31-75CF-4996-B65C-878CCBC1E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5F5"/>
    <w:rPr>
      <w:rFonts w:eastAsia="Calibri"/>
      <w:sz w:val="28"/>
      <w:szCs w:val="28"/>
    </w:rPr>
  </w:style>
  <w:style w:type="paragraph" w:styleId="Heading1">
    <w:name w:val="heading 1"/>
    <w:basedOn w:val="Normal"/>
    <w:next w:val="Normal"/>
    <w:link w:val="Heading1Char"/>
    <w:qFormat/>
    <w:rsid w:val="007565F5"/>
    <w:pPr>
      <w:keepNext/>
      <w:autoSpaceDE w:val="0"/>
      <w:autoSpaceDN w:val="0"/>
      <w:jc w:val="both"/>
      <w:outlineLvl w:val="0"/>
    </w:pPr>
  </w:style>
  <w:style w:type="paragraph" w:styleId="Heading2">
    <w:name w:val="heading 2"/>
    <w:basedOn w:val="Normal"/>
    <w:next w:val="Normal"/>
    <w:link w:val="Heading2Char"/>
    <w:qFormat/>
    <w:rsid w:val="007565F5"/>
    <w:pPr>
      <w:keepNext/>
      <w:autoSpaceDE w:val="0"/>
      <w:autoSpaceDN w:val="0"/>
      <w:jc w:val="center"/>
      <w:outlineLvl w:val="1"/>
    </w:pPr>
  </w:style>
  <w:style w:type="paragraph" w:styleId="Heading3">
    <w:name w:val="heading 3"/>
    <w:basedOn w:val="Normal"/>
    <w:next w:val="Normal"/>
    <w:link w:val="Heading3Char"/>
    <w:qFormat/>
    <w:rsid w:val="007565F5"/>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565F5"/>
    <w:rPr>
      <w:rFonts w:eastAsia="Calibri"/>
      <w:sz w:val="28"/>
      <w:szCs w:val="28"/>
      <w:lang w:val="en-US" w:eastAsia="en-US" w:bidi="ar-SA"/>
    </w:rPr>
  </w:style>
  <w:style w:type="character" w:customStyle="1" w:styleId="Heading2Char">
    <w:name w:val="Heading 2 Char"/>
    <w:basedOn w:val="DefaultParagraphFont"/>
    <w:link w:val="Heading2"/>
    <w:locked/>
    <w:rsid w:val="007565F5"/>
    <w:rPr>
      <w:rFonts w:eastAsia="Calibri"/>
      <w:sz w:val="28"/>
      <w:szCs w:val="28"/>
      <w:lang w:val="en-US" w:eastAsia="en-US" w:bidi="ar-SA"/>
    </w:rPr>
  </w:style>
  <w:style w:type="character" w:customStyle="1" w:styleId="Heading3Char">
    <w:name w:val="Heading 3 Char"/>
    <w:basedOn w:val="DefaultParagraphFont"/>
    <w:link w:val="Heading3"/>
    <w:locked/>
    <w:rsid w:val="007565F5"/>
    <w:rPr>
      <w:rFonts w:ascii="Arial" w:eastAsia="Calibri" w:hAnsi="Arial"/>
      <w:b/>
      <w:bCs/>
      <w:sz w:val="26"/>
      <w:szCs w:val="26"/>
      <w:lang w:val="en-US" w:eastAsia="en-US" w:bidi="ar-SA"/>
    </w:rPr>
  </w:style>
  <w:style w:type="paragraph" w:styleId="Footer">
    <w:name w:val="footer"/>
    <w:basedOn w:val="Normal"/>
    <w:link w:val="FooterChar"/>
    <w:rsid w:val="007565F5"/>
    <w:pPr>
      <w:tabs>
        <w:tab w:val="center" w:pos="4320"/>
        <w:tab w:val="right" w:pos="8640"/>
      </w:tabs>
      <w:autoSpaceDE w:val="0"/>
      <w:autoSpaceDN w:val="0"/>
    </w:pPr>
  </w:style>
  <w:style w:type="character" w:customStyle="1" w:styleId="FooterChar">
    <w:name w:val="Footer Char"/>
    <w:basedOn w:val="DefaultParagraphFont"/>
    <w:link w:val="Footer"/>
    <w:locked/>
    <w:rsid w:val="007565F5"/>
    <w:rPr>
      <w:rFonts w:eastAsia="Calibri"/>
      <w:sz w:val="28"/>
      <w:szCs w:val="28"/>
      <w:lang w:val="en-US" w:eastAsia="en-US" w:bidi="ar-SA"/>
    </w:rPr>
  </w:style>
  <w:style w:type="paragraph" w:styleId="Header">
    <w:name w:val="header"/>
    <w:aliases w:val="Char"/>
    <w:basedOn w:val="Normal"/>
    <w:link w:val="HeaderChar"/>
    <w:rsid w:val="007565F5"/>
    <w:pPr>
      <w:tabs>
        <w:tab w:val="center" w:pos="4320"/>
        <w:tab w:val="right" w:pos="8640"/>
      </w:tabs>
    </w:pPr>
  </w:style>
  <w:style w:type="character" w:customStyle="1" w:styleId="HeaderChar">
    <w:name w:val="Header Char"/>
    <w:aliases w:val="Char Char"/>
    <w:basedOn w:val="DefaultParagraphFont"/>
    <w:link w:val="Header"/>
    <w:locked/>
    <w:rsid w:val="007565F5"/>
    <w:rPr>
      <w:rFonts w:eastAsia="Calibri"/>
      <w:sz w:val="28"/>
      <w:szCs w:val="28"/>
      <w:lang w:val="en-US" w:eastAsia="en-US" w:bidi="ar-SA"/>
    </w:rPr>
  </w:style>
  <w:style w:type="character" w:styleId="PageNumber">
    <w:name w:val="page number"/>
    <w:basedOn w:val="DefaultParagraphFont"/>
    <w:rsid w:val="007565F5"/>
    <w:rPr>
      <w:rFonts w:cs="Times New Roman"/>
    </w:rPr>
  </w:style>
  <w:style w:type="paragraph" w:styleId="FootnoteText">
    <w:name w:val="footnote text"/>
    <w:aliases w:val="single space,Footnote Text Char Char Char Char Char,Footnote Text Char Char Char Char Char Char Ch,Footnote Text Char Char Char Char Char Char Ch Char Char Char,fn,Footnot,footnote text"/>
    <w:basedOn w:val="Normal"/>
    <w:link w:val="FootnoteTextChar"/>
    <w:uiPriority w:val="99"/>
    <w:rsid w:val="007565F5"/>
    <w:pPr>
      <w:overflowPunct w:val="0"/>
      <w:autoSpaceDE w:val="0"/>
      <w:autoSpaceDN w:val="0"/>
      <w:adjustRightInd w:val="0"/>
      <w:textAlignment w:val="baseline"/>
    </w:pPr>
    <w:rPr>
      <w:rFonts w:eastAsia="Times New Roman"/>
      <w:sz w:val="20"/>
      <w:szCs w:val="20"/>
      <w:lang w:eastAsia="ko-KR"/>
    </w:rPr>
  </w:style>
  <w:style w:type="character" w:customStyle="1" w:styleId="FootnoteTextChar">
    <w:name w:val="Footnote Text Char"/>
    <w:aliases w:val="single space Char,Footnote Text Char Char Char Char Char Char,Footnote Text Char Char Char Char Char Char Ch Char,Footnote Text Char Char Char Char Char Char Ch Char Char Char Char,fn Char,Footnot Char,footnote text Char1"/>
    <w:link w:val="FootnoteText"/>
    <w:uiPriority w:val="99"/>
    <w:locked/>
    <w:rsid w:val="007565F5"/>
    <w:rPr>
      <w:lang w:val="en-US" w:eastAsia="ko-KR" w:bidi="ar-SA"/>
    </w:rPr>
  </w:style>
  <w:style w:type="character" w:customStyle="1" w:styleId="FootnoteTextChar2">
    <w:name w:val="Footnote Text Char2"/>
    <w:aliases w:val="single space Char2,footnote text Char,Footnote Text Char Char Char Char Char Char2,Footnote Text Char Char Char Char Char Char Ch Char2,Footnote Text Char Char Char Char Char Char Ch Char Char Char Char2,fn Char2,Footnot Char2"/>
    <w:rsid w:val="007565F5"/>
    <w:rPr>
      <w:rFonts w:ascii="Times New Roman" w:hAnsi="Times New Roman"/>
      <w:sz w:val="20"/>
    </w:rPr>
  </w:style>
  <w:style w:type="character" w:styleId="FootnoteReference">
    <w:name w:val="footnote reference"/>
    <w:aliases w:val="Footnote text,ftref,Footnote,Ref,de nota al pie,Footnote text + 13 pt,4_G,Footnote dich,Footnote + Arial,10 pt,Black,(NECG) Footnote Reference,16 Point,Superscript 6 Point,SUPERS,fr,Footnote Text1,BearingPoint,Footnote Text11, BVI fnr"/>
    <w:basedOn w:val="DefaultParagraphFont"/>
    <w:uiPriority w:val="99"/>
    <w:qFormat/>
    <w:rsid w:val="007565F5"/>
    <w:rPr>
      <w:rFonts w:cs="Times New Roman"/>
      <w:vertAlign w:val="superscript"/>
    </w:rPr>
  </w:style>
  <w:style w:type="paragraph" w:styleId="BodyText">
    <w:name w:val="Body Text"/>
    <w:basedOn w:val="Normal"/>
    <w:link w:val="BodyTextChar"/>
    <w:rsid w:val="007565F5"/>
    <w:pPr>
      <w:spacing w:after="120"/>
    </w:pPr>
  </w:style>
  <w:style w:type="character" w:customStyle="1" w:styleId="BodyTextChar">
    <w:name w:val="Body Text Char"/>
    <w:basedOn w:val="DefaultParagraphFont"/>
    <w:link w:val="BodyText"/>
    <w:locked/>
    <w:rsid w:val="007565F5"/>
    <w:rPr>
      <w:rFonts w:eastAsia="Calibri"/>
      <w:sz w:val="28"/>
      <w:szCs w:val="28"/>
      <w:lang w:val="en-US" w:eastAsia="en-US" w:bidi="ar-SA"/>
    </w:rPr>
  </w:style>
  <w:style w:type="paragraph" w:styleId="ListParagraph">
    <w:name w:val="List Paragraph"/>
    <w:basedOn w:val="Normal"/>
    <w:qFormat/>
    <w:rsid w:val="007565F5"/>
    <w:pPr>
      <w:ind w:left="720"/>
    </w:pPr>
  </w:style>
  <w:style w:type="paragraph" w:customStyle="1" w:styleId="Normal0">
    <w:name w:val="[Normal]"/>
    <w:rsid w:val="007565F5"/>
    <w:rPr>
      <w:rFonts w:ascii="Arial" w:eastAsia="Calibri" w:hAnsi="Arial" w:cs="Arial"/>
      <w:sz w:val="24"/>
      <w:szCs w:val="24"/>
    </w:rPr>
  </w:style>
  <w:style w:type="character" w:customStyle="1" w:styleId="normal-h">
    <w:name w:val="normal-h"/>
    <w:rsid w:val="007565F5"/>
  </w:style>
  <w:style w:type="character" w:customStyle="1" w:styleId="normal-h1">
    <w:name w:val="normal-h1"/>
    <w:rsid w:val="007565F5"/>
    <w:rPr>
      <w:rFonts w:ascii="Times New Roman" w:hAnsi="Times New Roman"/>
      <w:sz w:val="24"/>
    </w:rPr>
  </w:style>
  <w:style w:type="paragraph" w:styleId="NormalWeb">
    <w:name w:val="Normal (Web)"/>
    <w:basedOn w:val="Normal"/>
    <w:rsid w:val="007565F5"/>
    <w:pPr>
      <w:spacing w:before="100" w:beforeAutospacing="1" w:after="100" w:afterAutospacing="1"/>
    </w:pPr>
    <w:rPr>
      <w:sz w:val="24"/>
      <w:szCs w:val="24"/>
    </w:rPr>
  </w:style>
  <w:style w:type="character" w:styleId="Strong">
    <w:name w:val="Strong"/>
    <w:basedOn w:val="DefaultParagraphFont"/>
    <w:qFormat/>
    <w:rsid w:val="007565F5"/>
    <w:rPr>
      <w:rFonts w:cs="Times New Roman"/>
      <w:b/>
    </w:rPr>
  </w:style>
  <w:style w:type="character" w:customStyle="1" w:styleId="apple-converted-space">
    <w:name w:val="apple-converted-space"/>
    <w:rsid w:val="007565F5"/>
  </w:style>
  <w:style w:type="character" w:styleId="Emphasis">
    <w:name w:val="Emphasis"/>
    <w:basedOn w:val="DefaultParagraphFont"/>
    <w:qFormat/>
    <w:rsid w:val="007565F5"/>
    <w:rPr>
      <w:rFonts w:cs="Times New Roman"/>
      <w:i/>
    </w:rPr>
  </w:style>
  <w:style w:type="paragraph" w:styleId="BalloonText">
    <w:name w:val="Balloon Text"/>
    <w:basedOn w:val="Normal"/>
    <w:link w:val="BalloonTextChar"/>
    <w:semiHidden/>
    <w:rsid w:val="007565F5"/>
    <w:rPr>
      <w:rFonts w:ascii="Tahoma" w:hAnsi="Tahoma" w:cs="Tahoma"/>
      <w:sz w:val="16"/>
      <w:szCs w:val="16"/>
    </w:rPr>
  </w:style>
  <w:style w:type="character" w:customStyle="1" w:styleId="BalloonTextChar">
    <w:name w:val="Balloon Text Char"/>
    <w:basedOn w:val="DefaultParagraphFont"/>
    <w:link w:val="BalloonText"/>
    <w:semiHidden/>
    <w:locked/>
    <w:rsid w:val="007565F5"/>
    <w:rPr>
      <w:rFonts w:ascii="Tahoma" w:eastAsia="Calibri" w:hAnsi="Tahoma" w:cs="Tahoma"/>
      <w:sz w:val="16"/>
      <w:szCs w:val="16"/>
      <w:lang w:val="en-US" w:eastAsia="en-US" w:bidi="ar-SA"/>
    </w:rPr>
  </w:style>
  <w:style w:type="paragraph" w:customStyle="1" w:styleId="Body">
    <w:name w:val="Body"/>
    <w:basedOn w:val="Normal"/>
    <w:autoRedefine/>
    <w:qFormat/>
    <w:rsid w:val="00B5466E"/>
    <w:pPr>
      <w:shd w:val="clear" w:color="auto" w:fill="FFFFFF"/>
      <w:spacing w:before="120" w:line="360" w:lineRule="exact"/>
      <w:ind w:firstLine="720"/>
      <w:jc w:val="both"/>
    </w:pPr>
    <w:rPr>
      <w:rFonts w:eastAsia="Times New Roman"/>
      <w:spacing w:val="-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76F10-C00D-4F73-9164-A0762F20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ỦY BAN THƯỜNG VỤ QUỐC HỘI</vt:lpstr>
    </vt:vector>
  </TitlesOfParts>
  <Company/>
  <LinksUpToDate>false</LinksUpToDate>
  <CharactersWithSpaces>11856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THƯỜNG VỤ QUỐC HỘI</dc:title>
  <dc:creator>HANGPL</dc:creator>
  <cp:lastModifiedBy>ThanhHoa</cp:lastModifiedBy>
  <cp:revision>2</cp:revision>
  <cp:lastPrinted>2017-03-23T10:07:00Z</cp:lastPrinted>
  <dcterms:created xsi:type="dcterms:W3CDTF">2017-04-10T09:26:00Z</dcterms:created>
  <dcterms:modified xsi:type="dcterms:W3CDTF">2017-04-10T09:26:00Z</dcterms:modified>
</cp:coreProperties>
</file>