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92" w:type="dxa"/>
        <w:jc w:val="center"/>
        <w:tblCellMar>
          <w:left w:w="0" w:type="dxa"/>
          <w:right w:w="0" w:type="dxa"/>
        </w:tblCellMar>
        <w:tblLook w:val="04A0" w:firstRow="1" w:lastRow="0" w:firstColumn="1" w:lastColumn="0" w:noHBand="0" w:noVBand="1"/>
      </w:tblPr>
      <w:tblGrid>
        <w:gridCol w:w="2296"/>
        <w:gridCol w:w="5196"/>
      </w:tblGrid>
      <w:tr w:rsidR="009F0AF3" w:rsidRPr="009F0AF3" w:rsidTr="009816D1">
        <w:trPr>
          <w:trHeight w:val="1366"/>
          <w:jc w:val="center"/>
        </w:trPr>
        <w:tc>
          <w:tcPr>
            <w:tcW w:w="2296" w:type="dxa"/>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TÀI CHÍNH</w:t>
            </w:r>
          </w:p>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_________</w:t>
            </w:r>
          </w:p>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sz w:val="17"/>
                <w:szCs w:val="17"/>
                <w:lang w:eastAsia="vi-VN"/>
              </w:rPr>
              <w:t>Số: /2010/TT-BTC</w:t>
            </w:r>
          </w:p>
        </w:tc>
        <w:tc>
          <w:tcPr>
            <w:tcW w:w="5196" w:type="dxa"/>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CỘNG HOÀ XÃ HỘI CHỦ NGHĨA VIỆT NAM</w:t>
            </w:r>
          </w:p>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Độc lập - Tự do - Hạnh phúc</w:t>
            </w:r>
          </w:p>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_________________________</w:t>
            </w:r>
          </w:p>
          <w:p w:rsidR="009F0AF3" w:rsidRPr="009F0AF3" w:rsidRDefault="009F0AF3" w:rsidP="009F0AF3">
            <w:pPr>
              <w:spacing w:before="100" w:beforeAutospacing="1" w:after="100" w:afterAutospacing="1" w:line="240" w:lineRule="auto"/>
              <w:jc w:val="right"/>
              <w:rPr>
                <w:rFonts w:ascii="Tahoma" w:eastAsia="Times New Roman" w:hAnsi="Tahoma" w:cs="Tahoma"/>
                <w:sz w:val="17"/>
                <w:szCs w:val="17"/>
                <w:lang w:eastAsia="vi-VN"/>
              </w:rPr>
            </w:pPr>
            <w:r w:rsidRPr="009F0AF3">
              <w:rPr>
                <w:rFonts w:ascii="Tahoma" w:eastAsia="Times New Roman" w:hAnsi="Tahoma" w:cs="Tahoma"/>
                <w:i/>
                <w:iCs/>
                <w:sz w:val="17"/>
                <w:szCs w:val="17"/>
                <w:lang w:eastAsia="vi-VN"/>
              </w:rPr>
              <w:t>Hà Nội, ngày tháng năm 2011</w:t>
            </w:r>
          </w:p>
        </w:tc>
      </w:tr>
    </w:tbl>
    <w:p w:rsidR="009F0AF3" w:rsidRPr="009F0AF3" w:rsidRDefault="009F0AF3" w:rsidP="009F0AF3">
      <w:pPr>
        <w:spacing w:before="100" w:beforeAutospacing="1" w:after="100" w:afterAutospacing="1" w:line="240" w:lineRule="auto"/>
        <w:jc w:val="center"/>
        <w:outlineLvl w:val="4"/>
        <w:rPr>
          <w:rFonts w:ascii="Tahoma" w:eastAsia="Times New Roman" w:hAnsi="Tahoma" w:cs="Tahoma"/>
          <w:b/>
          <w:bCs/>
          <w:sz w:val="20"/>
          <w:szCs w:val="20"/>
          <w:lang w:eastAsia="vi-VN"/>
        </w:rPr>
      </w:pPr>
      <w:r w:rsidRPr="009F0AF3">
        <w:rPr>
          <w:rFonts w:ascii="Tahoma" w:eastAsia="Times New Roman" w:hAnsi="Tahoma" w:cs="Tahoma"/>
          <w:b/>
          <w:bCs/>
          <w:sz w:val="20"/>
          <w:szCs w:val="20"/>
          <w:lang w:eastAsia="vi-VN"/>
        </w:rPr>
        <w:t xml:space="preserve">THÔNG TƯ </w:t>
      </w:r>
    </w:p>
    <w:p w:rsidR="009F0AF3" w:rsidRPr="009F0AF3" w:rsidRDefault="009F0AF3" w:rsidP="009F0AF3">
      <w:pPr>
        <w:spacing w:before="100" w:beforeAutospacing="1" w:after="100" w:afterAutospacing="1" w:line="240" w:lineRule="auto"/>
        <w:jc w:val="center"/>
        <w:rPr>
          <w:rFonts w:ascii="Tahoma" w:eastAsia="Times New Roman" w:hAnsi="Tahoma" w:cs="Tahoma"/>
          <w:sz w:val="20"/>
          <w:szCs w:val="20"/>
          <w:lang w:eastAsia="vi-VN"/>
        </w:rPr>
      </w:pPr>
      <w:r w:rsidRPr="009F0AF3">
        <w:rPr>
          <w:rFonts w:ascii="Tahoma" w:eastAsia="Times New Roman" w:hAnsi="Tahoma" w:cs="Tahoma"/>
          <w:b/>
          <w:bCs/>
          <w:sz w:val="20"/>
          <w:szCs w:val="20"/>
          <w:lang w:eastAsia="vi-VN"/>
        </w:rPr>
        <w:t xml:space="preserve">Sửa đổi mức thuế suất thuế xuất khẩu đối với mặt hàng quặng sắt và tinh quặng sắt thuộc nhóm 2601 quy định tại Biểu thuế xuất khẩu </w:t>
      </w:r>
    </w:p>
    <w:p w:rsidR="009F0AF3" w:rsidRPr="009F0AF3" w:rsidRDefault="009F0AF3" w:rsidP="009F0AF3">
      <w:pPr>
        <w:spacing w:before="100" w:beforeAutospacing="1" w:after="100" w:afterAutospacing="1" w:line="240" w:lineRule="auto"/>
        <w:jc w:val="center"/>
        <w:rPr>
          <w:rFonts w:ascii="Tahoma" w:eastAsia="Times New Roman" w:hAnsi="Tahoma" w:cs="Tahoma"/>
          <w:sz w:val="20"/>
          <w:szCs w:val="20"/>
          <w:lang w:eastAsia="vi-VN"/>
        </w:rPr>
      </w:pPr>
      <w:r w:rsidRPr="009F0AF3">
        <w:rPr>
          <w:rFonts w:ascii="Tahoma" w:eastAsia="Times New Roman" w:hAnsi="Tahoma" w:cs="Tahoma"/>
          <w:b/>
          <w:bCs/>
          <w:sz w:val="20"/>
          <w:szCs w:val="20"/>
          <w:lang w:eastAsia="vi-VN"/>
        </w:rPr>
        <w:t>________________________</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sz w:val="20"/>
          <w:szCs w:val="20"/>
          <w:lang w:eastAsia="vi-VN"/>
        </w:rPr>
        <w:t>Căn cứ Luật thuế xuất khẩu, thuế nhập khẩu số 45/2005/QH11 ngày 14 tháng 06 năm 2005;</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sz w:val="20"/>
          <w:szCs w:val="20"/>
          <w:lang w:eastAsia="vi-VN"/>
        </w:rPr>
        <w:t>Căn cứ Nghị quyết số 710/2008/NQ-UBTVQH12 ngày 22 tháng 11 năm 2008 của Ủy ban Thường vụ Quốc hội về việc sửa đổi Nghị quyết số 295/2007/NQ-UBTVQH12 ngày 28/9/2007 của Uỷ ban thường vụ Quốc hội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sz w:val="20"/>
          <w:szCs w:val="20"/>
          <w:lang w:eastAsia="vi-VN"/>
        </w:rPr>
        <w:t>Căn cứ Nghị định số 87/2010/NĐ-CP ngày 13/08/2010 của Chính phủ quy định chi tiết thi hành một số điều của Luật thuế xuất khẩu, thuế nhập khẩu;</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sz w:val="20"/>
          <w:szCs w:val="20"/>
          <w:lang w:eastAsia="vi-VN"/>
        </w:rPr>
        <w:t>Căn cứ Nghị định số 118/2008/NĐ-CP ngày 27 tháng 11 năm 2008 của Chính phủ quy định chức năng, nhiệm vụ, quyền hạn và cơ cấu tổ chức của Bộ Tài chính;</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sz w:val="20"/>
          <w:szCs w:val="20"/>
          <w:lang w:eastAsia="vi-VN"/>
        </w:rPr>
        <w:t xml:space="preserve">Bộ Tài chính sửa đổi mức thuế suất thuế xuất khẩu đối với mặt hàng quặng sắt, tinh quặng sắt thuộc nhóm 26.01 tại Biểu thuế xuất khẩu như sau: </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b/>
          <w:bCs/>
          <w:sz w:val="20"/>
          <w:szCs w:val="20"/>
          <w:lang w:eastAsia="vi-VN"/>
        </w:rPr>
        <w:t>Điều 1. Mức thuế suất thuế xuất khẩu.</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sz w:val="20"/>
          <w:szCs w:val="20"/>
          <w:lang w:eastAsia="vi-VN"/>
        </w:rPr>
        <w:t>Sửa đổi mức thuế suất thuế xuất khẩu của mặt hàng quặng sắt, tinh quặng sắt thuộc nhóm 26.01 quy định tại Danh mục Biểu thuế xuất khẩu ban hành kèm Thông tư số 184/2010/TT-BTC ngày 15/11/2010 của Bộ Tài chính về việc quy định mức thuế suất của Biểu thuế xuất khẩu, Biểu thuế nhập khẩu ưu đãi theo danh mục mặt hàng chịu thuế như sau:</w:t>
      </w:r>
    </w:p>
    <w:tbl>
      <w:tblPr>
        <w:tblW w:w="0" w:type="auto"/>
        <w:jc w:val="center"/>
        <w:tblCellMar>
          <w:left w:w="0" w:type="dxa"/>
          <w:right w:w="0" w:type="dxa"/>
        </w:tblCellMar>
        <w:tblLook w:val="04A0" w:firstRow="1" w:lastRow="0" w:firstColumn="1" w:lastColumn="0" w:noHBand="0" w:noVBand="1"/>
      </w:tblPr>
      <w:tblGrid>
        <w:gridCol w:w="650"/>
        <w:gridCol w:w="2717"/>
        <w:gridCol w:w="1666"/>
        <w:gridCol w:w="433"/>
        <w:gridCol w:w="433"/>
        <w:gridCol w:w="551"/>
        <w:gridCol w:w="761"/>
      </w:tblGrid>
      <w:tr w:rsidR="009F0AF3" w:rsidRPr="009F0AF3" w:rsidTr="009F0AF3">
        <w:trPr>
          <w:trHeight w:val="426"/>
          <w:tblHeader/>
          <w:jc w:val="center"/>
        </w:trPr>
        <w:tc>
          <w:tcPr>
            <w:tcW w:w="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Số TT</w:t>
            </w:r>
          </w:p>
        </w:tc>
        <w:tc>
          <w:tcPr>
            <w:tcW w:w="27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Mô tả hàng hoá</w:t>
            </w:r>
          </w:p>
        </w:tc>
        <w:tc>
          <w:tcPr>
            <w:tcW w:w="307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Thuộc các nhóm, phân nhóm</w:t>
            </w:r>
          </w:p>
        </w:tc>
        <w:tc>
          <w:tcPr>
            <w:tcW w:w="7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sz w:val="17"/>
                <w:szCs w:val="17"/>
                <w:lang w:eastAsia="vi-VN"/>
              </w:rPr>
              <w:t>Thuế suất</w:t>
            </w:r>
          </w:p>
        </w:tc>
      </w:tr>
      <w:tr w:rsidR="009F0AF3" w:rsidRPr="009F0AF3" w:rsidTr="009F0AF3">
        <w:trPr>
          <w:trHeight w:val="426"/>
          <w:jc w:val="center"/>
        </w:trPr>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sz w:val="17"/>
                <w:szCs w:val="17"/>
                <w:lang w:eastAsia="vi-VN"/>
              </w:rPr>
              <w:t>12</w:t>
            </w: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sz w:val="17"/>
                <w:szCs w:val="17"/>
                <w:lang w:eastAsia="vi-VN"/>
              </w:rPr>
              <w:t>Quặng sắt và tinh quặng sắt, kể cả pirit sắt đã nung</w:t>
            </w:r>
          </w:p>
        </w:tc>
        <w:tc>
          <w:tcPr>
            <w:tcW w:w="1666"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433"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428"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55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76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r>
      <w:tr w:rsidR="009F0AF3" w:rsidRPr="009F0AF3" w:rsidTr="009F0AF3">
        <w:trPr>
          <w:trHeight w:val="426"/>
          <w:jc w:val="center"/>
        </w:trPr>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 xml:space="preserve">- Quặng sắt và tinh quặng sắt trừ pirit sắt đã nung </w:t>
            </w:r>
          </w:p>
        </w:tc>
        <w:tc>
          <w:tcPr>
            <w:tcW w:w="1666"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433"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428"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55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76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r>
      <w:tr w:rsidR="009F0AF3" w:rsidRPr="009F0AF3" w:rsidTr="009F0AF3">
        <w:trPr>
          <w:trHeight w:val="230"/>
          <w:jc w:val="center"/>
        </w:trPr>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 - Chưa thêu kết</w:t>
            </w:r>
          </w:p>
        </w:tc>
        <w:tc>
          <w:tcPr>
            <w:tcW w:w="1666"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2601</w:t>
            </w:r>
          </w:p>
        </w:tc>
        <w:tc>
          <w:tcPr>
            <w:tcW w:w="433"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11</w:t>
            </w:r>
          </w:p>
        </w:tc>
        <w:tc>
          <w:tcPr>
            <w:tcW w:w="428"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00</w:t>
            </w:r>
          </w:p>
        </w:tc>
        <w:tc>
          <w:tcPr>
            <w:tcW w:w="55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00</w:t>
            </w:r>
          </w:p>
        </w:tc>
        <w:tc>
          <w:tcPr>
            <w:tcW w:w="76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40%</w:t>
            </w:r>
          </w:p>
        </w:tc>
      </w:tr>
      <w:tr w:rsidR="009F0AF3" w:rsidRPr="009F0AF3" w:rsidTr="009F0AF3">
        <w:trPr>
          <w:trHeight w:val="214"/>
          <w:jc w:val="center"/>
        </w:trPr>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after="0" w:line="240" w:lineRule="auto"/>
              <w:rPr>
                <w:rFonts w:ascii="Tahoma" w:eastAsia="Times New Roman" w:hAnsi="Tahoma" w:cs="Tahoma"/>
                <w:sz w:val="17"/>
                <w:szCs w:val="17"/>
                <w:lang w:eastAsia="vi-VN"/>
              </w:rPr>
            </w:pP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 - Đã thêu kết</w:t>
            </w:r>
          </w:p>
        </w:tc>
        <w:tc>
          <w:tcPr>
            <w:tcW w:w="1666"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2601</w:t>
            </w:r>
          </w:p>
        </w:tc>
        <w:tc>
          <w:tcPr>
            <w:tcW w:w="433"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12</w:t>
            </w:r>
          </w:p>
        </w:tc>
        <w:tc>
          <w:tcPr>
            <w:tcW w:w="428"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00</w:t>
            </w:r>
          </w:p>
        </w:tc>
        <w:tc>
          <w:tcPr>
            <w:tcW w:w="55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00</w:t>
            </w:r>
          </w:p>
        </w:tc>
        <w:tc>
          <w:tcPr>
            <w:tcW w:w="761" w:type="dxa"/>
            <w:tcBorders>
              <w:top w:val="nil"/>
              <w:left w:val="nil"/>
              <w:bottom w:val="single" w:sz="8" w:space="0" w:color="000000"/>
              <w:right w:val="single" w:sz="8" w:space="0" w:color="000000"/>
            </w:tcBorders>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r w:rsidRPr="009F0AF3">
              <w:rPr>
                <w:rFonts w:ascii="Tahoma" w:eastAsia="Times New Roman" w:hAnsi="Tahoma" w:cs="Tahoma"/>
                <w:b/>
                <w:bCs/>
                <w:i/>
                <w:iCs/>
                <w:sz w:val="17"/>
                <w:szCs w:val="17"/>
                <w:lang w:eastAsia="vi-VN"/>
              </w:rPr>
              <w:t>40%</w:t>
            </w:r>
          </w:p>
        </w:tc>
      </w:tr>
    </w:tbl>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b/>
          <w:bCs/>
          <w:sz w:val="20"/>
          <w:szCs w:val="20"/>
          <w:lang w:eastAsia="vi-VN"/>
        </w:rPr>
        <w:t>Điều 2.</w:t>
      </w:r>
      <w:r w:rsidRPr="009F0AF3">
        <w:rPr>
          <w:rFonts w:ascii="Tahoma" w:eastAsia="Times New Roman" w:hAnsi="Tahoma" w:cs="Tahoma"/>
          <w:sz w:val="20"/>
          <w:szCs w:val="20"/>
          <w:lang w:eastAsia="vi-VN"/>
        </w:rPr>
        <w:t xml:space="preserve"> </w:t>
      </w:r>
      <w:r w:rsidRPr="009F0AF3">
        <w:rPr>
          <w:rFonts w:ascii="Tahoma" w:eastAsia="Times New Roman" w:hAnsi="Tahoma" w:cs="Tahoma"/>
          <w:b/>
          <w:bCs/>
          <w:sz w:val="20"/>
          <w:szCs w:val="20"/>
          <w:lang w:eastAsia="vi-VN"/>
        </w:rPr>
        <w:t>Hiệu lực thi hành.</w:t>
      </w:r>
    </w:p>
    <w:p w:rsidR="009F0AF3" w:rsidRPr="009F0AF3" w:rsidRDefault="009F0AF3" w:rsidP="009F0AF3">
      <w:pPr>
        <w:spacing w:before="100" w:beforeAutospacing="1" w:after="100" w:afterAutospacing="1" w:line="240" w:lineRule="auto"/>
        <w:jc w:val="both"/>
        <w:rPr>
          <w:rFonts w:ascii="Tahoma" w:eastAsia="Times New Roman" w:hAnsi="Tahoma" w:cs="Tahoma"/>
          <w:sz w:val="20"/>
          <w:szCs w:val="20"/>
          <w:lang w:eastAsia="vi-VN"/>
        </w:rPr>
      </w:pPr>
      <w:r w:rsidRPr="009F0AF3">
        <w:rPr>
          <w:rFonts w:ascii="Tahoma" w:eastAsia="Times New Roman" w:hAnsi="Tahoma" w:cs="Tahoma"/>
          <w:sz w:val="20"/>
          <w:szCs w:val="20"/>
          <w:lang w:eastAsia="vi-VN"/>
        </w:rPr>
        <w:t>Thông tư này có hiệu lực thi hành k</w:t>
      </w:r>
      <w:bookmarkStart w:id="0" w:name="_GoBack"/>
      <w:bookmarkEnd w:id="0"/>
      <w:r w:rsidRPr="009F0AF3">
        <w:rPr>
          <w:rFonts w:ascii="Tahoma" w:eastAsia="Times New Roman" w:hAnsi="Tahoma" w:cs="Tahoma"/>
          <w:sz w:val="20"/>
          <w:szCs w:val="20"/>
          <w:lang w:eastAsia="vi-VN"/>
        </w:rPr>
        <w:t>ể từ ngày tháng năm 2011./.</w:t>
      </w:r>
    </w:p>
    <w:tbl>
      <w:tblPr>
        <w:tblW w:w="0" w:type="auto"/>
        <w:tblCellMar>
          <w:left w:w="0" w:type="dxa"/>
          <w:right w:w="0" w:type="dxa"/>
        </w:tblCellMar>
        <w:tblLook w:val="04A0" w:firstRow="1" w:lastRow="0" w:firstColumn="1" w:lastColumn="0" w:noHBand="0" w:noVBand="1"/>
      </w:tblPr>
      <w:tblGrid>
        <w:gridCol w:w="5288"/>
        <w:gridCol w:w="3620"/>
      </w:tblGrid>
      <w:tr w:rsidR="009F0AF3" w:rsidRPr="009F0AF3" w:rsidTr="009816D1">
        <w:tc>
          <w:tcPr>
            <w:tcW w:w="5288" w:type="dxa"/>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both"/>
              <w:rPr>
                <w:rFonts w:ascii="Tahoma" w:eastAsia="Times New Roman" w:hAnsi="Tahoma" w:cs="Tahoma"/>
                <w:sz w:val="17"/>
                <w:szCs w:val="17"/>
                <w:lang w:eastAsia="vi-VN"/>
              </w:rPr>
            </w:pPr>
          </w:p>
        </w:tc>
        <w:tc>
          <w:tcPr>
            <w:tcW w:w="3620" w:type="dxa"/>
            <w:tcMar>
              <w:top w:w="0" w:type="dxa"/>
              <w:left w:w="108" w:type="dxa"/>
              <w:bottom w:w="0" w:type="dxa"/>
              <w:right w:w="108" w:type="dxa"/>
            </w:tcMar>
            <w:hideMark/>
          </w:tcPr>
          <w:p w:rsidR="009F0AF3" w:rsidRPr="009F0AF3" w:rsidRDefault="009F0AF3" w:rsidP="009F0AF3">
            <w:pPr>
              <w:spacing w:before="100" w:beforeAutospacing="1" w:after="100" w:afterAutospacing="1" w:line="240" w:lineRule="auto"/>
              <w:jc w:val="center"/>
              <w:outlineLvl w:val="4"/>
              <w:rPr>
                <w:rFonts w:ascii="Tahoma" w:eastAsia="Times New Roman" w:hAnsi="Tahoma" w:cs="Tahoma"/>
                <w:b/>
                <w:bCs/>
                <w:sz w:val="20"/>
                <w:szCs w:val="20"/>
                <w:lang w:eastAsia="vi-VN"/>
              </w:rPr>
            </w:pPr>
            <w:r w:rsidRPr="009F0AF3">
              <w:rPr>
                <w:rFonts w:ascii="Tahoma" w:eastAsia="Times New Roman" w:hAnsi="Tahoma" w:cs="Tahoma"/>
                <w:b/>
                <w:bCs/>
                <w:sz w:val="20"/>
                <w:szCs w:val="20"/>
                <w:lang w:eastAsia="vi-VN"/>
              </w:rPr>
              <w:t>KT. BỘ TRƯỞNG</w:t>
            </w:r>
          </w:p>
          <w:p w:rsidR="009F0AF3" w:rsidRPr="009F0AF3" w:rsidRDefault="009F0AF3" w:rsidP="009F0AF3">
            <w:pPr>
              <w:spacing w:before="100" w:beforeAutospacing="1" w:after="100" w:afterAutospacing="1" w:line="240" w:lineRule="auto"/>
              <w:jc w:val="center"/>
              <w:outlineLvl w:val="4"/>
              <w:rPr>
                <w:rFonts w:ascii="Tahoma" w:eastAsia="Times New Roman" w:hAnsi="Tahoma" w:cs="Tahoma"/>
                <w:b/>
                <w:bCs/>
                <w:sz w:val="20"/>
                <w:szCs w:val="20"/>
                <w:lang w:eastAsia="vi-VN"/>
              </w:rPr>
            </w:pPr>
            <w:r w:rsidRPr="009F0AF3">
              <w:rPr>
                <w:rFonts w:ascii="Tahoma" w:eastAsia="Times New Roman" w:hAnsi="Tahoma" w:cs="Tahoma"/>
                <w:b/>
                <w:bCs/>
                <w:sz w:val="17"/>
                <w:szCs w:val="17"/>
                <w:lang w:eastAsia="vi-VN"/>
              </w:rPr>
              <w:lastRenderedPageBreak/>
              <w:t>THỨ TRƯỞNG</w:t>
            </w:r>
          </w:p>
          <w:p w:rsidR="009F0AF3" w:rsidRPr="009F0AF3" w:rsidRDefault="009F0AF3" w:rsidP="009F0AF3">
            <w:pPr>
              <w:spacing w:before="100" w:beforeAutospacing="1" w:after="100" w:afterAutospacing="1" w:line="240" w:lineRule="auto"/>
              <w:jc w:val="center"/>
              <w:outlineLvl w:val="4"/>
              <w:rPr>
                <w:rFonts w:ascii="Tahoma" w:eastAsia="Times New Roman" w:hAnsi="Tahoma" w:cs="Tahoma"/>
                <w:b/>
                <w:bCs/>
                <w:sz w:val="20"/>
                <w:szCs w:val="20"/>
                <w:lang w:eastAsia="vi-VN"/>
              </w:rPr>
            </w:pPr>
            <w:r w:rsidRPr="009F0AF3">
              <w:rPr>
                <w:rFonts w:ascii="Tahoma" w:eastAsia="Times New Roman" w:hAnsi="Tahoma" w:cs="Tahoma"/>
                <w:b/>
                <w:bCs/>
                <w:sz w:val="17"/>
                <w:szCs w:val="17"/>
                <w:lang w:eastAsia="vi-VN"/>
              </w:rPr>
              <w:t>Đỗ Hoàng Anh Tuấn</w:t>
            </w:r>
          </w:p>
        </w:tc>
      </w:tr>
    </w:tbl>
    <w:p w:rsidR="005A34CD" w:rsidRDefault="009816D1"/>
    <w:sectPr w:rsidR="005A3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F3"/>
    <w:rsid w:val="00706F0A"/>
    <w:rsid w:val="009816D1"/>
    <w:rsid w:val="009F0AF3"/>
    <w:rsid w:val="00D041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F0AF3"/>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0AF3"/>
    <w:rPr>
      <w:rFonts w:ascii="Times New Roman" w:eastAsia="Times New Roman" w:hAnsi="Times New Roman" w:cs="Times New Roman"/>
      <w:b/>
      <w:bCs/>
      <w:sz w:val="20"/>
      <w:szCs w:val="20"/>
      <w:lang w:eastAsia="vi-VN"/>
    </w:rPr>
  </w:style>
  <w:style w:type="paragraph" w:styleId="NormalWeb">
    <w:name w:val="Normal (Web)"/>
    <w:basedOn w:val="Normal"/>
    <w:uiPriority w:val="99"/>
    <w:unhideWhenUsed/>
    <w:rsid w:val="009F0AF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F0AF3"/>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0AF3"/>
    <w:rPr>
      <w:rFonts w:ascii="Times New Roman" w:eastAsia="Times New Roman" w:hAnsi="Times New Roman" w:cs="Times New Roman"/>
      <w:b/>
      <w:bCs/>
      <w:sz w:val="20"/>
      <w:szCs w:val="20"/>
      <w:lang w:eastAsia="vi-VN"/>
    </w:rPr>
  </w:style>
  <w:style w:type="paragraph" w:styleId="NormalWeb">
    <w:name w:val="Normal (Web)"/>
    <w:basedOn w:val="Normal"/>
    <w:uiPriority w:val="99"/>
    <w:unhideWhenUsed/>
    <w:rsid w:val="009F0AF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HuuNguyen</dc:creator>
  <cp:lastModifiedBy>HuuNguyen</cp:lastModifiedBy>
  <cp:revision>2</cp:revision>
  <dcterms:created xsi:type="dcterms:W3CDTF">2011-04-06T04:53:00Z</dcterms:created>
  <dcterms:modified xsi:type="dcterms:W3CDTF">2011-04-06T04:56:00Z</dcterms:modified>
</cp:coreProperties>
</file>